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F3CFF" w14:textId="77777777" w:rsidR="00135850" w:rsidRDefault="00135850" w:rsidP="006F116B">
      <w:pPr>
        <w:pStyle w:val="Tekstkomentarza"/>
        <w:jc w:val="both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2E0AE3BF" w14:textId="77777777" w:rsidR="00135850" w:rsidRDefault="00135850" w:rsidP="006F116B">
      <w:pPr>
        <w:pStyle w:val="Tekstkomentarza"/>
        <w:jc w:val="both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3107967A" w14:textId="1EEE124D" w:rsidR="005A5AB8" w:rsidRPr="005A5AB8" w:rsidRDefault="00135850" w:rsidP="005A5AB8">
      <w:pPr>
        <w:pStyle w:val="Tekstkomentarza"/>
        <w:jc w:val="center"/>
        <w:rPr>
          <w:rFonts w:ascii="Tahoma" w:eastAsia="Arial Unicode MS" w:hAnsi="Tahoma" w:cs="Tahoma"/>
          <w:b/>
          <w:sz w:val="28"/>
          <w:szCs w:val="24"/>
          <w:lang w:val="pl-PL"/>
        </w:rPr>
      </w:pPr>
      <w:r w:rsidRPr="005A5AB8">
        <w:rPr>
          <w:rFonts w:ascii="Tahoma" w:eastAsia="Arial Unicode MS" w:hAnsi="Tahoma" w:cs="Tahoma"/>
          <w:b/>
          <w:sz w:val="28"/>
          <w:szCs w:val="24"/>
          <w:lang w:val="pl-PL"/>
        </w:rPr>
        <w:t>H</w:t>
      </w:r>
      <w:r w:rsidR="005A5AB8" w:rsidRPr="005A5AB8">
        <w:rPr>
          <w:rFonts w:ascii="Tahoma" w:eastAsia="Arial Unicode MS" w:hAnsi="Tahoma" w:cs="Tahoma"/>
          <w:b/>
          <w:sz w:val="28"/>
          <w:szCs w:val="24"/>
          <w:lang w:val="pl-PL"/>
        </w:rPr>
        <w:t>uawei wiceliderem</w:t>
      </w:r>
      <w:r w:rsidR="000C2FA5" w:rsidRPr="000C2FA5">
        <w:rPr>
          <w:rFonts w:ascii="Tahoma" w:eastAsia="Arial Unicode MS" w:hAnsi="Tahoma" w:cs="Tahoma"/>
          <w:b/>
          <w:sz w:val="28"/>
          <w:szCs w:val="24"/>
          <w:lang w:val="pl-PL"/>
        </w:rPr>
        <w:t xml:space="preserve"> </w:t>
      </w:r>
      <w:r w:rsidR="000C2FA5">
        <w:rPr>
          <w:rFonts w:ascii="Tahoma" w:eastAsia="Arial Unicode MS" w:hAnsi="Tahoma" w:cs="Tahoma"/>
          <w:b/>
          <w:sz w:val="28"/>
          <w:szCs w:val="24"/>
          <w:lang w:val="pl-PL"/>
        </w:rPr>
        <w:t>globalnego</w:t>
      </w:r>
      <w:r w:rsidR="005A5AB8" w:rsidRPr="005A5AB8">
        <w:rPr>
          <w:rFonts w:ascii="Tahoma" w:eastAsia="Arial Unicode MS" w:hAnsi="Tahoma" w:cs="Tahoma"/>
          <w:b/>
          <w:sz w:val="28"/>
          <w:szCs w:val="24"/>
          <w:lang w:val="pl-PL"/>
        </w:rPr>
        <w:t xml:space="preserve"> rankingu </w:t>
      </w:r>
      <w:r w:rsidRPr="005A5AB8">
        <w:rPr>
          <w:rFonts w:ascii="Tahoma" w:eastAsia="Arial Unicode MS" w:hAnsi="Tahoma" w:cs="Tahoma"/>
          <w:b/>
          <w:sz w:val="28"/>
          <w:szCs w:val="24"/>
          <w:lang w:val="pl-PL"/>
        </w:rPr>
        <w:t xml:space="preserve">innowatorów </w:t>
      </w:r>
    </w:p>
    <w:p w14:paraId="2DC75D12" w14:textId="234B8D7B" w:rsidR="00135850" w:rsidRPr="00064660" w:rsidRDefault="005A5AB8" w:rsidP="00064660">
      <w:pPr>
        <w:pStyle w:val="Tekstkomentarza"/>
        <w:jc w:val="both"/>
        <w:rPr>
          <w:rFonts w:ascii="Tahoma" w:eastAsia="Arial Unicode MS" w:hAnsi="Tahoma" w:cs="Tahoma"/>
          <w:b/>
          <w:sz w:val="22"/>
          <w:szCs w:val="24"/>
          <w:lang w:val="pl-PL"/>
        </w:rPr>
      </w:pPr>
      <w:r w:rsidRPr="00064660">
        <w:rPr>
          <w:rFonts w:ascii="Tahoma" w:hAnsi="Tahoma" w:cs="Tahoma"/>
          <w:b/>
          <w:sz w:val="22"/>
          <w:szCs w:val="24"/>
          <w:lang w:val="pl-PL"/>
        </w:rPr>
        <w:br/>
      </w:r>
      <w:r w:rsidR="00135850" w:rsidRPr="00064660">
        <w:rPr>
          <w:rFonts w:ascii="Tahoma" w:hAnsi="Tahoma" w:cs="Tahoma"/>
          <w:b/>
          <w:sz w:val="22"/>
          <w:szCs w:val="24"/>
          <w:lang w:val="pl-PL"/>
        </w:rPr>
        <w:t>Firma Huawei zajęła drugie miejsce w zestawieniu „2021 EU Industrial R&amp;D Investment Scoreboard”</w:t>
      </w:r>
      <w:r w:rsidR="00996890">
        <w:rPr>
          <w:rFonts w:ascii="Tahoma" w:hAnsi="Tahoma" w:cs="Tahoma"/>
          <w:b/>
          <w:sz w:val="22"/>
          <w:szCs w:val="24"/>
          <w:lang w:val="pl-PL"/>
        </w:rPr>
        <w:t>, analizującym przedsiębiorstwa</w:t>
      </w:r>
      <w:r w:rsidR="008E3717" w:rsidRPr="00064660">
        <w:rPr>
          <w:rFonts w:ascii="Tahoma" w:hAnsi="Tahoma" w:cs="Tahoma"/>
          <w:b/>
          <w:sz w:val="22"/>
          <w:szCs w:val="24"/>
          <w:lang w:val="pl-PL"/>
        </w:rPr>
        <w:t xml:space="preserve"> pod kątem inwestycji w obszarze badań i rozwoju.</w:t>
      </w:r>
      <w:r w:rsidR="008E3717" w:rsidRPr="00064660">
        <w:rPr>
          <w:rFonts w:ascii="Tahoma" w:eastAsia="Arial Unicode MS" w:hAnsi="Tahoma" w:cs="Tahoma"/>
          <w:b/>
          <w:sz w:val="22"/>
          <w:szCs w:val="24"/>
          <w:lang w:val="pl-PL"/>
        </w:rPr>
        <w:t xml:space="preserve"> </w:t>
      </w:r>
      <w:r w:rsidR="00135850" w:rsidRPr="00064660">
        <w:rPr>
          <w:rFonts w:ascii="Tahoma" w:hAnsi="Tahoma" w:cs="Tahoma"/>
          <w:b/>
          <w:sz w:val="22"/>
          <w:szCs w:val="24"/>
          <w:lang w:val="pl-PL"/>
        </w:rPr>
        <w:t xml:space="preserve">Jest to awans o jedno miejsce w porównaniu z ubiegłym rokiem. </w:t>
      </w:r>
    </w:p>
    <w:p w14:paraId="042E8D38" w14:textId="661001A8" w:rsidR="00135850" w:rsidRDefault="00135850" w:rsidP="00135850">
      <w:pPr>
        <w:pStyle w:val="Tekstkomentarza"/>
        <w:jc w:val="both"/>
        <w:rPr>
          <w:rFonts w:ascii="Tahoma" w:hAnsi="Tahoma" w:cs="Tahoma"/>
          <w:sz w:val="22"/>
          <w:szCs w:val="22"/>
          <w:lang w:val="pl-PL"/>
        </w:rPr>
      </w:pPr>
    </w:p>
    <w:p w14:paraId="7F8F6BDA" w14:textId="2C9245A7" w:rsidR="00135850" w:rsidRDefault="00135850" w:rsidP="00135850">
      <w:pPr>
        <w:pStyle w:val="Tekstkomentarza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Zestawienie „2021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 EU Industrial R&amp;D</w:t>
      </w:r>
      <w:r w:rsidR="00E378DB">
        <w:rPr>
          <w:rFonts w:ascii="Tahoma" w:hAnsi="Tahoma" w:cs="Tahoma"/>
          <w:sz w:val="22"/>
          <w:szCs w:val="22"/>
          <w:lang w:val="pl-PL"/>
        </w:rPr>
        <w:t xml:space="preserve"> Investment Scoreboard”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 jest </w:t>
      </w:r>
      <w:r>
        <w:rPr>
          <w:rFonts w:ascii="Tahoma" w:hAnsi="Tahoma" w:cs="Tahoma"/>
          <w:sz w:val="22"/>
          <w:szCs w:val="22"/>
          <w:lang w:val="pl-PL"/>
        </w:rPr>
        <w:t>coroczną publikacją przygotowaną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 przez Wspólne Centrum Badawcze UE na zlecenie Komisji Europejskiej. Ranking ten określa poziom europejskich inwestycji w badania i rozwój pośród 2500 firm z całego świata, które odpowiadają za 90 proc. światowych nakładów w tym obszarze.  </w:t>
      </w:r>
    </w:p>
    <w:p w14:paraId="572F8C5A" w14:textId="77777777" w:rsidR="00135850" w:rsidRDefault="00135850" w:rsidP="00135850">
      <w:pPr>
        <w:pStyle w:val="Tekstkomentarza"/>
        <w:jc w:val="both"/>
        <w:rPr>
          <w:rFonts w:ascii="Tahoma" w:hAnsi="Tahoma" w:cs="Tahoma"/>
          <w:sz w:val="22"/>
          <w:szCs w:val="22"/>
          <w:lang w:val="pl-PL"/>
        </w:rPr>
      </w:pPr>
    </w:p>
    <w:p w14:paraId="057D9DC1" w14:textId="45F82733" w:rsidR="00135850" w:rsidRDefault="00135850" w:rsidP="00135850">
      <w:pPr>
        <w:pStyle w:val="Tekstkomentarza"/>
        <w:jc w:val="both"/>
        <w:rPr>
          <w:rFonts w:ascii="Tahoma" w:hAnsi="Tahoma" w:cs="Tahoma"/>
          <w:sz w:val="22"/>
          <w:szCs w:val="22"/>
          <w:lang w:val="pl-PL"/>
        </w:rPr>
      </w:pPr>
      <w:r w:rsidRPr="00135850">
        <w:rPr>
          <w:rFonts w:ascii="Tahoma" w:hAnsi="Tahoma" w:cs="Tahoma"/>
          <w:i/>
          <w:sz w:val="22"/>
          <w:szCs w:val="22"/>
          <w:lang w:val="pl-PL"/>
        </w:rPr>
        <w:t>Huawei zajmuje obecnie 2. miejsce na świecie wśród firm prywatnych inw</w:t>
      </w:r>
      <w:r w:rsidR="008E3717">
        <w:rPr>
          <w:rFonts w:ascii="Tahoma" w:hAnsi="Tahoma" w:cs="Tahoma"/>
          <w:i/>
          <w:sz w:val="22"/>
          <w:szCs w:val="22"/>
          <w:lang w:val="pl-PL"/>
        </w:rPr>
        <w:t xml:space="preserve">estujących w badania i rozwój. „EU </w:t>
      </w:r>
      <w:r w:rsidRPr="00135850">
        <w:rPr>
          <w:rFonts w:ascii="Tahoma" w:hAnsi="Tahoma" w:cs="Tahoma"/>
          <w:i/>
          <w:sz w:val="22"/>
          <w:szCs w:val="22"/>
          <w:lang w:val="pl-PL"/>
        </w:rPr>
        <w:t xml:space="preserve">Industrial R&amp;D Investment </w:t>
      </w:r>
      <w:proofErr w:type="spellStart"/>
      <w:r w:rsidRPr="00135850">
        <w:rPr>
          <w:rFonts w:ascii="Tahoma" w:hAnsi="Tahoma" w:cs="Tahoma"/>
          <w:i/>
          <w:sz w:val="22"/>
          <w:szCs w:val="22"/>
          <w:lang w:val="pl-PL"/>
        </w:rPr>
        <w:t>Scoreboard</w:t>
      </w:r>
      <w:proofErr w:type="spellEnd"/>
      <w:r w:rsidRPr="00135850">
        <w:rPr>
          <w:rFonts w:ascii="Tahoma" w:hAnsi="Tahoma" w:cs="Tahoma"/>
          <w:i/>
          <w:sz w:val="22"/>
          <w:szCs w:val="22"/>
          <w:lang w:val="pl-PL"/>
        </w:rPr>
        <w:t xml:space="preserve"> 2021</w:t>
      </w:r>
      <w:r w:rsidR="008E3717">
        <w:rPr>
          <w:rFonts w:ascii="Tahoma" w:hAnsi="Tahoma" w:cs="Tahoma"/>
          <w:i/>
          <w:sz w:val="22"/>
          <w:szCs w:val="22"/>
          <w:lang w:val="pl-PL"/>
        </w:rPr>
        <w:t>”</w:t>
      </w:r>
      <w:r w:rsidRPr="00135850">
        <w:rPr>
          <w:rFonts w:ascii="Tahoma" w:hAnsi="Tahoma" w:cs="Tahoma"/>
          <w:i/>
          <w:sz w:val="22"/>
          <w:szCs w:val="22"/>
          <w:lang w:val="pl-PL"/>
        </w:rPr>
        <w:t xml:space="preserve"> jest </w:t>
      </w:r>
      <w:r w:rsidR="00996890">
        <w:rPr>
          <w:rFonts w:ascii="Tahoma" w:hAnsi="Tahoma" w:cs="Tahoma"/>
          <w:i/>
          <w:sz w:val="22"/>
          <w:szCs w:val="22"/>
          <w:lang w:val="pl-PL"/>
        </w:rPr>
        <w:t>jednym</w:t>
      </w:r>
      <w:r w:rsidR="008E3717">
        <w:rPr>
          <w:rFonts w:ascii="Tahoma" w:hAnsi="Tahoma" w:cs="Tahoma"/>
          <w:i/>
          <w:sz w:val="22"/>
          <w:szCs w:val="22"/>
          <w:lang w:val="pl-PL"/>
        </w:rPr>
        <w:t xml:space="preserve"> z najbardziej </w:t>
      </w:r>
      <w:r w:rsidR="000C2FA5">
        <w:rPr>
          <w:rFonts w:ascii="Tahoma" w:hAnsi="Tahoma" w:cs="Tahoma"/>
          <w:i/>
          <w:sz w:val="22"/>
          <w:szCs w:val="22"/>
          <w:lang w:val="pl-PL"/>
        </w:rPr>
        <w:t>poważanych</w:t>
      </w:r>
      <w:r w:rsidRPr="00135850">
        <w:rPr>
          <w:rFonts w:ascii="Tahoma" w:hAnsi="Tahoma" w:cs="Tahoma"/>
          <w:i/>
          <w:sz w:val="22"/>
          <w:szCs w:val="22"/>
          <w:lang w:val="pl-PL"/>
        </w:rPr>
        <w:t xml:space="preserve"> globalnych </w:t>
      </w:r>
      <w:r w:rsidR="00E378DB">
        <w:rPr>
          <w:rFonts w:ascii="Tahoma" w:hAnsi="Tahoma" w:cs="Tahoma"/>
          <w:i/>
          <w:sz w:val="22"/>
          <w:szCs w:val="22"/>
          <w:lang w:val="pl-PL"/>
        </w:rPr>
        <w:t xml:space="preserve">badań dot. </w:t>
      </w:r>
      <w:r w:rsidRPr="00135850">
        <w:rPr>
          <w:rFonts w:ascii="Tahoma" w:hAnsi="Tahoma" w:cs="Tahoma"/>
          <w:i/>
          <w:sz w:val="22"/>
          <w:szCs w:val="22"/>
          <w:lang w:val="pl-PL"/>
        </w:rPr>
        <w:t xml:space="preserve">inwestycji sektora prywatnego w </w:t>
      </w:r>
      <w:r w:rsidR="00E378DB">
        <w:rPr>
          <w:rFonts w:ascii="Tahoma" w:hAnsi="Tahoma" w:cs="Tahoma"/>
          <w:i/>
          <w:sz w:val="22"/>
          <w:szCs w:val="22"/>
          <w:lang w:val="pl-PL"/>
        </w:rPr>
        <w:t>obszarze R&amp;D.</w:t>
      </w:r>
      <w:r w:rsidRPr="00135850">
        <w:rPr>
          <w:rFonts w:ascii="Tahoma" w:hAnsi="Tahoma" w:cs="Tahoma"/>
          <w:i/>
          <w:sz w:val="22"/>
          <w:szCs w:val="22"/>
          <w:lang w:val="pl-PL"/>
        </w:rPr>
        <w:t xml:space="preserve"> Międzynarodowa współpraca w </w:t>
      </w:r>
      <w:r w:rsidR="008E3717">
        <w:rPr>
          <w:rFonts w:ascii="Tahoma" w:hAnsi="Tahoma" w:cs="Tahoma"/>
          <w:i/>
          <w:sz w:val="22"/>
          <w:szCs w:val="22"/>
          <w:lang w:val="pl-PL"/>
        </w:rPr>
        <w:t xml:space="preserve">tej </w:t>
      </w:r>
      <w:r w:rsidRPr="00135850">
        <w:rPr>
          <w:rFonts w:ascii="Tahoma" w:hAnsi="Tahoma" w:cs="Tahoma"/>
          <w:i/>
          <w:sz w:val="22"/>
          <w:szCs w:val="22"/>
          <w:lang w:val="pl-PL"/>
        </w:rPr>
        <w:t xml:space="preserve">dziedzinie jest bardzo ważna, aby zagwarantować rozwój najbardziej innowacyjnych produktów i usług 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- </w:t>
      </w:r>
      <w:r>
        <w:rPr>
          <w:rFonts w:ascii="Tahoma" w:hAnsi="Tahoma" w:cs="Tahoma"/>
          <w:sz w:val="22"/>
          <w:szCs w:val="22"/>
          <w:lang w:val="pl-PL"/>
        </w:rPr>
        <w:t>skomentował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 Tony </w:t>
      </w:r>
      <w:proofErr w:type="spellStart"/>
      <w:r w:rsidRPr="00135850">
        <w:rPr>
          <w:rFonts w:ascii="Tahoma" w:hAnsi="Tahoma" w:cs="Tahoma"/>
          <w:sz w:val="22"/>
          <w:szCs w:val="22"/>
          <w:lang w:val="pl-PL"/>
        </w:rPr>
        <w:t>Jin</w:t>
      </w:r>
      <w:proofErr w:type="spellEnd"/>
      <w:r w:rsidRPr="00135850">
        <w:rPr>
          <w:rFonts w:ascii="Tahoma" w:hAnsi="Tahoma" w:cs="Tahoma"/>
          <w:sz w:val="22"/>
          <w:szCs w:val="22"/>
          <w:lang w:val="pl-PL"/>
        </w:rPr>
        <w:t xml:space="preserve">, </w:t>
      </w:r>
      <w:r w:rsidR="00034A98">
        <w:rPr>
          <w:rFonts w:ascii="Tahoma" w:hAnsi="Tahoma" w:cs="Tahoma"/>
          <w:sz w:val="22"/>
          <w:szCs w:val="22"/>
          <w:lang w:val="pl-PL"/>
        </w:rPr>
        <w:t>g</w:t>
      </w:r>
      <w:r w:rsidR="00034A98" w:rsidRPr="00135850">
        <w:rPr>
          <w:rFonts w:ascii="Tahoma" w:hAnsi="Tahoma" w:cs="Tahoma"/>
          <w:sz w:val="22"/>
          <w:szCs w:val="22"/>
          <w:lang w:val="pl-PL"/>
        </w:rPr>
        <w:t xml:space="preserve">łówny </w:t>
      </w:r>
      <w:r w:rsidR="00034A98">
        <w:rPr>
          <w:rFonts w:ascii="Tahoma" w:hAnsi="Tahoma" w:cs="Tahoma"/>
          <w:sz w:val="22"/>
          <w:szCs w:val="22"/>
          <w:lang w:val="pl-PL"/>
        </w:rPr>
        <w:t>p</w:t>
      </w:r>
      <w:r w:rsidR="00034A98" w:rsidRPr="00135850">
        <w:rPr>
          <w:rFonts w:ascii="Tahoma" w:hAnsi="Tahoma" w:cs="Tahoma"/>
          <w:sz w:val="22"/>
          <w:szCs w:val="22"/>
          <w:lang w:val="pl-PL"/>
        </w:rPr>
        <w:t xml:space="preserve">rzedstawiciel 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Huawei </w:t>
      </w:r>
      <w:r w:rsidR="008D6BDE">
        <w:rPr>
          <w:rFonts w:ascii="Tahoma" w:hAnsi="Tahoma" w:cs="Tahoma"/>
          <w:sz w:val="22"/>
          <w:szCs w:val="22"/>
          <w:lang w:val="pl-PL"/>
        </w:rPr>
        <w:t>przy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 instytucjach UE.</w:t>
      </w:r>
    </w:p>
    <w:p w14:paraId="5C04AE63" w14:textId="43A79468" w:rsidR="00133210" w:rsidRDefault="00133210" w:rsidP="00135850">
      <w:pPr>
        <w:pStyle w:val="Tekstkomentarza"/>
        <w:jc w:val="both"/>
        <w:rPr>
          <w:rFonts w:ascii="Tahoma" w:hAnsi="Tahoma" w:cs="Tahoma"/>
          <w:sz w:val="22"/>
          <w:szCs w:val="22"/>
          <w:lang w:val="pl-PL"/>
        </w:rPr>
      </w:pPr>
    </w:p>
    <w:p w14:paraId="0EF52443" w14:textId="1F1EDC58" w:rsidR="00133210" w:rsidRDefault="00133210" w:rsidP="00135850">
      <w:pPr>
        <w:pStyle w:val="Tekstkomentarza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pict w14:anchorId="27F69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5pt;height:232.5pt">
            <v:imagedata r:id="rId7" o:title="wyniki ue"/>
          </v:shape>
        </w:pict>
      </w:r>
      <w:bookmarkStart w:id="0" w:name="_GoBack"/>
      <w:bookmarkEnd w:id="0"/>
    </w:p>
    <w:p w14:paraId="56BA0B82" w14:textId="77777777" w:rsidR="00135850" w:rsidRDefault="00135850" w:rsidP="00135850">
      <w:pPr>
        <w:pStyle w:val="Tekstkomentarza"/>
        <w:jc w:val="both"/>
        <w:rPr>
          <w:rFonts w:ascii="Tahoma" w:hAnsi="Tahoma" w:cs="Tahoma"/>
          <w:sz w:val="22"/>
          <w:szCs w:val="22"/>
          <w:lang w:val="pl-PL"/>
        </w:rPr>
      </w:pPr>
    </w:p>
    <w:p w14:paraId="1AD02269" w14:textId="6B53A633" w:rsidR="00064660" w:rsidRPr="00064660" w:rsidRDefault="00135850" w:rsidP="00135850">
      <w:pPr>
        <w:pStyle w:val="Tekstkomentarza"/>
        <w:jc w:val="both"/>
        <w:rPr>
          <w:rFonts w:ascii="Tahoma" w:hAnsi="Tahoma" w:cs="Tahoma"/>
          <w:sz w:val="22"/>
          <w:szCs w:val="22"/>
          <w:lang w:val="pl-PL"/>
        </w:rPr>
      </w:pPr>
      <w:r w:rsidRPr="00135850">
        <w:rPr>
          <w:rFonts w:ascii="Tahoma" w:hAnsi="Tahoma" w:cs="Tahoma"/>
          <w:sz w:val="22"/>
          <w:szCs w:val="22"/>
          <w:lang w:val="pl-PL"/>
        </w:rPr>
        <w:t xml:space="preserve">Duża część globalnych </w:t>
      </w:r>
      <w:r w:rsidR="008E3717">
        <w:rPr>
          <w:rFonts w:ascii="Tahoma" w:hAnsi="Tahoma" w:cs="Tahoma"/>
          <w:sz w:val="22"/>
          <w:szCs w:val="22"/>
          <w:lang w:val="pl-PL"/>
        </w:rPr>
        <w:t>projektów z zakresu R&amp;D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 prowadzonych przez Huawei </w:t>
      </w:r>
      <w:r w:rsidR="008E3717">
        <w:rPr>
          <w:rFonts w:ascii="Tahoma" w:hAnsi="Tahoma" w:cs="Tahoma"/>
          <w:sz w:val="22"/>
          <w:szCs w:val="22"/>
          <w:lang w:val="pl-PL"/>
        </w:rPr>
        <w:t xml:space="preserve">ma miejsce </w:t>
      </w:r>
      <w:r w:rsidRPr="00135850">
        <w:rPr>
          <w:rFonts w:ascii="Tahoma" w:hAnsi="Tahoma" w:cs="Tahoma"/>
          <w:sz w:val="22"/>
          <w:szCs w:val="22"/>
          <w:lang w:val="pl-PL"/>
        </w:rPr>
        <w:t>w Europie. Swoje pierwsze centrum badawcze Huawei otworzył w Szwecj</w:t>
      </w:r>
      <w:r w:rsidR="00064660">
        <w:rPr>
          <w:rFonts w:ascii="Tahoma" w:hAnsi="Tahoma" w:cs="Tahoma"/>
          <w:sz w:val="22"/>
          <w:szCs w:val="22"/>
          <w:lang w:val="pl-PL"/>
        </w:rPr>
        <w:t xml:space="preserve">i </w:t>
      </w:r>
      <w:r w:rsidR="008E3717">
        <w:rPr>
          <w:rFonts w:ascii="Tahoma" w:hAnsi="Tahoma" w:cs="Tahoma"/>
          <w:sz w:val="22"/>
          <w:szCs w:val="22"/>
          <w:lang w:val="pl-PL"/>
        </w:rPr>
        <w:t>ju</w:t>
      </w:r>
      <w:r w:rsidR="00064660">
        <w:rPr>
          <w:rFonts w:ascii="Tahoma" w:hAnsi="Tahoma" w:cs="Tahoma"/>
          <w:sz w:val="22"/>
          <w:szCs w:val="22"/>
          <w:lang w:val="pl-PL"/>
        </w:rPr>
        <w:t xml:space="preserve">ż 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w 2000 roku. </w:t>
      </w:r>
      <w:r w:rsidR="00064660">
        <w:rPr>
          <w:rFonts w:ascii="Tahoma" w:hAnsi="Tahoma" w:cs="Tahoma"/>
          <w:sz w:val="22"/>
          <w:szCs w:val="22"/>
          <w:lang w:val="pl-PL"/>
        </w:rPr>
        <w:t>W</w:t>
      </w:r>
      <w:r w:rsidR="00064660" w:rsidRPr="00064660">
        <w:rPr>
          <w:rFonts w:ascii="Tahoma" w:hAnsi="Tahoma" w:cs="Tahoma"/>
          <w:sz w:val="22"/>
          <w:szCs w:val="22"/>
          <w:lang w:val="pl-PL"/>
        </w:rPr>
        <w:t xml:space="preserve"> Warszawie w ramach Warsaw Research Center </w:t>
      </w:r>
      <w:r w:rsidR="00064660">
        <w:rPr>
          <w:rFonts w:ascii="Tahoma" w:hAnsi="Tahoma" w:cs="Tahoma"/>
          <w:sz w:val="22"/>
          <w:szCs w:val="22"/>
          <w:lang w:val="pl-PL"/>
        </w:rPr>
        <w:t xml:space="preserve">eksperci Huawei </w:t>
      </w:r>
      <w:r w:rsidR="00064660">
        <w:rPr>
          <w:rFonts w:ascii="Tahoma" w:hAnsi="Tahoma" w:cs="Tahoma"/>
          <w:sz w:val="22"/>
          <w:szCs w:val="22"/>
          <w:lang w:val="pl-PL"/>
        </w:rPr>
        <w:lastRenderedPageBreak/>
        <w:t xml:space="preserve">zajmują </w:t>
      </w:r>
      <w:r w:rsidR="00064660" w:rsidRPr="00064660">
        <w:rPr>
          <w:rFonts w:ascii="Tahoma" w:hAnsi="Tahoma" w:cs="Tahoma"/>
          <w:sz w:val="22"/>
          <w:szCs w:val="22"/>
          <w:lang w:val="pl-PL"/>
        </w:rPr>
        <w:t xml:space="preserve">się </w:t>
      </w:r>
      <w:r w:rsidR="00064660">
        <w:rPr>
          <w:rFonts w:ascii="Tahoma" w:hAnsi="Tahoma" w:cs="Tahoma"/>
          <w:sz w:val="22"/>
          <w:szCs w:val="22"/>
          <w:lang w:val="pl-PL"/>
        </w:rPr>
        <w:t xml:space="preserve">m.in. </w:t>
      </w:r>
      <w:r w:rsidR="00064660" w:rsidRPr="00064660">
        <w:rPr>
          <w:rFonts w:ascii="Tahoma" w:hAnsi="Tahoma" w:cs="Tahoma"/>
          <w:sz w:val="22"/>
          <w:szCs w:val="22"/>
          <w:lang w:val="pl-PL"/>
        </w:rPr>
        <w:t>rozwojem technologii sztucznej inteligencji oraz rozwiązań chmurowych.</w:t>
      </w:r>
    </w:p>
    <w:p w14:paraId="0CA3758A" w14:textId="77777777" w:rsidR="00064660" w:rsidRDefault="00064660" w:rsidP="00135850">
      <w:pPr>
        <w:pStyle w:val="Tekstkomentarza"/>
        <w:jc w:val="both"/>
        <w:rPr>
          <w:rFonts w:ascii="Tahoma" w:hAnsi="Tahoma" w:cs="Tahoma"/>
          <w:sz w:val="22"/>
          <w:szCs w:val="22"/>
          <w:lang w:val="pl-PL"/>
        </w:rPr>
      </w:pPr>
    </w:p>
    <w:p w14:paraId="26F60C41" w14:textId="5EC0A9C5" w:rsidR="004A7E99" w:rsidRDefault="00135850" w:rsidP="00135850">
      <w:pPr>
        <w:pStyle w:val="Tekstkomentarza"/>
        <w:jc w:val="both"/>
        <w:rPr>
          <w:rFonts w:ascii="Tahoma" w:hAnsi="Tahoma" w:cs="Tahoma"/>
          <w:sz w:val="22"/>
          <w:szCs w:val="22"/>
          <w:lang w:val="pl-PL"/>
        </w:rPr>
      </w:pPr>
      <w:r w:rsidRPr="00135850">
        <w:rPr>
          <w:rFonts w:ascii="Tahoma" w:hAnsi="Tahoma" w:cs="Tahoma"/>
          <w:sz w:val="22"/>
          <w:szCs w:val="22"/>
          <w:lang w:val="pl-PL"/>
        </w:rPr>
        <w:t>Obecnie Huawei zatrudnia ponad 2 400 naukowców w 23 cent</w:t>
      </w:r>
      <w:r w:rsidR="008E3717">
        <w:rPr>
          <w:rFonts w:ascii="Tahoma" w:hAnsi="Tahoma" w:cs="Tahoma"/>
          <w:sz w:val="22"/>
          <w:szCs w:val="22"/>
          <w:lang w:val="pl-PL"/>
        </w:rPr>
        <w:t>rach badawczych w całej Europie, a d</w:t>
      </w:r>
      <w:r w:rsidRPr="00135850">
        <w:rPr>
          <w:rFonts w:ascii="Tahoma" w:hAnsi="Tahoma" w:cs="Tahoma"/>
          <w:sz w:val="22"/>
          <w:szCs w:val="22"/>
          <w:lang w:val="pl-PL"/>
        </w:rPr>
        <w:t>zięki współpracy z ponad 150 europejskimi uniwersytetami, Huawei jest głęboko zakorzenio</w:t>
      </w:r>
      <w:r w:rsidR="008E3717">
        <w:rPr>
          <w:rFonts w:ascii="Tahoma" w:hAnsi="Tahoma" w:cs="Tahoma"/>
          <w:sz w:val="22"/>
          <w:szCs w:val="22"/>
          <w:lang w:val="pl-PL"/>
        </w:rPr>
        <w:t>ny w ekosystemie badawczym ICT Starego Kontynentu</w:t>
      </w:r>
      <w:r w:rsidRPr="00135850">
        <w:rPr>
          <w:rFonts w:ascii="Tahoma" w:hAnsi="Tahoma" w:cs="Tahoma"/>
          <w:sz w:val="22"/>
          <w:szCs w:val="22"/>
          <w:lang w:val="pl-PL"/>
        </w:rPr>
        <w:t>. Dzięki tej współpracy badawczej Huawei sprawia, że Europa jest przygotowana do</w:t>
      </w:r>
      <w:r w:rsidR="008E3717">
        <w:rPr>
          <w:rFonts w:ascii="Tahoma" w:hAnsi="Tahoma" w:cs="Tahoma"/>
          <w:sz w:val="22"/>
          <w:szCs w:val="22"/>
          <w:lang w:val="pl-PL"/>
        </w:rPr>
        <w:t xml:space="preserve"> rozwoju </w:t>
      </w:r>
      <w:r w:rsidR="00EF599E">
        <w:rPr>
          <w:rFonts w:ascii="Tahoma" w:hAnsi="Tahoma" w:cs="Tahoma"/>
          <w:sz w:val="22"/>
          <w:szCs w:val="22"/>
          <w:lang w:val="pl-PL"/>
        </w:rPr>
        <w:t xml:space="preserve">w </w:t>
      </w:r>
      <w:r w:rsidR="008E3717">
        <w:rPr>
          <w:rFonts w:ascii="Tahoma" w:hAnsi="Tahoma" w:cs="Tahoma"/>
          <w:sz w:val="22"/>
          <w:szCs w:val="22"/>
          <w:lang w:val="pl-PL"/>
        </w:rPr>
        <w:t>erze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 cyfrowej.</w:t>
      </w:r>
      <w:r w:rsidR="008E3717">
        <w:rPr>
          <w:rFonts w:ascii="Tahoma" w:hAnsi="Tahoma" w:cs="Tahoma"/>
          <w:sz w:val="22"/>
          <w:szCs w:val="22"/>
          <w:lang w:val="pl-PL"/>
        </w:rPr>
        <w:t xml:space="preserve"> Według ekspertów Huawei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 międzynarodowa współpraca badawcza wzmacnia </w:t>
      </w:r>
      <w:r w:rsidR="00B54058">
        <w:rPr>
          <w:rFonts w:ascii="Tahoma" w:hAnsi="Tahoma" w:cs="Tahoma"/>
          <w:sz w:val="22"/>
          <w:szCs w:val="22"/>
          <w:lang w:val="pl-PL"/>
        </w:rPr>
        <w:t xml:space="preserve">dziś </w:t>
      </w:r>
      <w:r w:rsidRPr="00135850">
        <w:rPr>
          <w:rFonts w:ascii="Tahoma" w:hAnsi="Tahoma" w:cs="Tahoma"/>
          <w:sz w:val="22"/>
          <w:szCs w:val="22"/>
          <w:lang w:val="pl-PL"/>
        </w:rPr>
        <w:t>konkurencyjność Unii Europejskiej i przyczynia się do łagodzenia zmian klimatycznych, wspierając tym samym strategicznie</w:t>
      </w:r>
      <w:r w:rsidR="008E3717">
        <w:rPr>
          <w:rFonts w:ascii="Tahoma" w:hAnsi="Tahoma" w:cs="Tahoma"/>
          <w:sz w:val="22"/>
          <w:szCs w:val="22"/>
          <w:lang w:val="pl-PL"/>
        </w:rPr>
        <w:t xml:space="preserve"> cele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 Europejski</w:t>
      </w:r>
      <w:r w:rsidR="008E3717">
        <w:rPr>
          <w:rFonts w:ascii="Tahoma" w:hAnsi="Tahoma" w:cs="Tahoma"/>
          <w:sz w:val="22"/>
          <w:szCs w:val="22"/>
          <w:lang w:val="pl-PL"/>
        </w:rPr>
        <w:t>ego Zielonego</w:t>
      </w:r>
      <w:r w:rsidRPr="00135850">
        <w:rPr>
          <w:rFonts w:ascii="Tahoma" w:hAnsi="Tahoma" w:cs="Tahoma"/>
          <w:sz w:val="22"/>
          <w:szCs w:val="22"/>
          <w:lang w:val="pl-PL"/>
        </w:rPr>
        <w:t xml:space="preserve"> Ład</w:t>
      </w:r>
      <w:r w:rsidR="008E3717">
        <w:rPr>
          <w:rFonts w:ascii="Tahoma" w:hAnsi="Tahoma" w:cs="Tahoma"/>
          <w:sz w:val="22"/>
          <w:szCs w:val="22"/>
          <w:lang w:val="pl-PL"/>
        </w:rPr>
        <w:t>u</w:t>
      </w:r>
      <w:r w:rsidRPr="00135850">
        <w:rPr>
          <w:rFonts w:ascii="Tahoma" w:hAnsi="Tahoma" w:cs="Tahoma"/>
          <w:sz w:val="22"/>
          <w:szCs w:val="22"/>
          <w:lang w:val="pl-PL"/>
        </w:rPr>
        <w:t>.</w:t>
      </w:r>
    </w:p>
    <w:p w14:paraId="2AA5E7C1" w14:textId="77777777" w:rsidR="00E92E07" w:rsidRDefault="00E92E07" w:rsidP="00135850">
      <w:pPr>
        <w:pStyle w:val="Tekstkomentarza"/>
        <w:jc w:val="both"/>
        <w:rPr>
          <w:rFonts w:ascii="Tahoma" w:hAnsi="Tahoma" w:cs="Tahoma"/>
          <w:sz w:val="22"/>
          <w:szCs w:val="22"/>
          <w:lang w:val="pl-PL"/>
        </w:rPr>
      </w:pPr>
    </w:p>
    <w:p w14:paraId="39B89FB8" w14:textId="4D4A9B9D" w:rsidR="00E92E07" w:rsidRDefault="00E92E07" w:rsidP="00135850">
      <w:pPr>
        <w:pStyle w:val="Tekstkomentarza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Pełna treść nowej edycji raportu „</w:t>
      </w:r>
      <w:r w:rsidRPr="00E92E07">
        <w:rPr>
          <w:rFonts w:ascii="Tahoma" w:hAnsi="Tahoma" w:cs="Tahoma"/>
          <w:sz w:val="22"/>
          <w:szCs w:val="22"/>
          <w:lang w:val="pl-PL"/>
        </w:rPr>
        <w:t>EU Indus</w:t>
      </w:r>
      <w:r>
        <w:rPr>
          <w:rFonts w:ascii="Tahoma" w:hAnsi="Tahoma" w:cs="Tahoma"/>
          <w:sz w:val="22"/>
          <w:szCs w:val="22"/>
          <w:lang w:val="pl-PL"/>
        </w:rPr>
        <w:t xml:space="preserve">trial R&amp;D Investment Scoreboard” dostępna jest tutaj: </w:t>
      </w:r>
      <w:hyperlink r:id="rId8" w:history="1">
        <w:r w:rsidR="008335ED" w:rsidRPr="00D300C6">
          <w:rPr>
            <w:rStyle w:val="Hipercze"/>
            <w:rFonts w:ascii="Tahoma" w:hAnsi="Tahoma" w:cs="Tahoma"/>
            <w:sz w:val="22"/>
            <w:szCs w:val="22"/>
            <w:lang w:val="pl-PL"/>
          </w:rPr>
          <w:t>https://www-file.huawei.com/-/media/corporate/pdf/news/eu-rd-scoreboard.pdf?la=en</w:t>
        </w:r>
      </w:hyperlink>
      <w:r w:rsidR="008335ED">
        <w:rPr>
          <w:rFonts w:ascii="Tahoma" w:hAnsi="Tahoma" w:cs="Tahoma"/>
          <w:sz w:val="22"/>
          <w:szCs w:val="22"/>
          <w:lang w:val="pl-PL"/>
        </w:rPr>
        <w:t xml:space="preserve"> </w:t>
      </w:r>
    </w:p>
    <w:p w14:paraId="06A5154B" w14:textId="66426153" w:rsidR="00C5558F" w:rsidRDefault="00C5558F" w:rsidP="00C5558F">
      <w:pPr>
        <w:spacing w:line="240" w:lineRule="auto"/>
        <w:ind w:leftChars="0" w:left="0"/>
        <w:jc w:val="both"/>
        <w:rPr>
          <w:rFonts w:ascii="Tahoma" w:hAnsi="Tahoma" w:cs="Tahoma"/>
          <w:sz w:val="22"/>
          <w:szCs w:val="22"/>
          <w:lang w:val="pl-PL"/>
        </w:rPr>
      </w:pPr>
    </w:p>
    <w:p w14:paraId="1B9C8F29" w14:textId="02D44470" w:rsidR="00C5558F" w:rsidRPr="006F116B" w:rsidRDefault="00C5558F" w:rsidP="00C5558F">
      <w:pPr>
        <w:spacing w:line="240" w:lineRule="auto"/>
        <w:ind w:leftChars="0" w:left="0"/>
        <w:jc w:val="center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---koniec--</w:t>
      </w:r>
    </w:p>
    <w:p w14:paraId="4A815B4F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b/>
          <w:sz w:val="22"/>
          <w:szCs w:val="22"/>
          <w:lang w:val="pl-PL"/>
        </w:rPr>
      </w:pPr>
    </w:p>
    <w:p w14:paraId="5F98CCF3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Dzięki wysokim inwestycjom w badania i rozwój oraz strategii zorientowanej na klienta, a także otwartemu partnerstwu, tworzy zaawansowane rozwiązania teleinformatyczne typu end-to-end, umożliwiając klientom przewagę konkurencyjną w zakresie infrastruktury telekomunikacyjnej, sieciowej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</w:t>
      </w:r>
    </w:p>
    <w:p w14:paraId="03FB6BA9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</w:p>
    <w:p w14:paraId="5F5DDCA7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Aby uzyskać więcej informacji odwiedź stronę www.huawei.com lub śledź nas na:</w:t>
      </w:r>
    </w:p>
    <w:p w14:paraId="2EE6DD98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</w:p>
    <w:p w14:paraId="69CFCB69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http://www.linkedin.com/company/Huawei</w:t>
      </w:r>
    </w:p>
    <w:p w14:paraId="63BB6803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https://twitter.com/PolskaHuawei</w:t>
      </w:r>
    </w:p>
    <w:p w14:paraId="2792385F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http://www.facebook.com/HuaweiPL</w:t>
      </w:r>
    </w:p>
    <w:p w14:paraId="2F8962F7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http://www/youtube.com/Huawei</w:t>
      </w:r>
    </w:p>
    <w:p w14:paraId="44A65806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</w:p>
    <w:p w14:paraId="3C8BC428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Więcej informacji na temat działalności Huawei Polska (Carrier Network Business Group) można znaleźć na stronie Biura Prasowego.</w:t>
      </w:r>
    </w:p>
    <w:p w14:paraId="58F11489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</w:p>
    <w:p w14:paraId="33ADBC17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Kontakt dla mediów:</w:t>
      </w:r>
    </w:p>
    <w:p w14:paraId="2B157C8C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</w:p>
    <w:p w14:paraId="7257D78E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Marcin Sałański</w:t>
      </w:r>
    </w:p>
    <w:p w14:paraId="2EF5547A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Advisor</w:t>
      </w:r>
    </w:p>
    <w:p w14:paraId="14B6A9C2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MSL</w:t>
      </w:r>
    </w:p>
    <w:p w14:paraId="3E9B3E5C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marcin.salanski@mslgroup.com</w:t>
      </w:r>
    </w:p>
    <w:p w14:paraId="64B422D1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690 457 516</w:t>
      </w:r>
    </w:p>
    <w:p w14:paraId="6DA88C22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</w:p>
    <w:p w14:paraId="7614D6E1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</w:rPr>
      </w:pPr>
      <w:r w:rsidRPr="00C5558F">
        <w:rPr>
          <w:rFonts w:ascii="Tahoma" w:eastAsia="Arial Unicode MS" w:hAnsi="Tahoma" w:cs="Tahoma"/>
          <w:sz w:val="22"/>
          <w:szCs w:val="22"/>
        </w:rPr>
        <w:t>Mateusz Kaczor</w:t>
      </w:r>
    </w:p>
    <w:p w14:paraId="1884708C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</w:rPr>
      </w:pPr>
      <w:r w:rsidRPr="00C5558F">
        <w:rPr>
          <w:rFonts w:ascii="Tahoma" w:eastAsia="Arial Unicode MS" w:hAnsi="Tahoma" w:cs="Tahoma"/>
          <w:sz w:val="22"/>
          <w:szCs w:val="22"/>
        </w:rPr>
        <w:t>Junior Account Manager</w:t>
      </w:r>
    </w:p>
    <w:p w14:paraId="2BDE799C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</w:rPr>
      </w:pPr>
      <w:r w:rsidRPr="00C5558F">
        <w:rPr>
          <w:rFonts w:ascii="Tahoma" w:eastAsia="Arial Unicode MS" w:hAnsi="Tahoma" w:cs="Tahoma"/>
          <w:sz w:val="22"/>
          <w:szCs w:val="22"/>
        </w:rPr>
        <w:t>MSL</w:t>
      </w:r>
    </w:p>
    <w:p w14:paraId="10EC2BD8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mateusz.kaczor@mslgroup.com</w:t>
      </w:r>
    </w:p>
    <w:p w14:paraId="4F5AAC99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  <w:r w:rsidRPr="00C5558F">
        <w:rPr>
          <w:rFonts w:ascii="Tahoma" w:eastAsia="Arial Unicode MS" w:hAnsi="Tahoma" w:cs="Tahoma"/>
          <w:sz w:val="22"/>
          <w:szCs w:val="22"/>
          <w:lang w:val="pl-PL"/>
        </w:rPr>
        <w:t>608 389 441</w:t>
      </w:r>
    </w:p>
    <w:p w14:paraId="649C4D16" w14:textId="77777777" w:rsidR="00C5558F" w:rsidRPr="00C5558F" w:rsidRDefault="00C5558F" w:rsidP="00C5558F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</w:p>
    <w:p w14:paraId="0F6EC26B" w14:textId="77777777" w:rsidR="000B1506" w:rsidRPr="00C5558F" w:rsidRDefault="000B1506" w:rsidP="006F116B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</w:p>
    <w:p w14:paraId="27253DC4" w14:textId="77777777" w:rsidR="000B1506" w:rsidRPr="00C5558F" w:rsidRDefault="000B1506" w:rsidP="006F116B">
      <w:pPr>
        <w:pStyle w:val="Tekstkomentarza"/>
        <w:rPr>
          <w:rFonts w:ascii="Tahoma" w:eastAsia="Arial Unicode MS" w:hAnsi="Tahoma" w:cs="Tahoma"/>
          <w:sz w:val="22"/>
          <w:szCs w:val="22"/>
          <w:lang w:val="pl-PL"/>
        </w:rPr>
      </w:pPr>
    </w:p>
    <w:p w14:paraId="4AA290EA" w14:textId="200528EE" w:rsidR="006A6ECF" w:rsidRPr="00C5558F" w:rsidRDefault="006A6ECF" w:rsidP="006F116B">
      <w:pPr>
        <w:spacing w:line="240" w:lineRule="auto"/>
        <w:ind w:leftChars="0" w:left="0"/>
        <w:jc w:val="both"/>
        <w:rPr>
          <w:rFonts w:ascii="Tahoma" w:eastAsiaTheme="minorEastAsia" w:hAnsi="Tahoma" w:cs="Tahoma"/>
          <w:sz w:val="22"/>
          <w:szCs w:val="22"/>
          <w:lang w:val="pl-PL"/>
        </w:rPr>
      </w:pPr>
    </w:p>
    <w:sectPr w:rsidR="006A6ECF" w:rsidRPr="00C5558F" w:rsidSect="00B15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11AD0" w14:textId="77777777" w:rsidR="00DB1E93" w:rsidRDefault="00DB1E93">
      <w:pPr>
        <w:ind w:left="420"/>
      </w:pPr>
      <w:r>
        <w:separator/>
      </w:r>
    </w:p>
  </w:endnote>
  <w:endnote w:type="continuationSeparator" w:id="0">
    <w:p w14:paraId="30B05C05" w14:textId="77777777" w:rsidR="00DB1E93" w:rsidRDefault="00DB1E93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B2001" w14:textId="77777777" w:rsidR="0086396E" w:rsidRDefault="0086396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86396E" w14:paraId="05A4FBB2" w14:textId="77777777" w:rsidTr="006C07FD">
      <w:trPr>
        <w:trHeight w:val="257"/>
      </w:trPr>
      <w:tc>
        <w:tcPr>
          <w:tcW w:w="996" w:type="pct"/>
        </w:tcPr>
        <w:p w14:paraId="27886889" w14:textId="203DD678" w:rsidR="0086396E" w:rsidRDefault="0086396E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8335ED">
            <w:rPr>
              <w:noProof/>
            </w:rPr>
            <w:t>2021-12-22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371F16E1" w14:textId="77777777" w:rsidR="0086396E" w:rsidRDefault="0086396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3EBD77AD" w14:textId="5F2FC378" w:rsidR="0086396E" w:rsidRDefault="0086396E" w:rsidP="001B2A88">
          <w:pPr>
            <w:pStyle w:val="Stopka"/>
            <w:ind w:right="360" w:firstLineChars="500" w:firstLine="900"/>
          </w:pPr>
          <w:r>
            <w:t>Page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3321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, Total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13321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55898F5" w14:textId="77777777" w:rsidR="0086396E" w:rsidRDefault="008639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DC80" w14:textId="77777777" w:rsidR="0086396E" w:rsidRDefault="0086396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A8CB7" w14:textId="77777777" w:rsidR="00DB1E93" w:rsidRDefault="00DB1E93">
      <w:pPr>
        <w:ind w:left="420"/>
      </w:pPr>
      <w:r>
        <w:separator/>
      </w:r>
    </w:p>
  </w:footnote>
  <w:footnote w:type="continuationSeparator" w:id="0">
    <w:p w14:paraId="15000792" w14:textId="77777777" w:rsidR="00DB1E93" w:rsidRDefault="00DB1E93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F0D5" w14:textId="77777777" w:rsidR="0086396E" w:rsidRDefault="0086396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86396E" w14:paraId="6065FA49" w14:textId="77777777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14:paraId="68ECEC5A" w14:textId="77777777" w:rsidR="0086396E" w:rsidRDefault="0086396E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00B7944F" wp14:editId="1DC14C9B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342DE2" w14:textId="77777777" w:rsidR="0086396E" w:rsidRDefault="0086396E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14:paraId="40D1143D" w14:textId="77777777" w:rsidR="0086396E" w:rsidRDefault="0086396E" w:rsidP="00A61813">
          <w:pPr>
            <w:pStyle w:val="Nagwek"/>
            <w:ind w:firstLineChars="300" w:firstLine="540"/>
          </w:pP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14:paraId="30023989" w14:textId="2ED39A2C" w:rsidR="0086396E" w:rsidRPr="00C47EB9" w:rsidRDefault="0086396E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1BA488BD" wp14:editId="121E8302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116B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t>Informacja prasowa</w:t>
          </w:r>
        </w:p>
      </w:tc>
    </w:tr>
  </w:tbl>
  <w:p w14:paraId="433FA13B" w14:textId="77777777" w:rsidR="0086396E" w:rsidRDefault="0086396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B3D0" w14:textId="77777777" w:rsidR="0086396E" w:rsidRDefault="0086396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0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7"/>
  </w:num>
  <w:num w:numId="5">
    <w:abstractNumId w:val="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8"/>
  </w:num>
  <w:num w:numId="25">
    <w:abstractNumId w:val="8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8"/>
  </w:num>
  <w:num w:numId="31">
    <w:abstractNumId w:val="8"/>
  </w:num>
  <w:num w:numId="32">
    <w:abstractNumId w:val="13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1B"/>
    <w:rsid w:val="00034A98"/>
    <w:rsid w:val="0003583D"/>
    <w:rsid w:val="00040703"/>
    <w:rsid w:val="000427F1"/>
    <w:rsid w:val="00064660"/>
    <w:rsid w:val="000A240F"/>
    <w:rsid w:val="000A3A75"/>
    <w:rsid w:val="000B1506"/>
    <w:rsid w:val="000C2FA5"/>
    <w:rsid w:val="000C714E"/>
    <w:rsid w:val="000F64DE"/>
    <w:rsid w:val="00100339"/>
    <w:rsid w:val="00121ED6"/>
    <w:rsid w:val="00127668"/>
    <w:rsid w:val="00133210"/>
    <w:rsid w:val="00135850"/>
    <w:rsid w:val="00137B72"/>
    <w:rsid w:val="00146D99"/>
    <w:rsid w:val="0016416F"/>
    <w:rsid w:val="00176478"/>
    <w:rsid w:val="001B2A88"/>
    <w:rsid w:val="001C0C65"/>
    <w:rsid w:val="001F6B95"/>
    <w:rsid w:val="002009B9"/>
    <w:rsid w:val="00200BF3"/>
    <w:rsid w:val="002161A2"/>
    <w:rsid w:val="00282ECF"/>
    <w:rsid w:val="002E3B0D"/>
    <w:rsid w:val="002E776D"/>
    <w:rsid w:val="002F6F14"/>
    <w:rsid w:val="00315F46"/>
    <w:rsid w:val="00316F7C"/>
    <w:rsid w:val="00323333"/>
    <w:rsid w:val="003610CC"/>
    <w:rsid w:val="00386A1C"/>
    <w:rsid w:val="00396663"/>
    <w:rsid w:val="003A0E8A"/>
    <w:rsid w:val="003A72AE"/>
    <w:rsid w:val="0040657C"/>
    <w:rsid w:val="0041004A"/>
    <w:rsid w:val="004438FF"/>
    <w:rsid w:val="0044515F"/>
    <w:rsid w:val="00451AC9"/>
    <w:rsid w:val="00453E05"/>
    <w:rsid w:val="0045571B"/>
    <w:rsid w:val="00476F25"/>
    <w:rsid w:val="004951BA"/>
    <w:rsid w:val="004A52F3"/>
    <w:rsid w:val="004A7E99"/>
    <w:rsid w:val="004B57D4"/>
    <w:rsid w:val="004D7552"/>
    <w:rsid w:val="004F71E0"/>
    <w:rsid w:val="00512DA3"/>
    <w:rsid w:val="0054694C"/>
    <w:rsid w:val="00551013"/>
    <w:rsid w:val="00552FE8"/>
    <w:rsid w:val="00560480"/>
    <w:rsid w:val="0057342F"/>
    <w:rsid w:val="00595ECB"/>
    <w:rsid w:val="005A5AB8"/>
    <w:rsid w:val="005C4777"/>
    <w:rsid w:val="005D6740"/>
    <w:rsid w:val="005E10FA"/>
    <w:rsid w:val="005E5A60"/>
    <w:rsid w:val="00604F4D"/>
    <w:rsid w:val="006405F2"/>
    <w:rsid w:val="006670B6"/>
    <w:rsid w:val="006A6ECF"/>
    <w:rsid w:val="006B1E2D"/>
    <w:rsid w:val="006C07FD"/>
    <w:rsid w:val="006E093B"/>
    <w:rsid w:val="006F116B"/>
    <w:rsid w:val="007029B1"/>
    <w:rsid w:val="00704BBA"/>
    <w:rsid w:val="00731794"/>
    <w:rsid w:val="00752A69"/>
    <w:rsid w:val="007717F6"/>
    <w:rsid w:val="007A5C1B"/>
    <w:rsid w:val="008209B1"/>
    <w:rsid w:val="00820C0E"/>
    <w:rsid w:val="008335ED"/>
    <w:rsid w:val="00842ED4"/>
    <w:rsid w:val="00845EA6"/>
    <w:rsid w:val="0086396E"/>
    <w:rsid w:val="00881D55"/>
    <w:rsid w:val="00896E1E"/>
    <w:rsid w:val="008D6BDE"/>
    <w:rsid w:val="008E1FAA"/>
    <w:rsid w:val="008E3717"/>
    <w:rsid w:val="00905BC8"/>
    <w:rsid w:val="00952067"/>
    <w:rsid w:val="00995171"/>
    <w:rsid w:val="00996890"/>
    <w:rsid w:val="00A27AE2"/>
    <w:rsid w:val="00A40B3B"/>
    <w:rsid w:val="00A41DBA"/>
    <w:rsid w:val="00A44971"/>
    <w:rsid w:val="00A61813"/>
    <w:rsid w:val="00A6295C"/>
    <w:rsid w:val="00A77AC2"/>
    <w:rsid w:val="00A80E1A"/>
    <w:rsid w:val="00AF0C76"/>
    <w:rsid w:val="00B006C2"/>
    <w:rsid w:val="00B15FFE"/>
    <w:rsid w:val="00B300F5"/>
    <w:rsid w:val="00B44BCE"/>
    <w:rsid w:val="00B54058"/>
    <w:rsid w:val="00B555EE"/>
    <w:rsid w:val="00B608D5"/>
    <w:rsid w:val="00B7081E"/>
    <w:rsid w:val="00B92448"/>
    <w:rsid w:val="00BB4DD2"/>
    <w:rsid w:val="00BC013C"/>
    <w:rsid w:val="00BC3C71"/>
    <w:rsid w:val="00BC6C81"/>
    <w:rsid w:val="00BF1068"/>
    <w:rsid w:val="00BF2704"/>
    <w:rsid w:val="00BF6301"/>
    <w:rsid w:val="00C0770E"/>
    <w:rsid w:val="00C3486B"/>
    <w:rsid w:val="00C47EB9"/>
    <w:rsid w:val="00C5558F"/>
    <w:rsid w:val="00C742BE"/>
    <w:rsid w:val="00CA6E12"/>
    <w:rsid w:val="00CB304F"/>
    <w:rsid w:val="00CD3CF5"/>
    <w:rsid w:val="00CD5949"/>
    <w:rsid w:val="00DB1E93"/>
    <w:rsid w:val="00DB24FD"/>
    <w:rsid w:val="00DE0019"/>
    <w:rsid w:val="00DF5E3D"/>
    <w:rsid w:val="00DF6801"/>
    <w:rsid w:val="00E210B8"/>
    <w:rsid w:val="00E32652"/>
    <w:rsid w:val="00E378DB"/>
    <w:rsid w:val="00E55E86"/>
    <w:rsid w:val="00E7189C"/>
    <w:rsid w:val="00E875C2"/>
    <w:rsid w:val="00E90248"/>
    <w:rsid w:val="00E92E07"/>
    <w:rsid w:val="00E97AE5"/>
    <w:rsid w:val="00EA3276"/>
    <w:rsid w:val="00EA77DF"/>
    <w:rsid w:val="00EB4FE9"/>
    <w:rsid w:val="00EB731E"/>
    <w:rsid w:val="00EC6A70"/>
    <w:rsid w:val="00ED43BF"/>
    <w:rsid w:val="00EE5130"/>
    <w:rsid w:val="00EF599E"/>
    <w:rsid w:val="00F03F2B"/>
    <w:rsid w:val="00F30E7E"/>
    <w:rsid w:val="00F34401"/>
    <w:rsid w:val="00F4268F"/>
    <w:rsid w:val="00F435DC"/>
    <w:rsid w:val="00F52EC0"/>
    <w:rsid w:val="00F53D28"/>
    <w:rsid w:val="00F57996"/>
    <w:rsid w:val="00F57AC3"/>
    <w:rsid w:val="00F6289C"/>
    <w:rsid w:val="00FA75FB"/>
    <w:rsid w:val="00FC43FD"/>
    <w:rsid w:val="00FD1421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52A99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6289C"/>
    <w:rPr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289C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b/>
      <w:bCs/>
      <w:sz w:val="21"/>
      <w:szCs w:val="21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289C"/>
    <w:rPr>
      <w:rFonts w:eastAsia="Times New Roman"/>
      <w:b/>
      <w:bCs/>
      <w:sz w:val="21"/>
      <w:szCs w:val="21"/>
    </w:rPr>
  </w:style>
  <w:style w:type="table" w:styleId="Tabela-Siatka">
    <w:name w:val="Table Grid"/>
    <w:basedOn w:val="Standardowy"/>
    <w:uiPriority w:val="39"/>
    <w:rsid w:val="0045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451AC9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1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3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file.huawei.com/-/media/corporate/pdf/news/eu-rd-scoreboard.pdf?la=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87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27</cp:revision>
  <dcterms:created xsi:type="dcterms:W3CDTF">2021-11-15T02:57:00Z</dcterms:created>
  <dcterms:modified xsi:type="dcterms:W3CDTF">2021-12-22T08:10:00Z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(3)cpjDgk5EmBnitFVwYAbRgea+WnjpFDUAoZgXEX7hI3oBdxK6mWWkD08UInSWt5O0emtxZ4MG
q+o3ykoVjEpijTx8I2qKRdudp4mDQ+NwmS5dwW8XUr+0j8wEDd3wWMqBT04LYEga3UtQ+nzU
0Aw+pMYOGJJB2SpyKWbr/9gYRT6AE755LMYhXFvcf3RgVvJqaiGu13f03tbIKE1Y82Voq4qd
eNAm1S5SQ7x0QKvlqR</vt:lpwstr>
  </property>
  <property fmtid="{D5CDD505-2E9C-101B-9397-08002B2CF9AE}" pid="7" name="_2015_ms_pID_7253431">
    <vt:lpwstr>lqDN3VO7+/RSna4e8GhdL7xFnB85EI7Q82f42ZwTFJkf0mYxczUf4D
Bl8aGH+/JF/wXAwNUtR7zQXe2xWgvZCIY1xO/UXByM6IwQyA8mN57QsmENWX+sjXxVL75jzR
Qlls3vZiAf95JdQttdkBf5l2Rw1nzI4tMnYlX4GLBojFRXpemoQffNBrD93bNU81cGBZDbaS
KEmpakYnYhCNqGrOoxJzJfTx6ChobK9xEpQE</vt:lpwstr>
  </property>
  <property fmtid="{D5CDD505-2E9C-101B-9397-08002B2CF9AE}" pid="8" name="_2015_ms_pID_7253432">
    <vt:lpwstr>/A==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1636939197</vt:lpwstr>
  </property>
</Properties>
</file>