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B4C9" w14:textId="77777777" w:rsidR="009A233D" w:rsidRDefault="009A233D" w:rsidP="004C3E26">
      <w:pPr>
        <w:spacing w:before="240" w:after="240"/>
        <w:rPr>
          <w:rFonts w:eastAsia="Times New Roman" w:cs="Calibri"/>
          <w:b/>
          <w:bCs/>
          <w:color w:val="000000"/>
          <w:sz w:val="32"/>
          <w:szCs w:val="32"/>
          <w:lang w:eastAsia="pl-PL"/>
        </w:rPr>
        <w:sectPr w:rsidR="009A233D" w:rsidSect="00F15856">
          <w:headerReference w:type="even" r:id="rId7"/>
          <w:headerReference w:type="default" r:id="rId8"/>
          <w:headerReference w:type="first" r:id="rId9"/>
          <w:pgSz w:w="11906" w:h="16838"/>
          <w:pgMar w:top="993" w:right="1134" w:bottom="1701" w:left="1134" w:header="709" w:footer="709" w:gutter="0"/>
          <w:cols w:space="708"/>
          <w:titlePg/>
          <w:docGrid w:linePitch="360"/>
        </w:sectPr>
      </w:pPr>
      <w:bookmarkStart w:id="0" w:name="_Hlk73018783"/>
      <w:r>
        <w:rPr>
          <w:rFonts w:eastAsia="Times New Roman" w:cs="Calibri"/>
          <w:b/>
          <w:noProof/>
          <w:color w:val="000000"/>
          <w:sz w:val="32"/>
          <w:szCs w:val="32"/>
          <w:lang w:val="en-US" w:eastAsia="pl-PL"/>
        </w:rPr>
        <w:drawing>
          <wp:inline distT="0" distB="0" distL="0" distR="0" wp14:anchorId="6D807E8B" wp14:editId="75839886">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14:paraId="7A644447" w14:textId="77777777" w:rsidR="009A233D" w:rsidRPr="0058076F" w:rsidRDefault="009A233D" w:rsidP="004C3E26">
      <w:pPr>
        <w:spacing w:after="0" w:line="276" w:lineRule="auto"/>
        <w:rPr>
          <w:rFonts w:cs="Calibri"/>
          <w:sz w:val="24"/>
          <w:szCs w:val="24"/>
        </w:rPr>
      </w:pPr>
    </w:p>
    <w:bookmarkEnd w:id="0"/>
    <w:p w14:paraId="739C6003" w14:textId="77777777" w:rsidR="009A233D" w:rsidRDefault="009A233D" w:rsidP="004C3E26">
      <w:pPr>
        <w:spacing w:after="0" w:line="276" w:lineRule="auto"/>
        <w:rPr>
          <w:rFonts w:cs="Calibri"/>
          <w:sz w:val="24"/>
          <w:szCs w:val="24"/>
        </w:rPr>
      </w:pPr>
      <w:r>
        <w:rPr>
          <w:rFonts w:cs="Calibri"/>
          <w:sz w:val="24"/>
          <w:szCs w:val="24"/>
        </w:rPr>
        <w:t>Kontakt dla mediów:</w:t>
      </w:r>
    </w:p>
    <w:p w14:paraId="511C359F" w14:textId="2EFD080D" w:rsidR="009A233D" w:rsidRPr="00906693" w:rsidRDefault="00E14005" w:rsidP="004C3E26">
      <w:pPr>
        <w:spacing w:after="0" w:line="276" w:lineRule="auto"/>
        <w:rPr>
          <w:rFonts w:eastAsia="Times New Roman" w:cs="Calibri"/>
          <w:b/>
          <w:bCs/>
          <w:color w:val="000000"/>
          <w:sz w:val="24"/>
          <w:szCs w:val="24"/>
          <w:lang w:eastAsia="pl-PL"/>
        </w:rPr>
      </w:pPr>
      <w:r>
        <w:rPr>
          <w:rFonts w:cs="Calibri"/>
          <w:sz w:val="24"/>
          <w:szCs w:val="24"/>
        </w:rPr>
        <w:t>Luiza Sosnowska</w:t>
      </w:r>
      <w:r w:rsidR="009A233D" w:rsidRPr="00906693">
        <w:rPr>
          <w:rFonts w:cs="Calibri"/>
          <w:sz w:val="24"/>
          <w:szCs w:val="24"/>
        </w:rPr>
        <w:t>, PARP</w:t>
      </w:r>
    </w:p>
    <w:p w14:paraId="4241E935" w14:textId="20E4E3FA" w:rsidR="009A233D" w:rsidRPr="00E14005" w:rsidRDefault="009A233D" w:rsidP="004C3E26">
      <w:pPr>
        <w:spacing w:after="0" w:line="276" w:lineRule="auto"/>
        <w:rPr>
          <w:rFonts w:cs="Calibri"/>
          <w:sz w:val="24"/>
          <w:szCs w:val="24"/>
          <w:lang w:val="en-US"/>
        </w:rPr>
      </w:pPr>
      <w:r w:rsidRPr="00E14005">
        <w:rPr>
          <w:rFonts w:cs="Calibri"/>
          <w:sz w:val="24"/>
          <w:szCs w:val="24"/>
          <w:lang w:val="en-US"/>
        </w:rPr>
        <w:t xml:space="preserve">e-mail: </w:t>
      </w:r>
      <w:hyperlink r:id="rId11" w:history="1">
        <w:r w:rsidR="00E14005" w:rsidRPr="00E14005">
          <w:rPr>
            <w:rStyle w:val="Hipercze"/>
            <w:sz w:val="24"/>
            <w:szCs w:val="24"/>
            <w:lang w:val="en-US"/>
          </w:rPr>
          <w:t>luiza_sosnowska@parp.gov.pl</w:t>
        </w:r>
      </w:hyperlink>
      <w:r w:rsidR="00E14005" w:rsidRPr="00E14005">
        <w:rPr>
          <w:sz w:val="24"/>
          <w:szCs w:val="24"/>
          <w:lang w:val="en-US"/>
        </w:rPr>
        <w:t xml:space="preserve"> </w:t>
      </w:r>
    </w:p>
    <w:p w14:paraId="759C64ED" w14:textId="7AF427D4" w:rsidR="009A233D" w:rsidRPr="00906693" w:rsidRDefault="009A233D" w:rsidP="004C3E26">
      <w:pPr>
        <w:spacing w:after="0" w:line="276" w:lineRule="auto"/>
        <w:rPr>
          <w:rFonts w:cs="Calibri"/>
          <w:sz w:val="24"/>
          <w:szCs w:val="24"/>
        </w:rPr>
      </w:pPr>
      <w:r w:rsidRPr="00906693">
        <w:rPr>
          <w:rFonts w:cs="Calibri"/>
          <w:sz w:val="24"/>
          <w:szCs w:val="24"/>
        </w:rPr>
        <w:t xml:space="preserve">tel.: </w:t>
      </w:r>
      <w:r w:rsidR="00E865AE">
        <w:rPr>
          <w:rFonts w:cs="Calibri"/>
          <w:sz w:val="24"/>
          <w:szCs w:val="24"/>
        </w:rPr>
        <w:t>880 524 959</w:t>
      </w:r>
    </w:p>
    <w:p w14:paraId="0BD8CDAA" w14:textId="77777777" w:rsidR="009A233D" w:rsidRPr="00343AAD" w:rsidRDefault="009A233D" w:rsidP="004C3E26">
      <w:pPr>
        <w:spacing w:after="0" w:line="276" w:lineRule="auto"/>
        <w:rPr>
          <w:rFonts w:cs="Calibri"/>
          <w:sz w:val="24"/>
          <w:szCs w:val="24"/>
        </w:rPr>
      </w:pPr>
    </w:p>
    <w:p w14:paraId="1756A616" w14:textId="77777777" w:rsidR="009A233D" w:rsidRPr="008614C9" w:rsidRDefault="009A233D" w:rsidP="004C3E26">
      <w:pPr>
        <w:spacing w:after="0" w:line="276" w:lineRule="auto"/>
        <w:jc w:val="right"/>
        <w:rPr>
          <w:rFonts w:cs="Calibri"/>
          <w:sz w:val="24"/>
          <w:szCs w:val="24"/>
        </w:rPr>
      </w:pPr>
      <w:r w:rsidRPr="008614C9">
        <w:rPr>
          <w:rFonts w:cs="Calibri"/>
          <w:sz w:val="24"/>
          <w:szCs w:val="24"/>
        </w:rPr>
        <w:t>Informacja prasowa</w:t>
      </w:r>
    </w:p>
    <w:p w14:paraId="722E5DBA" w14:textId="5AD2C85B" w:rsidR="009A233D" w:rsidRPr="008614C9" w:rsidRDefault="009A233D" w:rsidP="004C3E26">
      <w:pPr>
        <w:spacing w:after="0" w:line="276" w:lineRule="auto"/>
        <w:jc w:val="right"/>
        <w:rPr>
          <w:rFonts w:cs="Calibri"/>
          <w:sz w:val="24"/>
          <w:szCs w:val="24"/>
        </w:rPr>
      </w:pPr>
      <w:r w:rsidRPr="008614C9">
        <w:rPr>
          <w:rFonts w:cs="Calibri"/>
          <w:sz w:val="24"/>
          <w:szCs w:val="24"/>
        </w:rPr>
        <w:t xml:space="preserve">Warszawa, </w:t>
      </w:r>
      <w:r w:rsidR="0051766E">
        <w:rPr>
          <w:rFonts w:cs="Calibri"/>
          <w:sz w:val="24"/>
          <w:szCs w:val="24"/>
        </w:rPr>
        <w:t>2</w:t>
      </w:r>
      <w:r w:rsidR="00E865AE">
        <w:rPr>
          <w:rFonts w:cs="Calibri"/>
          <w:sz w:val="24"/>
          <w:szCs w:val="24"/>
        </w:rPr>
        <w:t>2</w:t>
      </w:r>
      <w:r w:rsidRPr="008614C9">
        <w:rPr>
          <w:rFonts w:cs="Calibri"/>
          <w:sz w:val="24"/>
          <w:szCs w:val="24"/>
        </w:rPr>
        <w:t>.</w:t>
      </w:r>
      <w:r w:rsidR="00343AAD">
        <w:rPr>
          <w:rFonts w:cs="Calibri"/>
          <w:sz w:val="24"/>
          <w:szCs w:val="24"/>
        </w:rPr>
        <w:t>1</w:t>
      </w:r>
      <w:r w:rsidR="00127972">
        <w:rPr>
          <w:rFonts w:cs="Calibri"/>
          <w:sz w:val="24"/>
          <w:szCs w:val="24"/>
        </w:rPr>
        <w:t>2</w:t>
      </w:r>
      <w:r w:rsidRPr="008614C9">
        <w:rPr>
          <w:rFonts w:cs="Calibri"/>
          <w:sz w:val="24"/>
          <w:szCs w:val="24"/>
        </w:rPr>
        <w:t>.2021 r.</w:t>
      </w:r>
    </w:p>
    <w:p w14:paraId="77CE8A33" w14:textId="77777777" w:rsidR="009A233D" w:rsidRPr="008614C9" w:rsidRDefault="009A233D" w:rsidP="004C3E26">
      <w:pPr>
        <w:spacing w:line="276" w:lineRule="auto"/>
        <w:rPr>
          <w:rFonts w:cs="Calibri"/>
          <w:sz w:val="18"/>
          <w:szCs w:val="18"/>
        </w:rPr>
      </w:pPr>
    </w:p>
    <w:p w14:paraId="4998BA71" w14:textId="77777777" w:rsidR="009A233D" w:rsidRDefault="009A233D" w:rsidP="004C3E26">
      <w:pPr>
        <w:spacing w:line="276" w:lineRule="auto"/>
        <w:rPr>
          <w:b/>
          <w:sz w:val="34"/>
          <w:szCs w:val="34"/>
        </w:rPr>
        <w:sectPr w:rsidR="009A233D" w:rsidSect="00EE5BCB">
          <w:type w:val="continuous"/>
          <w:pgSz w:w="11906" w:h="16838"/>
          <w:pgMar w:top="1701" w:right="1134" w:bottom="1701" w:left="1134" w:header="709" w:footer="709" w:gutter="0"/>
          <w:cols w:num="2" w:space="708"/>
          <w:docGrid w:linePitch="360"/>
        </w:sectPr>
      </w:pPr>
    </w:p>
    <w:p w14:paraId="03355AE5" w14:textId="77777777" w:rsidR="009A233D" w:rsidRDefault="009A233D" w:rsidP="004C3E26">
      <w:pPr>
        <w:pStyle w:val="NormalnyWeb"/>
        <w:shd w:val="clear" w:color="auto" w:fill="FFFFFF"/>
        <w:spacing w:before="0" w:beforeAutospacing="0" w:after="240" w:afterAutospacing="0"/>
        <w:rPr>
          <w:rFonts w:ascii="Calibri" w:hAnsi="Calibri" w:cs="Calibri"/>
          <w:color w:val="000000"/>
        </w:rPr>
      </w:pPr>
    </w:p>
    <w:p w14:paraId="554FF244" w14:textId="3A0781DE" w:rsidR="00127972" w:rsidRPr="00127972" w:rsidRDefault="00127972" w:rsidP="00127972">
      <w:pPr>
        <w:pStyle w:val="Nagwek1"/>
        <w:spacing w:after="240"/>
        <w:jc w:val="center"/>
        <w:rPr>
          <w:b/>
          <w:bCs/>
          <w:color w:val="000000" w:themeColor="text1"/>
        </w:rPr>
      </w:pPr>
      <w:r w:rsidRPr="004E1597">
        <w:rPr>
          <w:b/>
          <w:bCs/>
          <w:color w:val="000000" w:themeColor="text1"/>
        </w:rPr>
        <w:t xml:space="preserve">Niemal </w:t>
      </w:r>
      <w:r w:rsidR="000D1EF3" w:rsidRPr="004E1597">
        <w:rPr>
          <w:b/>
          <w:bCs/>
          <w:color w:val="000000" w:themeColor="text1"/>
        </w:rPr>
        <w:t xml:space="preserve">900 </w:t>
      </w:r>
      <w:r w:rsidRPr="004E1597">
        <w:rPr>
          <w:b/>
          <w:bCs/>
          <w:color w:val="000000" w:themeColor="text1"/>
        </w:rPr>
        <w:t>mln</w:t>
      </w:r>
      <w:r w:rsidRPr="00127972">
        <w:rPr>
          <w:b/>
          <w:bCs/>
          <w:color w:val="000000" w:themeColor="text1"/>
        </w:rPr>
        <w:t xml:space="preserve"> zł dofinansowania dla przedsiębiorców z Programu Inteligentny Rozwój w 2021 r.</w:t>
      </w:r>
    </w:p>
    <w:p w14:paraId="5FEFE279" w14:textId="7AD3315B" w:rsidR="00127972" w:rsidRDefault="00127972" w:rsidP="00782EF1">
      <w:pPr>
        <w:spacing w:before="120" w:line="276" w:lineRule="auto"/>
        <w:rPr>
          <w:b/>
          <w:bCs/>
          <w:sz w:val="24"/>
          <w:szCs w:val="24"/>
        </w:rPr>
      </w:pPr>
      <w:r w:rsidRPr="00127972">
        <w:rPr>
          <w:b/>
          <w:bCs/>
          <w:sz w:val="24"/>
          <w:szCs w:val="24"/>
        </w:rPr>
        <w:t xml:space="preserve">Koniec roku </w:t>
      </w:r>
      <w:r w:rsidR="00B636D1">
        <w:rPr>
          <w:b/>
          <w:bCs/>
          <w:sz w:val="24"/>
          <w:szCs w:val="24"/>
        </w:rPr>
        <w:t>to</w:t>
      </w:r>
      <w:r w:rsidR="00B636D1" w:rsidRPr="00127972">
        <w:rPr>
          <w:b/>
          <w:bCs/>
          <w:sz w:val="24"/>
          <w:szCs w:val="24"/>
        </w:rPr>
        <w:t xml:space="preserve"> </w:t>
      </w:r>
      <w:r w:rsidRPr="00127972">
        <w:rPr>
          <w:b/>
          <w:bCs/>
          <w:sz w:val="24"/>
          <w:szCs w:val="24"/>
        </w:rPr>
        <w:t xml:space="preserve">dobry moment na podsumowanie, jak polskie firmy skorzystały na Programie Inteligentny Rozwój. </w:t>
      </w:r>
      <w:r w:rsidR="004A319F">
        <w:rPr>
          <w:b/>
          <w:bCs/>
          <w:sz w:val="24"/>
          <w:szCs w:val="24"/>
        </w:rPr>
        <w:t>Polska Agencja Rozwoju Przedsiębiorczości przekazała</w:t>
      </w:r>
      <w:r w:rsidRPr="00127972">
        <w:rPr>
          <w:b/>
          <w:bCs/>
          <w:sz w:val="24"/>
          <w:szCs w:val="24"/>
        </w:rPr>
        <w:t xml:space="preserve"> łącznie niemal 7 mld </w:t>
      </w:r>
      <w:r w:rsidR="00B636D1">
        <w:rPr>
          <w:b/>
          <w:bCs/>
          <w:sz w:val="24"/>
          <w:szCs w:val="24"/>
        </w:rPr>
        <w:t xml:space="preserve">zł </w:t>
      </w:r>
      <w:r>
        <w:rPr>
          <w:b/>
          <w:bCs/>
          <w:sz w:val="24"/>
          <w:szCs w:val="24"/>
        </w:rPr>
        <w:t>ws</w:t>
      </w:r>
      <w:r w:rsidRPr="00127972">
        <w:rPr>
          <w:b/>
          <w:bCs/>
          <w:sz w:val="24"/>
          <w:szCs w:val="24"/>
        </w:rPr>
        <w:t>parcia na rozwój pomysłów oraz promocj</w:t>
      </w:r>
      <w:r w:rsidR="004A319F">
        <w:rPr>
          <w:b/>
          <w:bCs/>
          <w:sz w:val="24"/>
          <w:szCs w:val="24"/>
        </w:rPr>
        <w:t>ę</w:t>
      </w:r>
      <w:r w:rsidRPr="00127972">
        <w:rPr>
          <w:b/>
          <w:bCs/>
          <w:sz w:val="24"/>
          <w:szCs w:val="24"/>
        </w:rPr>
        <w:t xml:space="preserve"> produktów na rynkach zagranicznych</w:t>
      </w:r>
      <w:r w:rsidR="00E865AE">
        <w:rPr>
          <w:b/>
          <w:bCs/>
          <w:sz w:val="24"/>
          <w:szCs w:val="24"/>
        </w:rPr>
        <w:t xml:space="preserve"> w perspektywie 2014-202</w:t>
      </w:r>
      <w:r w:rsidR="00B636D1">
        <w:rPr>
          <w:b/>
          <w:bCs/>
          <w:sz w:val="24"/>
          <w:szCs w:val="24"/>
        </w:rPr>
        <w:t>0</w:t>
      </w:r>
      <w:r w:rsidRPr="00127972">
        <w:rPr>
          <w:b/>
          <w:bCs/>
          <w:sz w:val="24"/>
          <w:szCs w:val="24"/>
        </w:rPr>
        <w:t>.</w:t>
      </w:r>
    </w:p>
    <w:p w14:paraId="7AC701C6" w14:textId="58B22451" w:rsidR="0026100F" w:rsidRDefault="00127972" w:rsidP="00E865AE">
      <w:pPr>
        <w:pStyle w:val="Nagwek1"/>
        <w:rPr>
          <w:rFonts w:ascii="Calibri" w:hAnsi="Calibri" w:cs="Calibri"/>
          <w:color w:val="auto"/>
          <w:sz w:val="24"/>
          <w:szCs w:val="24"/>
        </w:rPr>
      </w:pPr>
      <w:r w:rsidRPr="0026100F">
        <w:rPr>
          <w:rFonts w:ascii="Calibri" w:hAnsi="Calibri" w:cs="Calibri"/>
          <w:color w:val="auto"/>
          <w:sz w:val="24"/>
          <w:szCs w:val="24"/>
        </w:rPr>
        <w:t xml:space="preserve">Program Inteligentny Rozwój (POIR) jest dedykowany mikro, małym i średnim przedsiębiorcom, którzy działają </w:t>
      </w:r>
      <w:r w:rsidR="001E4327">
        <w:rPr>
          <w:rFonts w:ascii="Calibri" w:hAnsi="Calibri" w:cs="Calibri"/>
          <w:color w:val="auto"/>
          <w:sz w:val="24"/>
          <w:szCs w:val="24"/>
        </w:rPr>
        <w:t xml:space="preserve">m.in. </w:t>
      </w:r>
      <w:r w:rsidRPr="0026100F">
        <w:rPr>
          <w:rFonts w:ascii="Calibri" w:hAnsi="Calibri" w:cs="Calibri"/>
          <w:color w:val="auto"/>
          <w:sz w:val="24"/>
          <w:szCs w:val="24"/>
        </w:rPr>
        <w:t xml:space="preserve">w obszarze zdrowia społecznego, </w:t>
      </w:r>
      <w:proofErr w:type="spellStart"/>
      <w:r w:rsidRPr="0026100F">
        <w:rPr>
          <w:rFonts w:ascii="Calibri" w:hAnsi="Calibri" w:cs="Calibri"/>
          <w:color w:val="auto"/>
          <w:sz w:val="24"/>
          <w:szCs w:val="24"/>
        </w:rPr>
        <w:t>biogospodarki</w:t>
      </w:r>
      <w:proofErr w:type="spellEnd"/>
      <w:r w:rsidRPr="0026100F">
        <w:rPr>
          <w:rFonts w:ascii="Calibri" w:hAnsi="Calibri" w:cs="Calibri"/>
          <w:color w:val="auto"/>
          <w:sz w:val="24"/>
          <w:szCs w:val="24"/>
        </w:rPr>
        <w:t>, zrównoważonej energetyki, surowców naturalnych, gospodarki odpadami, innowacyjnych technologii oraz procesów przemysłowych. Program przewiduje wsparcie dla firm realizujących nowatorskie projekty. Pomoc jest oferowana zarówno na etapie pomysłu i badań, jak również w fazie rozwoju produktu lub usługi oraz wprowadzeni</w:t>
      </w:r>
      <w:r w:rsidR="004E1597">
        <w:rPr>
          <w:rFonts w:ascii="Calibri" w:hAnsi="Calibri" w:cs="Calibri"/>
          <w:color w:val="auto"/>
          <w:sz w:val="24"/>
          <w:szCs w:val="24"/>
        </w:rPr>
        <w:t>a</w:t>
      </w:r>
      <w:r w:rsidRPr="0026100F">
        <w:rPr>
          <w:rFonts w:ascii="Calibri" w:hAnsi="Calibri" w:cs="Calibri"/>
          <w:color w:val="auto"/>
          <w:sz w:val="24"/>
          <w:szCs w:val="24"/>
        </w:rPr>
        <w:t xml:space="preserve"> jej na rynek. </w:t>
      </w:r>
    </w:p>
    <w:p w14:paraId="4923FD29" w14:textId="3CD1D8AF" w:rsidR="00127972" w:rsidRPr="0026100F" w:rsidRDefault="004A319F" w:rsidP="00E865AE">
      <w:pPr>
        <w:pStyle w:val="Nagwek1"/>
        <w:rPr>
          <w:rFonts w:ascii="Calibri" w:eastAsia="Times New Roman" w:hAnsi="Calibri" w:cs="Calibri"/>
          <w:color w:val="auto"/>
          <w:sz w:val="24"/>
          <w:szCs w:val="24"/>
          <w:lang w:eastAsia="pl-PL"/>
        </w:rPr>
      </w:pPr>
      <w:r>
        <w:rPr>
          <w:rFonts w:ascii="Calibri" w:hAnsi="Calibri" w:cs="Calibri"/>
          <w:color w:val="auto"/>
          <w:sz w:val="24"/>
          <w:szCs w:val="24"/>
        </w:rPr>
        <w:t>Wśród obszarów właściwych dla POIR znajdują się:</w:t>
      </w:r>
      <w:r w:rsidR="00127972" w:rsidRPr="0026100F">
        <w:rPr>
          <w:rFonts w:ascii="Calibri" w:hAnsi="Calibri" w:cs="Calibri"/>
          <w:color w:val="auto"/>
          <w:sz w:val="24"/>
          <w:szCs w:val="24"/>
        </w:rPr>
        <w:t xml:space="preserve"> Dokapitalizowanie</w:t>
      </w:r>
      <w:r w:rsidR="00E865AE" w:rsidRPr="0026100F">
        <w:rPr>
          <w:rFonts w:ascii="Calibri" w:hAnsi="Calibri" w:cs="Calibri"/>
          <w:color w:val="auto"/>
          <w:sz w:val="24"/>
          <w:szCs w:val="24"/>
        </w:rPr>
        <w:t xml:space="preserve"> (konkursy: </w:t>
      </w:r>
      <w:r w:rsidR="004E1597">
        <w:rPr>
          <w:rFonts w:ascii="Calibri" w:hAnsi="Calibri" w:cs="Calibri"/>
          <w:color w:val="auto"/>
          <w:sz w:val="24"/>
          <w:szCs w:val="24"/>
        </w:rPr>
        <w:t>„</w:t>
      </w:r>
      <w:r w:rsidR="00E865AE" w:rsidRPr="004A319F">
        <w:rPr>
          <w:rFonts w:ascii="Calibri" w:hAnsi="Calibri" w:cs="Calibri"/>
          <w:color w:val="auto"/>
          <w:sz w:val="24"/>
          <w:szCs w:val="24"/>
        </w:rPr>
        <w:t xml:space="preserve">Granty </w:t>
      </w:r>
      <w:r w:rsidRPr="004A319F">
        <w:rPr>
          <w:rFonts w:ascii="Calibri" w:hAnsi="Calibri" w:cs="Calibri"/>
          <w:color w:val="auto"/>
          <w:sz w:val="24"/>
          <w:szCs w:val="24"/>
        </w:rPr>
        <w:t>n</w:t>
      </w:r>
      <w:r w:rsidR="00E865AE" w:rsidRPr="004A319F">
        <w:rPr>
          <w:rFonts w:ascii="Calibri" w:hAnsi="Calibri" w:cs="Calibri"/>
          <w:color w:val="auto"/>
          <w:sz w:val="24"/>
          <w:szCs w:val="24"/>
        </w:rPr>
        <w:t xml:space="preserve">a </w:t>
      </w:r>
      <w:proofErr w:type="spellStart"/>
      <w:r w:rsidR="00E865AE" w:rsidRPr="004A319F">
        <w:rPr>
          <w:rFonts w:ascii="Calibri" w:hAnsi="Calibri" w:cs="Calibri"/>
          <w:color w:val="auto"/>
          <w:sz w:val="24"/>
          <w:szCs w:val="24"/>
        </w:rPr>
        <w:t>Eurogranty</w:t>
      </w:r>
      <w:proofErr w:type="spellEnd"/>
      <w:r w:rsidR="004E1597">
        <w:rPr>
          <w:rFonts w:ascii="Calibri" w:hAnsi="Calibri" w:cs="Calibri"/>
          <w:color w:val="auto"/>
          <w:sz w:val="24"/>
          <w:szCs w:val="24"/>
        </w:rPr>
        <w:t>”</w:t>
      </w:r>
      <w:r w:rsidR="00127972" w:rsidRPr="004A319F">
        <w:rPr>
          <w:rFonts w:ascii="Calibri" w:hAnsi="Calibri" w:cs="Calibri"/>
          <w:color w:val="auto"/>
          <w:sz w:val="24"/>
          <w:szCs w:val="24"/>
        </w:rPr>
        <w:t>,</w:t>
      </w:r>
      <w:r w:rsidR="00E865AE" w:rsidRPr="004A319F">
        <w:rPr>
          <w:rFonts w:ascii="Calibri" w:hAnsi="Calibri" w:cs="Calibri"/>
          <w:color w:val="auto"/>
          <w:sz w:val="24"/>
          <w:szCs w:val="24"/>
        </w:rPr>
        <w:t xml:space="preserve"> </w:t>
      </w:r>
      <w:r w:rsidR="004E1597">
        <w:rPr>
          <w:rFonts w:ascii="Calibri" w:hAnsi="Calibri" w:cs="Calibri"/>
          <w:color w:val="auto"/>
          <w:sz w:val="24"/>
          <w:szCs w:val="24"/>
        </w:rPr>
        <w:t>„</w:t>
      </w:r>
      <w:r w:rsidR="00E865AE" w:rsidRPr="004A319F">
        <w:rPr>
          <w:rFonts w:ascii="Calibri" w:hAnsi="Calibri" w:cs="Calibri"/>
          <w:color w:val="auto"/>
          <w:sz w:val="24"/>
          <w:szCs w:val="24"/>
        </w:rPr>
        <w:t>Wsparcie MŚP w dostępie do rynku kapitałowego</w:t>
      </w:r>
      <w:r w:rsidR="004E1597">
        <w:rPr>
          <w:rFonts w:ascii="Calibri" w:hAnsi="Calibri" w:cs="Calibri"/>
          <w:color w:val="auto"/>
          <w:sz w:val="24"/>
          <w:szCs w:val="24"/>
        </w:rPr>
        <w:t xml:space="preserve"> – </w:t>
      </w:r>
      <w:r w:rsidR="00E865AE" w:rsidRPr="004A319F">
        <w:rPr>
          <w:rFonts w:ascii="Calibri" w:hAnsi="Calibri" w:cs="Calibri"/>
          <w:color w:val="auto"/>
          <w:sz w:val="24"/>
          <w:szCs w:val="24"/>
        </w:rPr>
        <w:t>4Stock</w:t>
      </w:r>
      <w:r w:rsidR="004E1597">
        <w:rPr>
          <w:rFonts w:ascii="Calibri" w:hAnsi="Calibri" w:cs="Calibri"/>
          <w:color w:val="auto"/>
          <w:sz w:val="24"/>
          <w:szCs w:val="24"/>
        </w:rPr>
        <w:t>”</w:t>
      </w:r>
      <w:r w:rsidR="00E865AE" w:rsidRPr="004A319F">
        <w:rPr>
          <w:rFonts w:ascii="Calibri" w:hAnsi="Calibri" w:cs="Calibri"/>
          <w:color w:val="auto"/>
          <w:sz w:val="24"/>
          <w:szCs w:val="24"/>
        </w:rPr>
        <w:t xml:space="preserve">), </w:t>
      </w:r>
      <w:r w:rsidR="00127972" w:rsidRPr="004A319F">
        <w:rPr>
          <w:rFonts w:ascii="Calibri" w:hAnsi="Calibri" w:cs="Calibri"/>
          <w:color w:val="auto"/>
          <w:sz w:val="24"/>
          <w:szCs w:val="24"/>
        </w:rPr>
        <w:t>Działalność zagraniczna</w:t>
      </w:r>
      <w:r w:rsidR="00E865AE" w:rsidRPr="004A319F">
        <w:rPr>
          <w:rFonts w:ascii="Calibri" w:hAnsi="Calibri" w:cs="Calibri"/>
          <w:color w:val="auto"/>
          <w:sz w:val="24"/>
          <w:szCs w:val="24"/>
        </w:rPr>
        <w:t xml:space="preserve"> (konkursy: </w:t>
      </w:r>
      <w:r w:rsidR="004E1597">
        <w:rPr>
          <w:rFonts w:ascii="Calibri" w:hAnsi="Calibri" w:cs="Calibri"/>
          <w:color w:val="auto"/>
          <w:sz w:val="24"/>
          <w:szCs w:val="24"/>
        </w:rPr>
        <w:t>„</w:t>
      </w:r>
      <w:r w:rsidR="00E865AE" w:rsidRPr="004A319F">
        <w:rPr>
          <w:rFonts w:ascii="Calibri" w:hAnsi="Calibri" w:cs="Calibri"/>
          <w:color w:val="auto"/>
          <w:sz w:val="24"/>
          <w:szCs w:val="24"/>
        </w:rPr>
        <w:t>Go to Brand</w:t>
      </w:r>
      <w:r w:rsidR="004E1597">
        <w:rPr>
          <w:rFonts w:ascii="Calibri" w:hAnsi="Calibri" w:cs="Calibri"/>
          <w:color w:val="auto"/>
          <w:sz w:val="24"/>
          <w:szCs w:val="24"/>
        </w:rPr>
        <w:t>”</w:t>
      </w:r>
      <w:r w:rsidR="00E865AE" w:rsidRPr="004A319F">
        <w:rPr>
          <w:rFonts w:ascii="Calibri" w:hAnsi="Calibri" w:cs="Calibri"/>
          <w:color w:val="auto"/>
          <w:sz w:val="24"/>
          <w:szCs w:val="24"/>
        </w:rPr>
        <w:t xml:space="preserve">, </w:t>
      </w:r>
      <w:r w:rsidR="004E1597">
        <w:rPr>
          <w:rFonts w:ascii="Calibri" w:hAnsi="Calibri" w:cs="Calibri"/>
          <w:color w:val="auto"/>
          <w:sz w:val="24"/>
          <w:szCs w:val="24"/>
        </w:rPr>
        <w:t>„</w:t>
      </w:r>
      <w:r w:rsidR="00E865AE" w:rsidRPr="004A319F">
        <w:rPr>
          <w:rFonts w:ascii="Calibri" w:hAnsi="Calibri" w:cs="Calibri"/>
          <w:color w:val="auto"/>
          <w:sz w:val="24"/>
          <w:szCs w:val="24"/>
        </w:rPr>
        <w:t>Go to Brand – EXPO 2020</w:t>
      </w:r>
      <w:r w:rsidR="004E1597">
        <w:rPr>
          <w:rFonts w:ascii="Calibri" w:hAnsi="Calibri" w:cs="Calibri"/>
          <w:color w:val="auto"/>
          <w:sz w:val="24"/>
          <w:szCs w:val="24"/>
        </w:rPr>
        <w:t>”</w:t>
      </w:r>
      <w:r w:rsidR="00E865AE" w:rsidRPr="004A319F">
        <w:rPr>
          <w:rFonts w:ascii="Calibri" w:hAnsi="Calibri" w:cs="Calibri"/>
          <w:color w:val="auto"/>
          <w:sz w:val="24"/>
          <w:szCs w:val="24"/>
        </w:rPr>
        <w:t xml:space="preserve">, </w:t>
      </w:r>
      <w:r w:rsidR="004E1597">
        <w:rPr>
          <w:rFonts w:ascii="Calibri" w:hAnsi="Calibri" w:cs="Calibri"/>
          <w:color w:val="auto"/>
          <w:sz w:val="24"/>
          <w:szCs w:val="24"/>
        </w:rPr>
        <w:t>„</w:t>
      </w:r>
      <w:r w:rsidR="00E865AE" w:rsidRPr="004A319F">
        <w:rPr>
          <w:rFonts w:ascii="Calibri" w:hAnsi="Calibri" w:cs="Calibri"/>
          <w:color w:val="auto"/>
          <w:sz w:val="24"/>
          <w:szCs w:val="24"/>
        </w:rPr>
        <w:t>Umiędzynarodowienie Krajowych Klastrów Kluczowych</w:t>
      </w:r>
      <w:r w:rsidR="004E1597">
        <w:rPr>
          <w:rFonts w:ascii="Calibri" w:hAnsi="Calibri" w:cs="Calibri"/>
          <w:color w:val="auto"/>
          <w:sz w:val="24"/>
          <w:szCs w:val="24"/>
        </w:rPr>
        <w:t>”)</w:t>
      </w:r>
      <w:r w:rsidR="00127972" w:rsidRPr="004A319F">
        <w:rPr>
          <w:rFonts w:ascii="Calibri" w:hAnsi="Calibri" w:cs="Calibri"/>
          <w:color w:val="auto"/>
          <w:sz w:val="24"/>
          <w:szCs w:val="24"/>
        </w:rPr>
        <w:t>, Na start</w:t>
      </w:r>
      <w:r w:rsidR="0026100F" w:rsidRPr="004A319F">
        <w:rPr>
          <w:rFonts w:ascii="Calibri" w:hAnsi="Calibri" w:cs="Calibri"/>
          <w:color w:val="auto"/>
          <w:sz w:val="24"/>
          <w:szCs w:val="24"/>
        </w:rPr>
        <w:t xml:space="preserve"> (konkurs</w:t>
      </w:r>
      <w:r w:rsidR="00093988" w:rsidRPr="004A319F">
        <w:rPr>
          <w:rFonts w:ascii="Calibri" w:hAnsi="Calibri" w:cs="Calibri"/>
          <w:color w:val="auto"/>
          <w:sz w:val="24"/>
          <w:szCs w:val="24"/>
        </w:rPr>
        <w:t>y</w:t>
      </w:r>
      <w:r w:rsidR="0026100F" w:rsidRPr="004A319F">
        <w:rPr>
          <w:rFonts w:ascii="Calibri" w:hAnsi="Calibri" w:cs="Calibri"/>
          <w:color w:val="auto"/>
          <w:sz w:val="24"/>
          <w:szCs w:val="24"/>
        </w:rPr>
        <w:t xml:space="preserve">: </w:t>
      </w:r>
      <w:r w:rsidR="004E1597">
        <w:rPr>
          <w:rFonts w:ascii="Calibri" w:hAnsi="Calibri" w:cs="Calibri"/>
          <w:color w:val="auto"/>
          <w:sz w:val="24"/>
          <w:szCs w:val="24"/>
        </w:rPr>
        <w:t>„</w:t>
      </w:r>
      <w:r w:rsidR="0026100F" w:rsidRPr="004A319F">
        <w:rPr>
          <w:rFonts w:ascii="Calibri" w:hAnsi="Calibri" w:cs="Calibri"/>
          <w:color w:val="auto"/>
          <w:sz w:val="24"/>
          <w:szCs w:val="24"/>
        </w:rPr>
        <w:t>Programy Akceleracyjne</w:t>
      </w:r>
      <w:r w:rsidR="004E1597">
        <w:rPr>
          <w:rFonts w:ascii="Calibri" w:hAnsi="Calibri" w:cs="Calibri"/>
          <w:color w:val="auto"/>
          <w:sz w:val="24"/>
          <w:szCs w:val="24"/>
        </w:rPr>
        <w:t>”</w:t>
      </w:r>
      <w:r w:rsidR="00093988" w:rsidRPr="004A319F">
        <w:rPr>
          <w:rFonts w:ascii="Calibri" w:hAnsi="Calibri" w:cs="Calibri"/>
          <w:color w:val="auto"/>
          <w:sz w:val="24"/>
          <w:szCs w:val="24"/>
        </w:rPr>
        <w:t xml:space="preserve">, </w:t>
      </w:r>
      <w:r w:rsidR="004E1597">
        <w:rPr>
          <w:rFonts w:ascii="Calibri" w:hAnsi="Calibri" w:cs="Calibri"/>
          <w:color w:val="auto"/>
          <w:sz w:val="24"/>
          <w:szCs w:val="24"/>
        </w:rPr>
        <w:t>„</w:t>
      </w:r>
      <w:r w:rsidR="00093988" w:rsidRPr="004A319F">
        <w:rPr>
          <w:rFonts w:ascii="Calibri" w:hAnsi="Calibri" w:cs="Calibri"/>
          <w:color w:val="auto"/>
          <w:sz w:val="24"/>
          <w:szCs w:val="24"/>
        </w:rPr>
        <w:t xml:space="preserve">Poland </w:t>
      </w:r>
      <w:proofErr w:type="spellStart"/>
      <w:r w:rsidR="00093988" w:rsidRPr="004A319F">
        <w:rPr>
          <w:rFonts w:ascii="Calibri" w:hAnsi="Calibri" w:cs="Calibri"/>
          <w:color w:val="auto"/>
          <w:sz w:val="24"/>
          <w:szCs w:val="24"/>
        </w:rPr>
        <w:t>Prize</w:t>
      </w:r>
      <w:proofErr w:type="spellEnd"/>
      <w:r w:rsidR="004E1597">
        <w:rPr>
          <w:rFonts w:ascii="Calibri" w:hAnsi="Calibri" w:cs="Calibri"/>
          <w:color w:val="auto"/>
          <w:sz w:val="24"/>
          <w:szCs w:val="24"/>
        </w:rPr>
        <w:t>”</w:t>
      </w:r>
      <w:r w:rsidR="0026100F" w:rsidRPr="004A319F">
        <w:rPr>
          <w:rFonts w:ascii="Calibri" w:hAnsi="Calibri" w:cs="Calibri"/>
          <w:color w:val="auto"/>
          <w:sz w:val="24"/>
          <w:szCs w:val="24"/>
        </w:rPr>
        <w:t>)</w:t>
      </w:r>
      <w:r w:rsidR="00127972" w:rsidRPr="004A319F">
        <w:rPr>
          <w:rFonts w:ascii="Calibri" w:hAnsi="Calibri" w:cs="Calibri"/>
          <w:color w:val="auto"/>
          <w:sz w:val="24"/>
          <w:szCs w:val="24"/>
        </w:rPr>
        <w:t>, Nowe</w:t>
      </w:r>
      <w:r w:rsidR="00127972" w:rsidRPr="0026100F">
        <w:rPr>
          <w:rFonts w:ascii="Calibri" w:hAnsi="Calibri" w:cs="Calibri"/>
          <w:color w:val="auto"/>
          <w:sz w:val="24"/>
          <w:szCs w:val="24"/>
        </w:rPr>
        <w:t xml:space="preserve"> produkty i inwestycje</w:t>
      </w:r>
      <w:r w:rsidR="0026100F" w:rsidRPr="0026100F">
        <w:rPr>
          <w:rFonts w:ascii="Calibri" w:hAnsi="Calibri" w:cs="Calibri"/>
          <w:color w:val="auto"/>
          <w:sz w:val="24"/>
          <w:szCs w:val="24"/>
        </w:rPr>
        <w:t xml:space="preserve"> (konkursy: </w:t>
      </w:r>
      <w:r w:rsidR="004E1597">
        <w:rPr>
          <w:rFonts w:ascii="Calibri" w:hAnsi="Calibri" w:cs="Calibri"/>
          <w:color w:val="auto"/>
          <w:sz w:val="24"/>
          <w:szCs w:val="24"/>
        </w:rPr>
        <w:t>„</w:t>
      </w:r>
      <w:r w:rsidR="0026100F" w:rsidRPr="0026100F">
        <w:rPr>
          <w:rFonts w:ascii="Calibri" w:hAnsi="Calibri" w:cs="Calibri"/>
          <w:color w:val="auto"/>
          <w:sz w:val="24"/>
          <w:szCs w:val="24"/>
        </w:rPr>
        <w:t>Proinnowacyjne usługi IOB dla MŚP</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 </w:t>
      </w:r>
      <w:r w:rsidR="004E1597">
        <w:rPr>
          <w:rFonts w:ascii="Calibri" w:hAnsi="Calibri" w:cs="Calibri"/>
          <w:color w:val="auto"/>
          <w:sz w:val="24"/>
          <w:szCs w:val="24"/>
        </w:rPr>
        <w:t>„</w:t>
      </w:r>
      <w:r w:rsidR="0026100F" w:rsidRPr="0026100F">
        <w:rPr>
          <w:rFonts w:ascii="Calibri" w:hAnsi="Calibri" w:cs="Calibri"/>
          <w:color w:val="auto"/>
          <w:sz w:val="24"/>
          <w:szCs w:val="24"/>
        </w:rPr>
        <w:t>Bony na innowacje dla MŚP</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 – etap usługowy i inwestycyjny, </w:t>
      </w:r>
      <w:r w:rsidR="004E1597">
        <w:rPr>
          <w:rFonts w:ascii="Calibri" w:hAnsi="Calibri" w:cs="Calibri"/>
          <w:color w:val="auto"/>
          <w:sz w:val="24"/>
          <w:szCs w:val="24"/>
        </w:rPr>
        <w:t>„</w:t>
      </w:r>
      <w:r w:rsidR="0026100F" w:rsidRPr="0026100F">
        <w:rPr>
          <w:rFonts w:ascii="Calibri" w:hAnsi="Calibri" w:cs="Calibri"/>
          <w:color w:val="auto"/>
          <w:sz w:val="24"/>
          <w:szCs w:val="24"/>
        </w:rPr>
        <w:t>Badania na rynek</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 </w:t>
      </w:r>
      <w:r w:rsidR="004E1597">
        <w:rPr>
          <w:rFonts w:ascii="Calibri" w:hAnsi="Calibri" w:cs="Calibri"/>
          <w:color w:val="auto"/>
          <w:sz w:val="24"/>
          <w:szCs w:val="24"/>
        </w:rPr>
        <w:t>„</w:t>
      </w:r>
      <w:r w:rsidR="0026100F" w:rsidRPr="0026100F">
        <w:rPr>
          <w:rFonts w:ascii="Calibri" w:hAnsi="Calibri" w:cs="Calibri"/>
          <w:color w:val="auto"/>
          <w:sz w:val="24"/>
          <w:szCs w:val="24"/>
        </w:rPr>
        <w:t>Rozwój potencjału koordynatorów Krajowych Klastrów Kluczowych</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 </w:t>
      </w:r>
      <w:r w:rsidR="00127972" w:rsidRPr="0026100F">
        <w:rPr>
          <w:rFonts w:ascii="Calibri" w:hAnsi="Calibri" w:cs="Calibri"/>
          <w:color w:val="auto"/>
          <w:sz w:val="24"/>
          <w:szCs w:val="24"/>
        </w:rPr>
        <w:t>oraz Wzornictwo</w:t>
      </w:r>
      <w:r w:rsidR="0026100F" w:rsidRPr="0026100F">
        <w:rPr>
          <w:rFonts w:ascii="Calibri" w:hAnsi="Calibri" w:cs="Calibri"/>
          <w:color w:val="auto"/>
          <w:sz w:val="24"/>
          <w:szCs w:val="24"/>
        </w:rPr>
        <w:t xml:space="preserve"> (konkursy: </w:t>
      </w:r>
      <w:r w:rsidR="004E1597">
        <w:rPr>
          <w:rFonts w:ascii="Calibri" w:hAnsi="Calibri" w:cs="Calibri"/>
          <w:color w:val="auto"/>
          <w:sz w:val="24"/>
          <w:szCs w:val="24"/>
        </w:rPr>
        <w:t>„</w:t>
      </w:r>
      <w:r w:rsidR="0026100F" w:rsidRPr="0026100F">
        <w:rPr>
          <w:rFonts w:ascii="Calibri" w:hAnsi="Calibri" w:cs="Calibri"/>
          <w:color w:val="auto"/>
          <w:sz w:val="24"/>
          <w:szCs w:val="24"/>
        </w:rPr>
        <w:t>Ochrona własności przemysłowej</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 </w:t>
      </w:r>
      <w:r w:rsidR="004E1597">
        <w:rPr>
          <w:rFonts w:ascii="Calibri" w:hAnsi="Calibri" w:cs="Calibri"/>
          <w:color w:val="auto"/>
          <w:sz w:val="24"/>
          <w:szCs w:val="24"/>
        </w:rPr>
        <w:t>„</w:t>
      </w:r>
      <w:r w:rsidR="0026100F" w:rsidRPr="0026100F">
        <w:rPr>
          <w:rFonts w:ascii="Calibri" w:hAnsi="Calibri" w:cs="Calibri"/>
          <w:color w:val="auto"/>
          <w:sz w:val="24"/>
          <w:szCs w:val="24"/>
        </w:rPr>
        <w:t xml:space="preserve">Granty na </w:t>
      </w:r>
      <w:proofErr w:type="spellStart"/>
      <w:r w:rsidR="0026100F" w:rsidRPr="0026100F">
        <w:rPr>
          <w:rFonts w:ascii="Calibri" w:hAnsi="Calibri" w:cs="Calibri"/>
          <w:color w:val="auto"/>
          <w:sz w:val="24"/>
          <w:szCs w:val="24"/>
        </w:rPr>
        <w:t>dizajn</w:t>
      </w:r>
      <w:proofErr w:type="spellEnd"/>
      <w:r w:rsidR="004E1597">
        <w:rPr>
          <w:rFonts w:ascii="Calibri" w:hAnsi="Calibri" w:cs="Calibri"/>
          <w:color w:val="auto"/>
          <w:sz w:val="24"/>
          <w:szCs w:val="24"/>
        </w:rPr>
        <w:t>”</w:t>
      </w:r>
      <w:r w:rsidR="0026100F" w:rsidRPr="0026100F">
        <w:rPr>
          <w:rFonts w:ascii="Calibri" w:hAnsi="Calibri" w:cs="Calibri"/>
          <w:color w:val="auto"/>
          <w:sz w:val="24"/>
          <w:szCs w:val="24"/>
        </w:rPr>
        <w:t xml:space="preserve">, </w:t>
      </w:r>
      <w:r w:rsidR="004E1597">
        <w:rPr>
          <w:rFonts w:ascii="Calibri" w:hAnsi="Calibri" w:cs="Calibri"/>
          <w:color w:val="auto"/>
          <w:sz w:val="24"/>
          <w:szCs w:val="24"/>
        </w:rPr>
        <w:t>„</w:t>
      </w:r>
      <w:r w:rsidR="0026100F" w:rsidRPr="0026100F">
        <w:rPr>
          <w:rFonts w:ascii="Calibri" w:hAnsi="Calibri" w:cs="Calibri"/>
          <w:color w:val="auto"/>
          <w:sz w:val="24"/>
          <w:szCs w:val="24"/>
        </w:rPr>
        <w:t>Design dla przedsiębiorców</w:t>
      </w:r>
      <w:r w:rsidR="004E1597">
        <w:rPr>
          <w:rFonts w:ascii="Calibri" w:hAnsi="Calibri" w:cs="Calibri"/>
          <w:color w:val="auto"/>
          <w:sz w:val="24"/>
          <w:szCs w:val="24"/>
        </w:rPr>
        <w:t>”</w:t>
      </w:r>
      <w:r w:rsidR="0026100F" w:rsidRPr="0026100F">
        <w:rPr>
          <w:rFonts w:ascii="Calibri" w:hAnsi="Calibri" w:cs="Calibri"/>
          <w:color w:val="auto"/>
          <w:sz w:val="24"/>
          <w:szCs w:val="24"/>
        </w:rPr>
        <w:t>)</w:t>
      </w:r>
      <w:r w:rsidR="00127972" w:rsidRPr="0026100F">
        <w:rPr>
          <w:rFonts w:ascii="Calibri" w:hAnsi="Calibri" w:cs="Calibri"/>
          <w:color w:val="auto"/>
          <w:sz w:val="24"/>
          <w:szCs w:val="24"/>
        </w:rPr>
        <w:t>.</w:t>
      </w:r>
      <w:r>
        <w:rPr>
          <w:rFonts w:ascii="Calibri" w:hAnsi="Calibri" w:cs="Calibri"/>
          <w:color w:val="auto"/>
          <w:sz w:val="24"/>
          <w:szCs w:val="24"/>
        </w:rPr>
        <w:t xml:space="preserve"> </w:t>
      </w:r>
      <w:r w:rsidR="004E1597">
        <w:rPr>
          <w:rFonts w:ascii="Calibri" w:hAnsi="Calibri" w:cs="Calibri"/>
          <w:color w:val="auto"/>
          <w:sz w:val="24"/>
          <w:szCs w:val="24"/>
        </w:rPr>
        <w:t>Spośród wyżej wymienionych p</w:t>
      </w:r>
      <w:r>
        <w:rPr>
          <w:rFonts w:ascii="Calibri" w:hAnsi="Calibri" w:cs="Calibri"/>
          <w:color w:val="auto"/>
          <w:sz w:val="24"/>
          <w:szCs w:val="24"/>
        </w:rPr>
        <w:t xml:space="preserve">rzedsiębiorcy mogą wciąż zgłaszać się do konkursów: </w:t>
      </w:r>
      <w:r w:rsidR="004E1597">
        <w:rPr>
          <w:rFonts w:ascii="Calibri" w:hAnsi="Calibri" w:cs="Calibri"/>
          <w:color w:val="auto"/>
          <w:sz w:val="24"/>
          <w:szCs w:val="24"/>
        </w:rPr>
        <w:t>„</w:t>
      </w:r>
      <w:r>
        <w:rPr>
          <w:rFonts w:ascii="Calibri" w:hAnsi="Calibri" w:cs="Calibri"/>
          <w:color w:val="auto"/>
          <w:sz w:val="24"/>
          <w:szCs w:val="24"/>
        </w:rPr>
        <w:t xml:space="preserve">Granty na </w:t>
      </w:r>
      <w:proofErr w:type="spellStart"/>
      <w:r>
        <w:rPr>
          <w:rFonts w:ascii="Calibri" w:hAnsi="Calibri" w:cs="Calibri"/>
          <w:color w:val="auto"/>
          <w:sz w:val="24"/>
          <w:szCs w:val="24"/>
        </w:rPr>
        <w:t>Eurogranty</w:t>
      </w:r>
      <w:proofErr w:type="spellEnd"/>
      <w:r w:rsidR="004E1597">
        <w:rPr>
          <w:rFonts w:ascii="Calibri" w:hAnsi="Calibri" w:cs="Calibri"/>
          <w:color w:val="auto"/>
          <w:sz w:val="24"/>
          <w:szCs w:val="24"/>
        </w:rPr>
        <w:t>”</w:t>
      </w:r>
      <w:r>
        <w:rPr>
          <w:rFonts w:ascii="Calibri" w:hAnsi="Calibri" w:cs="Calibri"/>
          <w:color w:val="auto"/>
          <w:sz w:val="24"/>
          <w:szCs w:val="24"/>
        </w:rPr>
        <w:t xml:space="preserve"> oraz </w:t>
      </w:r>
      <w:r w:rsidR="001E4327">
        <w:rPr>
          <w:rFonts w:ascii="Calibri" w:hAnsi="Calibri" w:cs="Calibri"/>
          <w:color w:val="auto"/>
          <w:sz w:val="24"/>
          <w:szCs w:val="24"/>
        </w:rPr>
        <w:t xml:space="preserve">wybranych operatorów z konkursu </w:t>
      </w:r>
      <w:r w:rsidR="004E1597">
        <w:rPr>
          <w:rFonts w:ascii="Calibri" w:hAnsi="Calibri" w:cs="Calibri"/>
          <w:color w:val="auto"/>
          <w:sz w:val="24"/>
          <w:szCs w:val="24"/>
        </w:rPr>
        <w:t>„</w:t>
      </w:r>
      <w:r>
        <w:rPr>
          <w:rFonts w:ascii="Calibri" w:hAnsi="Calibri" w:cs="Calibri"/>
          <w:color w:val="auto"/>
          <w:sz w:val="24"/>
          <w:szCs w:val="24"/>
        </w:rPr>
        <w:t xml:space="preserve">Programy akceleracyjne – Poland </w:t>
      </w:r>
      <w:proofErr w:type="spellStart"/>
      <w:r>
        <w:rPr>
          <w:rFonts w:ascii="Calibri" w:hAnsi="Calibri" w:cs="Calibri"/>
          <w:color w:val="auto"/>
          <w:sz w:val="24"/>
          <w:szCs w:val="24"/>
        </w:rPr>
        <w:t>Prize</w:t>
      </w:r>
      <w:proofErr w:type="spellEnd"/>
      <w:r w:rsidR="004E1597">
        <w:rPr>
          <w:rFonts w:ascii="Calibri" w:hAnsi="Calibri" w:cs="Calibri"/>
          <w:color w:val="auto"/>
          <w:sz w:val="24"/>
          <w:szCs w:val="24"/>
        </w:rPr>
        <w:t>”</w:t>
      </w:r>
      <w:r>
        <w:rPr>
          <w:rFonts w:ascii="Calibri" w:hAnsi="Calibri" w:cs="Calibri"/>
          <w:color w:val="auto"/>
          <w:sz w:val="24"/>
          <w:szCs w:val="24"/>
        </w:rPr>
        <w:t>.</w:t>
      </w:r>
    </w:p>
    <w:p w14:paraId="32E52133" w14:textId="7103D73C" w:rsidR="00B765CD" w:rsidRDefault="00531625" w:rsidP="00B765CD">
      <w:pPr>
        <w:spacing w:before="120" w:line="276" w:lineRule="auto"/>
        <w:rPr>
          <w:rFonts w:eastAsiaTheme="minorHAnsi"/>
          <w:sz w:val="24"/>
          <w:szCs w:val="24"/>
        </w:rPr>
      </w:pPr>
      <w:r>
        <w:rPr>
          <w:sz w:val="24"/>
          <w:szCs w:val="24"/>
        </w:rPr>
        <w:t xml:space="preserve">– Polscy przedsiębiorcy chętnie brali udział w konkursach organizowanych w ramach Programu Inteligentny Rozwój. Dzięki pozyskanym środkom, powstały nowatorskie produkty i technologie. Wiele z nich jest już rozpoznawalna na rynkach zagranicznych. Jesteśmy z tego bardzo dumni – powiedział </w:t>
      </w:r>
      <w:r w:rsidR="0026100F">
        <w:rPr>
          <w:b/>
          <w:bCs/>
          <w:sz w:val="24"/>
          <w:szCs w:val="24"/>
        </w:rPr>
        <w:t xml:space="preserve">Mikołaj Różycki, </w:t>
      </w:r>
      <w:r w:rsidR="0026100F" w:rsidRPr="004E1597">
        <w:rPr>
          <w:bCs/>
          <w:sz w:val="24"/>
          <w:szCs w:val="24"/>
        </w:rPr>
        <w:t>p. o. prezesa</w:t>
      </w:r>
      <w:r>
        <w:rPr>
          <w:sz w:val="24"/>
          <w:szCs w:val="24"/>
        </w:rPr>
        <w:t xml:space="preserve"> PARP</w:t>
      </w:r>
      <w:r w:rsidR="00B765CD">
        <w:rPr>
          <w:sz w:val="24"/>
          <w:szCs w:val="24"/>
        </w:rPr>
        <w:t xml:space="preserve"> – Rozwój oparty o ulepszone lub nowe produkty i usługi, a także ciągłe doskonalenie się firm</w:t>
      </w:r>
      <w:r w:rsidR="00771C89">
        <w:rPr>
          <w:sz w:val="24"/>
          <w:szCs w:val="24"/>
        </w:rPr>
        <w:t>,</w:t>
      </w:r>
      <w:r w:rsidR="00B765CD">
        <w:rPr>
          <w:sz w:val="24"/>
          <w:szCs w:val="24"/>
        </w:rPr>
        <w:t xml:space="preserve"> także w oparciu o </w:t>
      </w:r>
      <w:bookmarkStart w:id="1" w:name="_GoBack"/>
      <w:bookmarkEnd w:id="1"/>
      <w:r w:rsidR="00B765CD">
        <w:rPr>
          <w:sz w:val="24"/>
          <w:szCs w:val="24"/>
        </w:rPr>
        <w:t>innowacje</w:t>
      </w:r>
      <w:r w:rsidR="00771C89">
        <w:rPr>
          <w:sz w:val="24"/>
          <w:szCs w:val="24"/>
        </w:rPr>
        <w:t>,</w:t>
      </w:r>
      <w:r w:rsidR="00B765CD">
        <w:rPr>
          <w:sz w:val="24"/>
          <w:szCs w:val="24"/>
        </w:rPr>
        <w:t xml:space="preserve"> pokazują, że możliwym staje się scenariusz</w:t>
      </w:r>
      <w:r w:rsidR="00771C89">
        <w:rPr>
          <w:sz w:val="24"/>
          <w:szCs w:val="24"/>
        </w:rPr>
        <w:t>,</w:t>
      </w:r>
      <w:r w:rsidR="00B765CD">
        <w:rPr>
          <w:sz w:val="24"/>
          <w:szCs w:val="24"/>
        </w:rPr>
        <w:t xml:space="preserve"> </w:t>
      </w:r>
      <w:r w:rsidR="00771C89">
        <w:rPr>
          <w:sz w:val="24"/>
          <w:szCs w:val="24"/>
        </w:rPr>
        <w:t>p</w:t>
      </w:r>
      <w:r w:rsidR="00B765CD">
        <w:rPr>
          <w:sz w:val="24"/>
          <w:szCs w:val="24"/>
        </w:rPr>
        <w:t>o którym coraz więcej polskich firm będzie stawać się średnimi</w:t>
      </w:r>
      <w:r w:rsidR="00771C89">
        <w:rPr>
          <w:sz w:val="24"/>
          <w:szCs w:val="24"/>
        </w:rPr>
        <w:t>,</w:t>
      </w:r>
      <w:r w:rsidR="00B765CD">
        <w:rPr>
          <w:sz w:val="24"/>
          <w:szCs w:val="24"/>
        </w:rPr>
        <w:t xml:space="preserve"> a nawet dużymi – dodaje. </w:t>
      </w:r>
    </w:p>
    <w:p w14:paraId="1B377287" w14:textId="77777777" w:rsidR="00B765CD" w:rsidRDefault="00B765CD" w:rsidP="00B765CD">
      <w:pPr>
        <w:rPr>
          <w:color w:val="1F497D"/>
        </w:rPr>
      </w:pPr>
    </w:p>
    <w:p w14:paraId="02724422" w14:textId="03B4007B" w:rsidR="00127972" w:rsidRDefault="00127972" w:rsidP="00127972">
      <w:pPr>
        <w:pStyle w:val="Nagwek2"/>
        <w:rPr>
          <w:b/>
          <w:bCs/>
          <w:color w:val="000000" w:themeColor="text1"/>
          <w:sz w:val="28"/>
          <w:szCs w:val="28"/>
        </w:rPr>
      </w:pPr>
      <w:r w:rsidRPr="00127972">
        <w:rPr>
          <w:b/>
          <w:bCs/>
          <w:color w:val="000000" w:themeColor="text1"/>
          <w:sz w:val="28"/>
          <w:szCs w:val="28"/>
        </w:rPr>
        <w:t>Beneficjenci Programu Inteligentny Rozwój</w:t>
      </w:r>
    </w:p>
    <w:p w14:paraId="613B1981" w14:textId="542809AC" w:rsidR="00E567B2" w:rsidRDefault="00E567B2" w:rsidP="00E567B2">
      <w:pPr>
        <w:spacing w:before="120" w:line="276" w:lineRule="auto"/>
        <w:rPr>
          <w:sz w:val="24"/>
          <w:szCs w:val="24"/>
        </w:rPr>
      </w:pPr>
      <w:r w:rsidRPr="0018393F">
        <w:rPr>
          <w:rStyle w:val="markedcontent"/>
          <w:rFonts w:cs="Calibri"/>
          <w:sz w:val="24"/>
          <w:szCs w:val="24"/>
        </w:rPr>
        <w:t>Startupy to przedsiębiorstwa we wczesnej fazie rozwoju, posiadające lub tworzące innowacyjny produkt, usługę lub model biznesowy, dzięki którym mają potencjał dynamicznego wzrostu i ekspansji geograficznej.</w:t>
      </w:r>
      <w:r w:rsidRPr="0018393F">
        <w:rPr>
          <w:rStyle w:val="markedcontent"/>
          <w:rFonts w:ascii="Arial" w:hAnsi="Arial" w:cs="Arial"/>
          <w:sz w:val="24"/>
          <w:szCs w:val="24"/>
        </w:rPr>
        <w:t xml:space="preserve"> </w:t>
      </w:r>
      <w:r w:rsidRPr="0018393F">
        <w:rPr>
          <w:sz w:val="24"/>
          <w:szCs w:val="24"/>
        </w:rPr>
        <w:t>Fundusze z Programu Inteligentny Rozwój</w:t>
      </w:r>
      <w:r>
        <w:rPr>
          <w:sz w:val="24"/>
          <w:szCs w:val="24"/>
        </w:rPr>
        <w:t xml:space="preserve">, zdobyte dzięki Poland </w:t>
      </w:r>
      <w:proofErr w:type="spellStart"/>
      <w:r>
        <w:rPr>
          <w:sz w:val="24"/>
          <w:szCs w:val="24"/>
        </w:rPr>
        <w:t>Prize</w:t>
      </w:r>
      <w:proofErr w:type="spellEnd"/>
      <w:r>
        <w:rPr>
          <w:sz w:val="24"/>
          <w:szCs w:val="24"/>
        </w:rPr>
        <w:t>,</w:t>
      </w:r>
      <w:r w:rsidRPr="0018393F">
        <w:rPr>
          <w:sz w:val="24"/>
          <w:szCs w:val="24"/>
        </w:rPr>
        <w:t xml:space="preserve"> umożliwiły realizacje prac startupowi </w:t>
      </w:r>
      <w:proofErr w:type="spellStart"/>
      <w:r w:rsidRPr="0018393F">
        <w:rPr>
          <w:sz w:val="24"/>
          <w:szCs w:val="24"/>
        </w:rPr>
        <w:t>Aether</w:t>
      </w:r>
      <w:proofErr w:type="spellEnd"/>
      <w:r w:rsidRPr="0018393F">
        <w:rPr>
          <w:sz w:val="24"/>
          <w:szCs w:val="24"/>
        </w:rPr>
        <w:t xml:space="preserve"> </w:t>
      </w:r>
      <w:proofErr w:type="spellStart"/>
      <w:r w:rsidRPr="0018393F">
        <w:rPr>
          <w:sz w:val="24"/>
          <w:szCs w:val="24"/>
        </w:rPr>
        <w:t>Biomedical</w:t>
      </w:r>
      <w:proofErr w:type="spellEnd"/>
      <w:r w:rsidRPr="0018393F">
        <w:rPr>
          <w:sz w:val="24"/>
          <w:szCs w:val="24"/>
        </w:rPr>
        <w:t xml:space="preserve">. Zespół ekspertów stworzył wielofunkcyjną bioniczną protezę dłoni, która jest tańsza od swoich poprzedników. Produkt charakteryzuje się dużą siłą chwytu, wysoką wytrzymałością, odpornością na uderzenia oraz konfigurowalną konstrukcją. Bioniczna ręka Zeus jest w stanie przywrócić pełną sprawność </w:t>
      </w:r>
      <w:r w:rsidR="004E1597">
        <w:rPr>
          <w:sz w:val="24"/>
          <w:szCs w:val="24"/>
        </w:rPr>
        <w:t>lub</w:t>
      </w:r>
      <w:r w:rsidRPr="0018393F">
        <w:rPr>
          <w:sz w:val="24"/>
          <w:szCs w:val="24"/>
        </w:rPr>
        <w:t xml:space="preserve"> ją pierwotnie nadać. Można dzięki niej wykonywać wszystkie codzienne czynności, takie jak np.: gotowanie, wiązanie obuwia czy jazda na rowerze. Zeus to wyrób medyczny I klasy z oznaczeniem CE. Jest sprzedawany w Polsce, Portugalii oraz Indiach. </w:t>
      </w:r>
    </w:p>
    <w:p w14:paraId="334E60AA" w14:textId="6D4366D3" w:rsidR="00E567B2" w:rsidRPr="0018393F" w:rsidRDefault="00E567B2" w:rsidP="00E567B2">
      <w:pPr>
        <w:spacing w:before="120" w:line="276" w:lineRule="auto"/>
        <w:rPr>
          <w:sz w:val="24"/>
          <w:szCs w:val="24"/>
        </w:rPr>
      </w:pPr>
      <w:r w:rsidRPr="0018393F">
        <w:rPr>
          <w:sz w:val="24"/>
          <w:szCs w:val="24"/>
        </w:rPr>
        <w:t xml:space="preserve">W 2021 r. w ramach „Programów </w:t>
      </w:r>
      <w:r>
        <w:rPr>
          <w:sz w:val="24"/>
          <w:szCs w:val="24"/>
        </w:rPr>
        <w:t>a</w:t>
      </w:r>
      <w:r w:rsidRPr="0018393F">
        <w:rPr>
          <w:sz w:val="24"/>
          <w:szCs w:val="24"/>
        </w:rPr>
        <w:t>kceleracyjnych” podpisano 10 umów</w:t>
      </w:r>
      <w:r>
        <w:rPr>
          <w:sz w:val="24"/>
          <w:szCs w:val="24"/>
        </w:rPr>
        <w:t xml:space="preserve"> (z operatorami, którzy przekazują wsparcie startupom)</w:t>
      </w:r>
      <w:r w:rsidRPr="0018393F">
        <w:rPr>
          <w:sz w:val="24"/>
          <w:szCs w:val="24"/>
        </w:rPr>
        <w:t xml:space="preserve"> na kwotę wsparcia prawie 99 mln zł, a łącznie we wszystkich latach trwania konkursu – 20 umów</w:t>
      </w:r>
      <w:r>
        <w:rPr>
          <w:sz w:val="24"/>
          <w:szCs w:val="24"/>
        </w:rPr>
        <w:t xml:space="preserve"> (z operatorami)</w:t>
      </w:r>
      <w:r w:rsidRPr="0018393F">
        <w:rPr>
          <w:sz w:val="24"/>
          <w:szCs w:val="24"/>
        </w:rPr>
        <w:t>, na prawie 247 mln zł.</w:t>
      </w:r>
      <w:r>
        <w:rPr>
          <w:sz w:val="24"/>
          <w:szCs w:val="24"/>
        </w:rPr>
        <w:t xml:space="preserve"> Do tej pory do konkursu „Programy akceleracyjne” zgłosiło się </w:t>
      </w:r>
      <w:r w:rsidR="001E4327">
        <w:rPr>
          <w:sz w:val="24"/>
          <w:szCs w:val="24"/>
        </w:rPr>
        <w:t>prawie 6 tys.</w:t>
      </w:r>
      <w:r>
        <w:rPr>
          <w:sz w:val="24"/>
          <w:szCs w:val="24"/>
        </w:rPr>
        <w:t xml:space="preserve"> startupów. Łącznie ze startupami zawarto 600 umów, proces akceleracji zakończono dla 475 z nich i odnotowano 127 wdrożeń projektów (powstałych w procesie akceleracji). W ramach pierwszych naborów do nowej edycji Poland </w:t>
      </w:r>
      <w:proofErr w:type="spellStart"/>
      <w:r>
        <w:rPr>
          <w:sz w:val="24"/>
          <w:szCs w:val="24"/>
        </w:rPr>
        <w:t>Prize</w:t>
      </w:r>
      <w:proofErr w:type="spellEnd"/>
      <w:r>
        <w:rPr>
          <w:sz w:val="24"/>
          <w:szCs w:val="24"/>
        </w:rPr>
        <w:t xml:space="preserve"> odnotowano łącznie 886 zgłoszeń startupów, pochodzących z zagranicy.  </w:t>
      </w:r>
      <w:r w:rsidRPr="0018393F" w:rsidDel="004A319F">
        <w:rPr>
          <w:sz w:val="24"/>
          <w:szCs w:val="24"/>
        </w:rPr>
        <w:t xml:space="preserve"> </w:t>
      </w:r>
    </w:p>
    <w:p w14:paraId="699475B9" w14:textId="77777777" w:rsidR="00E567B2" w:rsidRDefault="0026100F" w:rsidP="00127972">
      <w:pPr>
        <w:spacing w:before="120" w:line="276" w:lineRule="auto"/>
        <w:rPr>
          <w:sz w:val="24"/>
          <w:szCs w:val="24"/>
        </w:rPr>
      </w:pPr>
      <w:r w:rsidRPr="0018393F">
        <w:rPr>
          <w:rFonts w:cs="Calibri"/>
          <w:sz w:val="24"/>
          <w:szCs w:val="24"/>
        </w:rPr>
        <w:t xml:space="preserve">Polskie wzornictwo ma wiele do zaoferowania. Nasi rodzimi twórcy nie tylko podążają za aktualnymi trendami, ale bardzo często sami je tworzą. </w:t>
      </w:r>
      <w:r w:rsidRPr="0018393F">
        <w:rPr>
          <w:rStyle w:val="markedcontent"/>
          <w:rFonts w:cs="Calibri"/>
          <w:sz w:val="24"/>
          <w:szCs w:val="24"/>
        </w:rPr>
        <w:t>Dotacje pozwalają w sposób etapowy i planowy, przy udziale doświadczonego grona eksperckiego, wprowadzać na rynek nowe produkty i usługi.</w:t>
      </w:r>
      <w:r w:rsidRPr="0018393F">
        <w:rPr>
          <w:rStyle w:val="markedcontent"/>
          <w:rFonts w:ascii="Arial" w:hAnsi="Arial" w:cs="Arial"/>
          <w:sz w:val="24"/>
          <w:szCs w:val="24"/>
        </w:rPr>
        <w:t xml:space="preserve"> </w:t>
      </w:r>
      <w:r w:rsidR="00127972" w:rsidRPr="0018393F">
        <w:rPr>
          <w:sz w:val="24"/>
          <w:szCs w:val="24"/>
        </w:rPr>
        <w:t xml:space="preserve">Dzięki wsparciu finansowemu, firma CALTI </w:t>
      </w:r>
      <w:r w:rsidR="00093988" w:rsidRPr="0018393F">
        <w:rPr>
          <w:sz w:val="24"/>
          <w:szCs w:val="24"/>
        </w:rPr>
        <w:t xml:space="preserve">w ramach konkursu „Design dla przedsiębiorców” </w:t>
      </w:r>
      <w:r w:rsidR="00127972" w:rsidRPr="0018393F">
        <w:rPr>
          <w:sz w:val="24"/>
          <w:szCs w:val="24"/>
        </w:rPr>
        <w:t>zrealizowała pomysł, który wypełnił lukę na rynku designerskim. Przedsiębiorstwo stworzyło system mebli, dedykowany dzieciom z niepełnosprawnością ruchową i intelektualną. Opracowanie szczegółów przedsięwzięcia zostało powierzone zespołowi z Akademii Sztuk Pięknych w Krakowie. W efekcie prac ekspertów powstał prototyp systemu mebli dziecięcych CALTI-MINI, który składa się z 6 elementów głównych – łóżeczka, łóżka, szafy, regału, biurka oraz komody.</w:t>
      </w:r>
      <w:r w:rsidR="00093988" w:rsidRPr="0018393F">
        <w:rPr>
          <w:sz w:val="24"/>
          <w:szCs w:val="24"/>
        </w:rPr>
        <w:t xml:space="preserve"> </w:t>
      </w:r>
    </w:p>
    <w:p w14:paraId="1615D7B2" w14:textId="407FD741" w:rsidR="00127972" w:rsidRPr="0018393F" w:rsidRDefault="00093988" w:rsidP="00127972">
      <w:pPr>
        <w:spacing w:before="120" w:line="276" w:lineRule="auto"/>
        <w:rPr>
          <w:sz w:val="24"/>
          <w:szCs w:val="24"/>
        </w:rPr>
      </w:pPr>
      <w:r w:rsidRPr="0018393F">
        <w:rPr>
          <w:sz w:val="24"/>
          <w:szCs w:val="24"/>
        </w:rPr>
        <w:t xml:space="preserve">W 2021 r. dzięki konkursowi „Design dla przedsiębiorców” </w:t>
      </w:r>
      <w:r w:rsidR="000D1EF3">
        <w:rPr>
          <w:sz w:val="24"/>
          <w:szCs w:val="24"/>
        </w:rPr>
        <w:t>122</w:t>
      </w:r>
      <w:r w:rsidR="000D1EF3" w:rsidRPr="0018393F">
        <w:rPr>
          <w:sz w:val="24"/>
          <w:szCs w:val="24"/>
        </w:rPr>
        <w:t xml:space="preserve"> </w:t>
      </w:r>
      <w:r w:rsidRPr="0018393F">
        <w:rPr>
          <w:sz w:val="24"/>
          <w:szCs w:val="24"/>
        </w:rPr>
        <w:t xml:space="preserve">firmy otrzymały </w:t>
      </w:r>
      <w:r w:rsidR="000D1EF3">
        <w:rPr>
          <w:sz w:val="24"/>
          <w:szCs w:val="24"/>
        </w:rPr>
        <w:t>ponad</w:t>
      </w:r>
      <w:r w:rsidR="000D1EF3" w:rsidRPr="0018393F">
        <w:rPr>
          <w:sz w:val="24"/>
          <w:szCs w:val="24"/>
        </w:rPr>
        <w:t xml:space="preserve"> </w:t>
      </w:r>
      <w:r w:rsidR="000D1EF3">
        <w:rPr>
          <w:sz w:val="24"/>
          <w:szCs w:val="24"/>
        </w:rPr>
        <w:t>61</w:t>
      </w:r>
      <w:r w:rsidR="000D1EF3" w:rsidRPr="0018393F">
        <w:rPr>
          <w:sz w:val="24"/>
          <w:szCs w:val="24"/>
        </w:rPr>
        <w:t xml:space="preserve"> </w:t>
      </w:r>
      <w:r w:rsidRPr="0018393F">
        <w:rPr>
          <w:sz w:val="24"/>
          <w:szCs w:val="24"/>
        </w:rPr>
        <w:t>mln zł dofinansowania.</w:t>
      </w:r>
      <w:r w:rsidR="00F46C9B" w:rsidRPr="0018393F">
        <w:rPr>
          <w:sz w:val="24"/>
          <w:szCs w:val="24"/>
        </w:rPr>
        <w:t xml:space="preserve"> W sumie w latach 2014-2021 podpisano </w:t>
      </w:r>
      <w:r w:rsidR="000D1EF3" w:rsidRPr="0018393F">
        <w:rPr>
          <w:sz w:val="24"/>
          <w:szCs w:val="24"/>
        </w:rPr>
        <w:t>5</w:t>
      </w:r>
      <w:r w:rsidR="000D1EF3">
        <w:rPr>
          <w:sz w:val="24"/>
          <w:szCs w:val="24"/>
        </w:rPr>
        <w:t>84</w:t>
      </w:r>
      <w:r w:rsidR="000D1EF3" w:rsidRPr="0018393F">
        <w:rPr>
          <w:sz w:val="24"/>
          <w:szCs w:val="24"/>
        </w:rPr>
        <w:t xml:space="preserve"> </w:t>
      </w:r>
      <w:r w:rsidR="00F46C9B" w:rsidRPr="0018393F">
        <w:rPr>
          <w:sz w:val="24"/>
          <w:szCs w:val="24"/>
        </w:rPr>
        <w:t>um</w:t>
      </w:r>
      <w:r w:rsidR="005A56A7">
        <w:rPr>
          <w:sz w:val="24"/>
          <w:szCs w:val="24"/>
        </w:rPr>
        <w:t>owy</w:t>
      </w:r>
      <w:r w:rsidR="00F46C9B" w:rsidRPr="0018393F">
        <w:rPr>
          <w:sz w:val="24"/>
          <w:szCs w:val="24"/>
        </w:rPr>
        <w:t xml:space="preserve">, na kwotę wsparcia ponad </w:t>
      </w:r>
      <w:r w:rsidR="000D1EF3">
        <w:rPr>
          <w:sz w:val="24"/>
          <w:szCs w:val="24"/>
        </w:rPr>
        <w:t>303</w:t>
      </w:r>
      <w:r w:rsidR="000D1EF3" w:rsidRPr="0018393F">
        <w:rPr>
          <w:sz w:val="24"/>
          <w:szCs w:val="24"/>
        </w:rPr>
        <w:t xml:space="preserve"> </w:t>
      </w:r>
      <w:r w:rsidR="00F46C9B" w:rsidRPr="0018393F">
        <w:rPr>
          <w:sz w:val="24"/>
          <w:szCs w:val="24"/>
        </w:rPr>
        <w:t>mln zł.</w:t>
      </w:r>
    </w:p>
    <w:p w14:paraId="4A49B9A0" w14:textId="7030C72F" w:rsidR="00E567B2" w:rsidRDefault="00093988" w:rsidP="00127972">
      <w:pPr>
        <w:spacing w:before="120" w:line="276" w:lineRule="auto"/>
        <w:rPr>
          <w:sz w:val="24"/>
          <w:szCs w:val="24"/>
        </w:rPr>
      </w:pPr>
      <w:r w:rsidRPr="0018393F">
        <w:rPr>
          <w:sz w:val="24"/>
          <w:szCs w:val="24"/>
        </w:rPr>
        <w:t xml:space="preserve">Fundusze Europejskie wpierają inicjatywy związane z ekspansją międzynarodową, a polskie firmy coraz chętniej wychodzą ze swoimi produktami poza granice kraju. </w:t>
      </w:r>
      <w:r w:rsidRPr="0018393F">
        <w:rPr>
          <w:rStyle w:val="markedcontent"/>
          <w:rFonts w:cs="Calibri"/>
          <w:sz w:val="24"/>
          <w:szCs w:val="24"/>
        </w:rPr>
        <w:t>Wyjście z ofertą poza granicę naszego kraju dla wielu, szczególnie mniejszych firm, wydaje się bardzo skomplikowane i finansowo chłonne. Dlatego tworzonych jest wiele narzędzi ułatwiających rozpoczęcie i rozwijanie działalności na skalę międzynarodową.</w:t>
      </w:r>
      <w:r w:rsidRPr="0018393F">
        <w:rPr>
          <w:rStyle w:val="markedcontent"/>
          <w:rFonts w:ascii="Arial" w:hAnsi="Arial" w:cs="Arial"/>
          <w:sz w:val="24"/>
          <w:szCs w:val="24"/>
        </w:rPr>
        <w:t xml:space="preserve"> </w:t>
      </w:r>
      <w:r w:rsidR="00127972" w:rsidRPr="0018393F">
        <w:rPr>
          <w:sz w:val="24"/>
          <w:szCs w:val="24"/>
        </w:rPr>
        <w:t xml:space="preserve">Polscy przedsiębiorcy działający w branży sprzętu </w:t>
      </w:r>
      <w:r w:rsidR="00127972" w:rsidRPr="0018393F">
        <w:rPr>
          <w:sz w:val="24"/>
          <w:szCs w:val="24"/>
        </w:rPr>
        <w:lastRenderedPageBreak/>
        <w:t xml:space="preserve">medycznego również mogą liczyć na wsparcie Funduszy Europejskich. Przykładem może być </w:t>
      </w:r>
      <w:r w:rsidR="005A56A7">
        <w:rPr>
          <w:sz w:val="24"/>
          <w:szCs w:val="24"/>
        </w:rPr>
        <w:t>istniejąca</w:t>
      </w:r>
      <w:r w:rsidR="005A56A7" w:rsidRPr="0018393F">
        <w:rPr>
          <w:sz w:val="24"/>
          <w:szCs w:val="24"/>
        </w:rPr>
        <w:t xml:space="preserve"> </w:t>
      </w:r>
      <w:r w:rsidR="00127972" w:rsidRPr="0018393F">
        <w:rPr>
          <w:sz w:val="24"/>
          <w:szCs w:val="24"/>
        </w:rPr>
        <w:t xml:space="preserve">od 2013 roku firma </w:t>
      </w:r>
      <w:proofErr w:type="spellStart"/>
      <w:r w:rsidR="00127972" w:rsidRPr="0018393F">
        <w:rPr>
          <w:sz w:val="24"/>
          <w:szCs w:val="24"/>
        </w:rPr>
        <w:t>Prodromus</w:t>
      </w:r>
      <w:proofErr w:type="spellEnd"/>
      <w:r w:rsidR="00127972" w:rsidRPr="0018393F">
        <w:rPr>
          <w:sz w:val="24"/>
          <w:szCs w:val="24"/>
        </w:rPr>
        <w:t>, zajmuj</w:t>
      </w:r>
      <w:r w:rsidRPr="0018393F">
        <w:rPr>
          <w:sz w:val="24"/>
          <w:szCs w:val="24"/>
        </w:rPr>
        <w:t>ąca</w:t>
      </w:r>
      <w:r w:rsidR="00127972" w:rsidRPr="0018393F">
        <w:rPr>
          <w:sz w:val="24"/>
          <w:szCs w:val="24"/>
        </w:rPr>
        <w:t xml:space="preserve"> się projektowaniem, produkcją i serwisem wyrobów medycznych</w:t>
      </w:r>
      <w:r w:rsidRPr="0018393F">
        <w:rPr>
          <w:sz w:val="24"/>
          <w:szCs w:val="24"/>
        </w:rPr>
        <w:t>, która wzięła udział w „Go to Brand”.</w:t>
      </w:r>
      <w:r w:rsidR="00127972" w:rsidRPr="0018393F">
        <w:rPr>
          <w:sz w:val="24"/>
          <w:szCs w:val="24"/>
        </w:rPr>
        <w:t xml:space="preserve"> Dzięki dotacji </w:t>
      </w:r>
      <w:proofErr w:type="spellStart"/>
      <w:r w:rsidR="00127972" w:rsidRPr="0018393F">
        <w:rPr>
          <w:sz w:val="24"/>
          <w:szCs w:val="24"/>
        </w:rPr>
        <w:t>Prodromus</w:t>
      </w:r>
      <w:proofErr w:type="spellEnd"/>
      <w:r w:rsidR="00127972" w:rsidRPr="0018393F">
        <w:rPr>
          <w:sz w:val="24"/>
          <w:szCs w:val="24"/>
        </w:rPr>
        <w:t xml:space="preserve"> rozpoczął szeroką promocję swojego produktu m.in. na rynku </w:t>
      </w:r>
      <w:r w:rsidR="005A56A7">
        <w:rPr>
          <w:sz w:val="24"/>
          <w:szCs w:val="24"/>
        </w:rPr>
        <w:t>n</w:t>
      </w:r>
      <w:r w:rsidR="00127972" w:rsidRPr="0018393F">
        <w:rPr>
          <w:sz w:val="24"/>
          <w:szCs w:val="24"/>
        </w:rPr>
        <w:t xml:space="preserve">iemieckim, </w:t>
      </w:r>
      <w:r w:rsidR="005A56A7">
        <w:rPr>
          <w:sz w:val="24"/>
          <w:szCs w:val="24"/>
        </w:rPr>
        <w:t>t</w:t>
      </w:r>
      <w:r w:rsidR="00127972" w:rsidRPr="0018393F">
        <w:rPr>
          <w:sz w:val="24"/>
          <w:szCs w:val="24"/>
        </w:rPr>
        <w:t>ureckim, Zjednoczonych Emiratów Arabskich czy w Stanach Zjednoczonych. Urządzenie, które zwróciło uwagę zagranicznych kontrahentów, to robot rehabilitacyjny kończyn dolnych, który jest przeznczony dla dzieci, cierpiących na choroby upośledzające chód. Urządzenie posiada asystenta siadu i może być wykorzystywane do pionizacji pacjentów. Małe rozmiary i niska cena</w:t>
      </w:r>
      <w:r w:rsidR="005A56A7">
        <w:rPr>
          <w:sz w:val="24"/>
          <w:szCs w:val="24"/>
        </w:rPr>
        <w:t>,</w:t>
      </w:r>
      <w:r w:rsidR="00127972" w:rsidRPr="0018393F">
        <w:rPr>
          <w:sz w:val="24"/>
          <w:szCs w:val="24"/>
        </w:rPr>
        <w:t xml:space="preserve"> w stosunku do rozwiązań obecnych na rynku globalnym</w:t>
      </w:r>
      <w:r w:rsidR="005A56A7">
        <w:rPr>
          <w:sz w:val="24"/>
          <w:szCs w:val="24"/>
        </w:rPr>
        <w:t>,</w:t>
      </w:r>
      <w:r w:rsidR="00127972" w:rsidRPr="0018393F">
        <w:rPr>
          <w:sz w:val="24"/>
          <w:szCs w:val="24"/>
        </w:rPr>
        <w:t xml:space="preserve"> czynią go produktem o zasięgu światowym. Obecnie roboty pracują już w 9 krajach świata.</w:t>
      </w:r>
      <w:r w:rsidRPr="0018393F">
        <w:rPr>
          <w:sz w:val="24"/>
          <w:szCs w:val="24"/>
        </w:rPr>
        <w:t xml:space="preserve"> </w:t>
      </w:r>
    </w:p>
    <w:p w14:paraId="2029D86E" w14:textId="1A5656E1" w:rsidR="00127972" w:rsidRPr="0018393F" w:rsidRDefault="00093988" w:rsidP="00127972">
      <w:pPr>
        <w:spacing w:before="120" w:line="276" w:lineRule="auto"/>
        <w:rPr>
          <w:sz w:val="24"/>
          <w:szCs w:val="24"/>
        </w:rPr>
      </w:pPr>
      <w:r w:rsidRPr="0018393F">
        <w:rPr>
          <w:sz w:val="24"/>
          <w:szCs w:val="24"/>
        </w:rPr>
        <w:t xml:space="preserve">W 2021 r. </w:t>
      </w:r>
      <w:r w:rsidR="00150649" w:rsidRPr="0018393F">
        <w:rPr>
          <w:sz w:val="24"/>
          <w:szCs w:val="24"/>
        </w:rPr>
        <w:t>6</w:t>
      </w:r>
      <w:r w:rsidR="00150649">
        <w:rPr>
          <w:sz w:val="24"/>
          <w:szCs w:val="24"/>
        </w:rPr>
        <w:t>27</w:t>
      </w:r>
      <w:r w:rsidR="00150649" w:rsidRPr="0018393F">
        <w:rPr>
          <w:sz w:val="24"/>
          <w:szCs w:val="24"/>
        </w:rPr>
        <w:t xml:space="preserve"> </w:t>
      </w:r>
      <w:r w:rsidRPr="0018393F">
        <w:rPr>
          <w:sz w:val="24"/>
          <w:szCs w:val="24"/>
        </w:rPr>
        <w:t>przedsiębiorstw</w:t>
      </w:r>
      <w:r w:rsidR="00F46C9B" w:rsidRPr="0018393F">
        <w:rPr>
          <w:sz w:val="24"/>
          <w:szCs w:val="24"/>
        </w:rPr>
        <w:t xml:space="preserve"> w konkursie „Go to Brand”</w:t>
      </w:r>
      <w:r w:rsidRPr="0018393F">
        <w:rPr>
          <w:sz w:val="24"/>
          <w:szCs w:val="24"/>
        </w:rPr>
        <w:t xml:space="preserve"> otrzymało dofinansowanie wynoszące prawie 16</w:t>
      </w:r>
      <w:r w:rsidR="00150649">
        <w:rPr>
          <w:sz w:val="24"/>
          <w:szCs w:val="24"/>
        </w:rPr>
        <w:t>2</w:t>
      </w:r>
      <w:r w:rsidRPr="0018393F">
        <w:rPr>
          <w:sz w:val="24"/>
          <w:szCs w:val="24"/>
        </w:rPr>
        <w:t xml:space="preserve"> mln zł na realizację projektów. </w:t>
      </w:r>
      <w:r w:rsidR="00F46C9B" w:rsidRPr="0018393F">
        <w:rPr>
          <w:sz w:val="24"/>
          <w:szCs w:val="24"/>
        </w:rPr>
        <w:t xml:space="preserve">W </w:t>
      </w:r>
      <w:r w:rsidR="007705D7">
        <w:rPr>
          <w:sz w:val="24"/>
          <w:szCs w:val="24"/>
        </w:rPr>
        <w:t>latach</w:t>
      </w:r>
      <w:r w:rsidR="007705D7" w:rsidRPr="0018393F">
        <w:rPr>
          <w:sz w:val="24"/>
          <w:szCs w:val="24"/>
        </w:rPr>
        <w:t xml:space="preserve"> </w:t>
      </w:r>
      <w:r w:rsidR="00F46C9B" w:rsidRPr="0018393F">
        <w:rPr>
          <w:sz w:val="24"/>
          <w:szCs w:val="24"/>
        </w:rPr>
        <w:t>2014-2021 podpisano 2 </w:t>
      </w:r>
      <w:r w:rsidR="00150649" w:rsidRPr="0018393F">
        <w:rPr>
          <w:sz w:val="24"/>
          <w:szCs w:val="24"/>
        </w:rPr>
        <w:t>6</w:t>
      </w:r>
      <w:r w:rsidR="00150649">
        <w:rPr>
          <w:sz w:val="24"/>
          <w:szCs w:val="24"/>
        </w:rPr>
        <w:t>71</w:t>
      </w:r>
      <w:r w:rsidR="00150649" w:rsidRPr="0018393F">
        <w:rPr>
          <w:sz w:val="24"/>
          <w:szCs w:val="24"/>
        </w:rPr>
        <w:t xml:space="preserve"> </w:t>
      </w:r>
      <w:r w:rsidR="00F46C9B" w:rsidRPr="0018393F">
        <w:rPr>
          <w:sz w:val="24"/>
          <w:szCs w:val="24"/>
        </w:rPr>
        <w:t xml:space="preserve">umów, na kwotę wsparcia prawie </w:t>
      </w:r>
      <w:r w:rsidR="00150649" w:rsidRPr="0018393F">
        <w:rPr>
          <w:sz w:val="24"/>
          <w:szCs w:val="24"/>
        </w:rPr>
        <w:t>86</w:t>
      </w:r>
      <w:r w:rsidR="00150649">
        <w:rPr>
          <w:sz w:val="24"/>
          <w:szCs w:val="24"/>
        </w:rPr>
        <w:t>9</w:t>
      </w:r>
      <w:r w:rsidR="00150649" w:rsidRPr="0018393F">
        <w:rPr>
          <w:sz w:val="24"/>
          <w:szCs w:val="24"/>
        </w:rPr>
        <w:t xml:space="preserve"> </w:t>
      </w:r>
      <w:r w:rsidR="00F46C9B" w:rsidRPr="0018393F">
        <w:rPr>
          <w:sz w:val="24"/>
          <w:szCs w:val="24"/>
        </w:rPr>
        <w:t>mln zł.</w:t>
      </w:r>
    </w:p>
    <w:p w14:paraId="37CF7CDE" w14:textId="77777777" w:rsidR="004E1597" w:rsidRDefault="00D12ADB" w:rsidP="00127972">
      <w:pPr>
        <w:spacing w:before="120" w:line="276" w:lineRule="auto"/>
        <w:rPr>
          <w:sz w:val="24"/>
          <w:szCs w:val="24"/>
        </w:rPr>
      </w:pPr>
      <w:r w:rsidRPr="0018393F">
        <w:rPr>
          <w:sz w:val="24"/>
          <w:szCs w:val="24"/>
        </w:rPr>
        <w:t xml:space="preserve">Coraz ważniejsze dla ludzi staje się zwracanie uwagi na ochronę środowiska. Pomoc UE sprzyja tworzeniu nowoczesnych produktów i technologii, które wspierają m.in. dbanie o naszą planetę. </w:t>
      </w:r>
      <w:r w:rsidRPr="0018393F">
        <w:rPr>
          <w:rStyle w:val="markedcontent"/>
          <w:rFonts w:cs="Calibri"/>
          <w:sz w:val="24"/>
          <w:szCs w:val="24"/>
        </w:rPr>
        <w:t>Dotacje otrzymują m.in. projekty, których specyfika związana jest z wprowadzeniem nowatorskich produktów, wyników prac badawczo-rozwojowych czy odnajdowaniem nowych rozwiązań różnych problemów społecznych.</w:t>
      </w:r>
      <w:r w:rsidRPr="0018393F">
        <w:rPr>
          <w:rStyle w:val="markedcontent"/>
          <w:rFonts w:ascii="Arial" w:hAnsi="Arial" w:cs="Arial"/>
          <w:sz w:val="24"/>
          <w:szCs w:val="24"/>
        </w:rPr>
        <w:t xml:space="preserve"> </w:t>
      </w:r>
      <w:r w:rsidR="00127972" w:rsidRPr="0018393F">
        <w:rPr>
          <w:sz w:val="24"/>
          <w:szCs w:val="24"/>
        </w:rPr>
        <w:t>Dzięki wsparciu finansowemu, szansę na rozwój miała również firma AVIONIC</w:t>
      </w:r>
      <w:r w:rsidRPr="0018393F">
        <w:rPr>
          <w:sz w:val="24"/>
          <w:szCs w:val="24"/>
        </w:rPr>
        <w:t>, która wzięła udział w „Bonach na innowacje dla MŚP”</w:t>
      </w:r>
      <w:r w:rsidR="00127972" w:rsidRPr="0018393F">
        <w:rPr>
          <w:sz w:val="24"/>
          <w:szCs w:val="24"/>
        </w:rPr>
        <w:t>. Przedsiębiorstwo podjęło się realizacji projektu, który miał usprawnić istniejący już produkt – szybowiec SZD-56-2 Diana 2 – poprzez integrację z elektrycznym zespołem napędowym. W ramach przedsięwzięcia wykonano serię badań i testów. W ich wyniku powstała maszyna, wyróżniająca się zestawem cech i funkcjonalności, których nie posiada żaden inny, dostępny szybowiec.</w:t>
      </w:r>
      <w:r w:rsidRPr="0018393F">
        <w:rPr>
          <w:sz w:val="24"/>
          <w:szCs w:val="24"/>
        </w:rPr>
        <w:t xml:space="preserve"> </w:t>
      </w:r>
    </w:p>
    <w:p w14:paraId="73056B94" w14:textId="2A401AA3" w:rsidR="00127972" w:rsidRPr="0018393F" w:rsidRDefault="00D12ADB" w:rsidP="00127972">
      <w:pPr>
        <w:spacing w:before="120" w:line="276" w:lineRule="auto"/>
        <w:rPr>
          <w:sz w:val="24"/>
          <w:szCs w:val="24"/>
        </w:rPr>
      </w:pPr>
      <w:r w:rsidRPr="0018393F">
        <w:rPr>
          <w:sz w:val="24"/>
          <w:szCs w:val="24"/>
        </w:rPr>
        <w:t xml:space="preserve">Tylko w 2021 r. w konkursie „Bony na innowacje dla MŚP” – etap usługowy i inwestycyjny, podpisano </w:t>
      </w:r>
      <w:r w:rsidR="001E5DA7" w:rsidRPr="0018393F">
        <w:rPr>
          <w:sz w:val="24"/>
          <w:szCs w:val="24"/>
        </w:rPr>
        <w:t>3</w:t>
      </w:r>
      <w:r w:rsidR="001E5DA7">
        <w:rPr>
          <w:sz w:val="24"/>
          <w:szCs w:val="24"/>
        </w:rPr>
        <w:t>32</w:t>
      </w:r>
      <w:r w:rsidR="001E5DA7" w:rsidRPr="0018393F">
        <w:rPr>
          <w:sz w:val="24"/>
          <w:szCs w:val="24"/>
        </w:rPr>
        <w:t xml:space="preserve"> </w:t>
      </w:r>
      <w:r w:rsidRPr="0018393F">
        <w:rPr>
          <w:sz w:val="24"/>
          <w:szCs w:val="24"/>
        </w:rPr>
        <w:t>um</w:t>
      </w:r>
      <w:r w:rsidR="005A56A7">
        <w:rPr>
          <w:sz w:val="24"/>
          <w:szCs w:val="24"/>
        </w:rPr>
        <w:t>owy</w:t>
      </w:r>
      <w:r w:rsidRPr="0018393F">
        <w:rPr>
          <w:sz w:val="24"/>
          <w:szCs w:val="24"/>
        </w:rPr>
        <w:t xml:space="preserve"> na kwotę dofinansowania – prawie 99 mln zł.</w:t>
      </w:r>
      <w:r w:rsidR="0018393F" w:rsidRPr="0018393F">
        <w:rPr>
          <w:sz w:val="24"/>
          <w:szCs w:val="24"/>
        </w:rPr>
        <w:t xml:space="preserve"> Łącznie w </w:t>
      </w:r>
      <w:r w:rsidR="00C63196">
        <w:rPr>
          <w:sz w:val="24"/>
          <w:szCs w:val="24"/>
        </w:rPr>
        <w:t>latach</w:t>
      </w:r>
      <w:r w:rsidR="00C63196" w:rsidRPr="0018393F">
        <w:rPr>
          <w:sz w:val="24"/>
          <w:szCs w:val="24"/>
        </w:rPr>
        <w:t xml:space="preserve"> </w:t>
      </w:r>
      <w:r w:rsidR="0018393F" w:rsidRPr="0018393F">
        <w:rPr>
          <w:sz w:val="24"/>
          <w:szCs w:val="24"/>
        </w:rPr>
        <w:t>2014-2021 podpisano 1 23</w:t>
      </w:r>
      <w:r w:rsidR="001E5DA7">
        <w:rPr>
          <w:sz w:val="24"/>
          <w:szCs w:val="24"/>
        </w:rPr>
        <w:t>5</w:t>
      </w:r>
      <w:r w:rsidR="0018393F" w:rsidRPr="0018393F">
        <w:rPr>
          <w:sz w:val="24"/>
          <w:szCs w:val="24"/>
        </w:rPr>
        <w:t xml:space="preserve"> umów, na kwotę prawie 330 mln zł.</w:t>
      </w:r>
    </w:p>
    <w:p w14:paraId="7726A777" w14:textId="77777777" w:rsidR="004E1597" w:rsidRDefault="00D12ADB" w:rsidP="00127972">
      <w:pPr>
        <w:spacing w:before="120" w:line="276" w:lineRule="auto"/>
        <w:rPr>
          <w:rStyle w:val="markedcontent"/>
          <w:rFonts w:cs="Calibri"/>
          <w:sz w:val="24"/>
          <w:szCs w:val="24"/>
        </w:rPr>
      </w:pPr>
      <w:r w:rsidRPr="0018393F">
        <w:rPr>
          <w:rStyle w:val="markedcontent"/>
          <w:rFonts w:cs="Calibri"/>
          <w:sz w:val="24"/>
          <w:szCs w:val="24"/>
        </w:rPr>
        <w:t xml:space="preserve">Dzięki nakładom na badania i rozwój, </w:t>
      </w:r>
      <w:r w:rsidR="00F46C9B" w:rsidRPr="0018393F">
        <w:rPr>
          <w:rStyle w:val="markedcontent"/>
          <w:rFonts w:cs="Calibri"/>
          <w:sz w:val="24"/>
          <w:szCs w:val="24"/>
        </w:rPr>
        <w:t xml:space="preserve">firmy </w:t>
      </w:r>
      <w:r w:rsidRPr="0018393F">
        <w:rPr>
          <w:rStyle w:val="markedcontent"/>
          <w:rFonts w:cs="Calibri"/>
          <w:sz w:val="24"/>
          <w:szCs w:val="24"/>
        </w:rPr>
        <w:t>polepszyły i rozwinęły swoją produkcję. Były otwarte na poszukiwania prekursorskich rozwiązań, pomysłów i koncepcji, a wsparcie Funduszy Europejskich pomogło im w realizacji nowych produktów, ulepszaniu technologii, wzroście efektywnośc</w:t>
      </w:r>
      <w:r w:rsidR="00F46C9B" w:rsidRPr="0018393F">
        <w:rPr>
          <w:rStyle w:val="markedcontent"/>
          <w:rFonts w:cs="Calibri"/>
          <w:sz w:val="24"/>
          <w:szCs w:val="24"/>
        </w:rPr>
        <w:t>i</w:t>
      </w:r>
      <w:r w:rsidRPr="0018393F">
        <w:rPr>
          <w:rStyle w:val="markedcontent"/>
          <w:rFonts w:cs="Calibri"/>
          <w:sz w:val="24"/>
          <w:szCs w:val="24"/>
        </w:rPr>
        <w:t>.</w:t>
      </w:r>
      <w:r w:rsidR="00F46C9B" w:rsidRPr="0018393F">
        <w:rPr>
          <w:rStyle w:val="markedcontent"/>
          <w:rFonts w:cs="Calibri"/>
          <w:sz w:val="24"/>
          <w:szCs w:val="24"/>
        </w:rPr>
        <w:t xml:space="preserve"> Jedną z nich jest spółka </w:t>
      </w:r>
      <w:r w:rsidR="00E567B2">
        <w:rPr>
          <w:rStyle w:val="markedcontent"/>
          <w:rFonts w:cs="Calibri"/>
          <w:sz w:val="24"/>
          <w:szCs w:val="24"/>
        </w:rPr>
        <w:t>IZOBLOK</w:t>
      </w:r>
      <w:r w:rsidR="00F46C9B" w:rsidRPr="0018393F">
        <w:rPr>
          <w:rStyle w:val="markedcontent"/>
          <w:rFonts w:cs="Calibri"/>
          <w:sz w:val="24"/>
          <w:szCs w:val="24"/>
        </w:rPr>
        <w:t xml:space="preserve">, która dzięki „Badaniom na rynek” wprowadziła na rynek międzynarodowy kształtki z tworzywa EPP z wkładkami metalowymi oraz z tworzywa sztucznego. W rezultacie przeprowadzonego projektu spółka umocniła pozycję konkurencyjną na rynku światowym, co przełożyło się na zwiększenie globalnego potencjału polskiego sektora </w:t>
      </w:r>
      <w:proofErr w:type="spellStart"/>
      <w:r w:rsidR="00F46C9B" w:rsidRPr="0018393F">
        <w:rPr>
          <w:rStyle w:val="markedcontent"/>
          <w:rFonts w:cs="Calibri"/>
          <w:sz w:val="24"/>
          <w:szCs w:val="24"/>
        </w:rPr>
        <w:t>automotive</w:t>
      </w:r>
      <w:proofErr w:type="spellEnd"/>
      <w:r w:rsidR="00F46C9B" w:rsidRPr="0018393F">
        <w:rPr>
          <w:rStyle w:val="markedcontent"/>
          <w:rFonts w:cs="Calibri"/>
          <w:sz w:val="24"/>
          <w:szCs w:val="24"/>
        </w:rPr>
        <w:t xml:space="preserve">. Grupa IZOBLOK jest obecnie liderem europejskiego rynku EPP, w którym posiada udział na poziomie 25%. </w:t>
      </w:r>
    </w:p>
    <w:p w14:paraId="2CD9A210" w14:textId="4DCC9D92" w:rsidR="00D12ADB" w:rsidRPr="0018393F" w:rsidRDefault="005A56A7" w:rsidP="00127972">
      <w:pPr>
        <w:spacing w:before="120" w:line="276" w:lineRule="auto"/>
        <w:rPr>
          <w:rFonts w:cs="Calibri"/>
          <w:sz w:val="24"/>
          <w:szCs w:val="24"/>
        </w:rPr>
      </w:pPr>
      <w:r>
        <w:rPr>
          <w:rStyle w:val="markedcontent"/>
          <w:rFonts w:cs="Calibri"/>
          <w:sz w:val="24"/>
          <w:szCs w:val="24"/>
        </w:rPr>
        <w:lastRenderedPageBreak/>
        <w:t xml:space="preserve">W </w:t>
      </w:r>
      <w:r w:rsidR="00F46C9B" w:rsidRPr="0018393F">
        <w:rPr>
          <w:rStyle w:val="markedcontent"/>
          <w:rFonts w:cs="Calibri"/>
          <w:sz w:val="24"/>
          <w:szCs w:val="24"/>
        </w:rPr>
        <w:t>2021 r.</w:t>
      </w:r>
      <w:r w:rsidR="0018393F" w:rsidRPr="0018393F">
        <w:rPr>
          <w:rStyle w:val="markedcontent"/>
          <w:rFonts w:cs="Calibri"/>
          <w:sz w:val="24"/>
          <w:szCs w:val="24"/>
        </w:rPr>
        <w:t xml:space="preserve"> w „Badaniach na rynek”</w:t>
      </w:r>
      <w:r w:rsidR="002A78AC">
        <w:rPr>
          <w:rStyle w:val="markedcontent"/>
          <w:rFonts w:cs="Calibri"/>
          <w:sz w:val="24"/>
          <w:szCs w:val="24"/>
        </w:rPr>
        <w:t xml:space="preserve"> rekomendowano kolejne 132 projekty na kwotę 650 m</w:t>
      </w:r>
      <w:r w:rsidR="004A319F">
        <w:rPr>
          <w:rStyle w:val="markedcontent"/>
          <w:rFonts w:cs="Calibri"/>
          <w:sz w:val="24"/>
          <w:szCs w:val="24"/>
        </w:rPr>
        <w:t>ln</w:t>
      </w:r>
      <w:r w:rsidR="002A78AC">
        <w:rPr>
          <w:rStyle w:val="markedcontent"/>
          <w:rFonts w:cs="Calibri"/>
          <w:sz w:val="24"/>
          <w:szCs w:val="24"/>
        </w:rPr>
        <w:t xml:space="preserve"> zł, </w:t>
      </w:r>
      <w:r w:rsidR="004A319F">
        <w:rPr>
          <w:rStyle w:val="markedcontent"/>
          <w:rFonts w:cs="Calibri"/>
          <w:sz w:val="24"/>
          <w:szCs w:val="24"/>
        </w:rPr>
        <w:t xml:space="preserve">a </w:t>
      </w:r>
      <w:r w:rsidR="002A78AC">
        <w:rPr>
          <w:rStyle w:val="markedcontent"/>
          <w:rFonts w:cs="Calibri"/>
          <w:sz w:val="24"/>
          <w:szCs w:val="24"/>
        </w:rPr>
        <w:t xml:space="preserve">podpisano już </w:t>
      </w:r>
      <w:r w:rsidR="001E5DA7">
        <w:rPr>
          <w:rStyle w:val="markedcontent"/>
          <w:rFonts w:cs="Calibri"/>
          <w:sz w:val="24"/>
          <w:szCs w:val="24"/>
        </w:rPr>
        <w:t>73</w:t>
      </w:r>
      <w:r w:rsidR="00F46C9B" w:rsidRPr="0018393F">
        <w:rPr>
          <w:rStyle w:val="markedcontent"/>
          <w:rFonts w:cs="Calibri"/>
          <w:sz w:val="24"/>
          <w:szCs w:val="24"/>
        </w:rPr>
        <w:t xml:space="preserve"> um</w:t>
      </w:r>
      <w:r w:rsidR="00E567B2">
        <w:rPr>
          <w:rStyle w:val="markedcontent"/>
          <w:rFonts w:cs="Calibri"/>
          <w:sz w:val="24"/>
          <w:szCs w:val="24"/>
        </w:rPr>
        <w:t>owy</w:t>
      </w:r>
      <w:r w:rsidR="00F46C9B" w:rsidRPr="0018393F">
        <w:rPr>
          <w:rStyle w:val="markedcontent"/>
          <w:rFonts w:cs="Calibri"/>
          <w:sz w:val="24"/>
          <w:szCs w:val="24"/>
        </w:rPr>
        <w:t xml:space="preserve">, w których dofinansowanie wynosi prawie </w:t>
      </w:r>
      <w:r w:rsidR="001E5DA7">
        <w:rPr>
          <w:rStyle w:val="markedcontent"/>
          <w:rFonts w:cs="Calibri"/>
          <w:sz w:val="24"/>
          <w:szCs w:val="24"/>
        </w:rPr>
        <w:t>432</w:t>
      </w:r>
      <w:r w:rsidR="00F46C9B" w:rsidRPr="0018393F">
        <w:rPr>
          <w:rStyle w:val="markedcontent"/>
          <w:rFonts w:cs="Calibri"/>
          <w:sz w:val="24"/>
          <w:szCs w:val="24"/>
        </w:rPr>
        <w:t xml:space="preserve"> mln zł.</w:t>
      </w:r>
      <w:r w:rsidR="0018393F" w:rsidRPr="0018393F">
        <w:rPr>
          <w:rStyle w:val="markedcontent"/>
          <w:rFonts w:cs="Calibri"/>
          <w:sz w:val="24"/>
          <w:szCs w:val="24"/>
        </w:rPr>
        <w:t xml:space="preserve"> Łącznie w ramach </w:t>
      </w:r>
      <w:r w:rsidR="001E4327">
        <w:rPr>
          <w:rStyle w:val="markedcontent"/>
          <w:rFonts w:cs="Calibri"/>
          <w:sz w:val="24"/>
          <w:szCs w:val="24"/>
        </w:rPr>
        <w:t xml:space="preserve">18 </w:t>
      </w:r>
      <w:r w:rsidR="0018393F" w:rsidRPr="0018393F">
        <w:rPr>
          <w:rStyle w:val="markedcontent"/>
          <w:rFonts w:cs="Calibri"/>
          <w:sz w:val="24"/>
          <w:szCs w:val="24"/>
        </w:rPr>
        <w:t>konkurs</w:t>
      </w:r>
      <w:r w:rsidR="001E4327">
        <w:rPr>
          <w:rStyle w:val="markedcontent"/>
          <w:rFonts w:cs="Calibri"/>
          <w:sz w:val="24"/>
          <w:szCs w:val="24"/>
        </w:rPr>
        <w:t>ów</w:t>
      </w:r>
      <w:r w:rsidR="0018393F" w:rsidRPr="0018393F">
        <w:rPr>
          <w:rStyle w:val="markedcontent"/>
          <w:rFonts w:cs="Calibri"/>
          <w:sz w:val="24"/>
          <w:szCs w:val="24"/>
        </w:rPr>
        <w:t xml:space="preserve"> podpisano </w:t>
      </w:r>
      <w:r w:rsidR="00B02EBA">
        <w:rPr>
          <w:rStyle w:val="markedcontent"/>
          <w:rFonts w:cs="Calibri"/>
          <w:sz w:val="24"/>
          <w:szCs w:val="24"/>
        </w:rPr>
        <w:t xml:space="preserve">już </w:t>
      </w:r>
      <w:r w:rsidR="0018393F" w:rsidRPr="0018393F">
        <w:rPr>
          <w:rStyle w:val="markedcontent"/>
          <w:rFonts w:cs="Calibri"/>
          <w:sz w:val="24"/>
          <w:szCs w:val="24"/>
        </w:rPr>
        <w:t>4</w:t>
      </w:r>
      <w:r w:rsidR="001E5DA7">
        <w:rPr>
          <w:rStyle w:val="markedcontent"/>
          <w:rFonts w:cs="Calibri"/>
          <w:sz w:val="24"/>
          <w:szCs w:val="24"/>
        </w:rPr>
        <w:t>90</w:t>
      </w:r>
      <w:r w:rsidR="0018393F" w:rsidRPr="0018393F">
        <w:rPr>
          <w:rStyle w:val="markedcontent"/>
          <w:rFonts w:cs="Calibri"/>
          <w:sz w:val="24"/>
          <w:szCs w:val="24"/>
        </w:rPr>
        <w:t xml:space="preserve"> um</w:t>
      </w:r>
      <w:r>
        <w:rPr>
          <w:rStyle w:val="markedcontent"/>
          <w:rFonts w:cs="Calibri"/>
          <w:sz w:val="24"/>
          <w:szCs w:val="24"/>
        </w:rPr>
        <w:t>ów</w:t>
      </w:r>
      <w:r w:rsidR="0018393F" w:rsidRPr="0018393F">
        <w:rPr>
          <w:rStyle w:val="markedcontent"/>
          <w:rFonts w:cs="Calibri"/>
          <w:sz w:val="24"/>
          <w:szCs w:val="24"/>
        </w:rPr>
        <w:t>, na dofinansowanie wynoszące ponad 4</w:t>
      </w:r>
      <w:r w:rsidR="001E5DA7">
        <w:rPr>
          <w:rStyle w:val="markedcontent"/>
          <w:rFonts w:cs="Calibri"/>
          <w:sz w:val="24"/>
          <w:szCs w:val="24"/>
        </w:rPr>
        <w:t>,1</w:t>
      </w:r>
      <w:r w:rsidR="0018393F" w:rsidRPr="0018393F">
        <w:rPr>
          <w:rStyle w:val="markedcontent"/>
          <w:rFonts w:cs="Calibri"/>
          <w:sz w:val="24"/>
          <w:szCs w:val="24"/>
        </w:rPr>
        <w:t xml:space="preserve"> mld zł. </w:t>
      </w:r>
    </w:p>
    <w:p w14:paraId="50388242" w14:textId="760EC717" w:rsidR="00127972" w:rsidRPr="00127972" w:rsidRDefault="00127972" w:rsidP="00127972">
      <w:pPr>
        <w:pStyle w:val="Nagwek2"/>
        <w:rPr>
          <w:b/>
          <w:bCs/>
          <w:color w:val="000000" w:themeColor="text1"/>
          <w:sz w:val="28"/>
          <w:szCs w:val="28"/>
        </w:rPr>
      </w:pPr>
      <w:r w:rsidRPr="00127972">
        <w:rPr>
          <w:b/>
          <w:bCs/>
          <w:color w:val="000000" w:themeColor="text1"/>
          <w:sz w:val="28"/>
          <w:szCs w:val="28"/>
        </w:rPr>
        <w:t>POIR w liczbach</w:t>
      </w:r>
    </w:p>
    <w:p w14:paraId="5B58C92C" w14:textId="66C193C1" w:rsidR="00782EF1" w:rsidRDefault="00127972" w:rsidP="00127972">
      <w:pPr>
        <w:spacing w:before="120" w:line="276" w:lineRule="auto"/>
        <w:rPr>
          <w:sz w:val="24"/>
          <w:szCs w:val="24"/>
        </w:rPr>
      </w:pPr>
      <w:r w:rsidRPr="00127972">
        <w:rPr>
          <w:sz w:val="24"/>
          <w:szCs w:val="24"/>
        </w:rPr>
        <w:t>W trakcie trwania Programu Inteligentny Rozwój</w:t>
      </w:r>
      <w:r w:rsidR="00F46C9B">
        <w:rPr>
          <w:sz w:val="24"/>
          <w:szCs w:val="24"/>
        </w:rPr>
        <w:t xml:space="preserve"> (2014-2021)</w:t>
      </w:r>
      <w:r w:rsidRPr="00127972">
        <w:rPr>
          <w:sz w:val="24"/>
          <w:szCs w:val="24"/>
        </w:rPr>
        <w:t>, podpisano ok. 9 tys</w:t>
      </w:r>
      <w:r w:rsidR="004E1597">
        <w:rPr>
          <w:sz w:val="24"/>
          <w:szCs w:val="24"/>
        </w:rPr>
        <w:t>ięcy</w:t>
      </w:r>
      <w:r w:rsidRPr="00127972">
        <w:rPr>
          <w:sz w:val="24"/>
          <w:szCs w:val="24"/>
        </w:rPr>
        <w:t xml:space="preserve"> umów z beneficjentami. Otrzymali oni łącznie niemal 7 mld zł wsparcia. W samym 2021 r. aż </w:t>
      </w:r>
      <w:r w:rsidR="001E5DA7" w:rsidRPr="00127972">
        <w:rPr>
          <w:sz w:val="24"/>
          <w:szCs w:val="24"/>
        </w:rPr>
        <w:t>1</w:t>
      </w:r>
      <w:r w:rsidR="001E5DA7">
        <w:rPr>
          <w:sz w:val="24"/>
          <w:szCs w:val="24"/>
        </w:rPr>
        <w:t>232</w:t>
      </w:r>
      <w:r w:rsidR="001E5DA7" w:rsidRPr="00127972">
        <w:rPr>
          <w:sz w:val="24"/>
          <w:szCs w:val="24"/>
        </w:rPr>
        <w:t xml:space="preserve"> </w:t>
      </w:r>
      <w:r w:rsidRPr="00127972">
        <w:rPr>
          <w:sz w:val="24"/>
          <w:szCs w:val="24"/>
        </w:rPr>
        <w:t>przedsiębiorstw</w:t>
      </w:r>
      <w:r w:rsidR="00F7380C">
        <w:rPr>
          <w:sz w:val="24"/>
          <w:szCs w:val="24"/>
        </w:rPr>
        <w:t>om</w:t>
      </w:r>
      <w:r w:rsidRPr="00127972">
        <w:rPr>
          <w:sz w:val="24"/>
          <w:szCs w:val="24"/>
        </w:rPr>
        <w:t xml:space="preserve"> </w:t>
      </w:r>
      <w:r w:rsidR="00F7380C">
        <w:rPr>
          <w:sz w:val="24"/>
          <w:szCs w:val="24"/>
        </w:rPr>
        <w:t>przyznano</w:t>
      </w:r>
      <w:r w:rsidRPr="00127972">
        <w:rPr>
          <w:sz w:val="24"/>
          <w:szCs w:val="24"/>
        </w:rPr>
        <w:t xml:space="preserve"> wsparcie </w:t>
      </w:r>
      <w:r w:rsidR="00F7380C">
        <w:rPr>
          <w:sz w:val="24"/>
          <w:szCs w:val="24"/>
        </w:rPr>
        <w:t>w</w:t>
      </w:r>
      <w:r w:rsidRPr="00127972">
        <w:rPr>
          <w:sz w:val="24"/>
          <w:szCs w:val="24"/>
        </w:rPr>
        <w:t xml:space="preserve"> wysokości </w:t>
      </w:r>
      <w:r w:rsidR="00AD4AA6">
        <w:rPr>
          <w:sz w:val="24"/>
          <w:szCs w:val="24"/>
        </w:rPr>
        <w:t>prawie</w:t>
      </w:r>
      <w:r w:rsidR="004A319F">
        <w:rPr>
          <w:sz w:val="24"/>
          <w:szCs w:val="24"/>
        </w:rPr>
        <w:t xml:space="preserve"> </w:t>
      </w:r>
      <w:r w:rsidR="00AD4AA6">
        <w:rPr>
          <w:sz w:val="24"/>
          <w:szCs w:val="24"/>
        </w:rPr>
        <w:t>900</w:t>
      </w:r>
      <w:r w:rsidR="00AD4AA6" w:rsidRPr="00127972">
        <w:rPr>
          <w:sz w:val="24"/>
          <w:szCs w:val="24"/>
        </w:rPr>
        <w:t xml:space="preserve"> </w:t>
      </w:r>
      <w:r w:rsidRPr="00127972">
        <w:rPr>
          <w:sz w:val="24"/>
          <w:szCs w:val="24"/>
        </w:rPr>
        <w:t>mln zł.</w:t>
      </w:r>
      <w:r w:rsidR="004A319F">
        <w:rPr>
          <w:sz w:val="24"/>
          <w:szCs w:val="24"/>
        </w:rPr>
        <w:t xml:space="preserve"> Są to środki przekazane przez Polską Agencję Rozwoju Przedsiębiorczości</w:t>
      </w:r>
      <w:r w:rsidR="00647041">
        <w:rPr>
          <w:sz w:val="24"/>
          <w:szCs w:val="24"/>
        </w:rPr>
        <w:t>.</w:t>
      </w:r>
      <w:r w:rsidRPr="00127972">
        <w:rPr>
          <w:sz w:val="24"/>
          <w:szCs w:val="24"/>
        </w:rPr>
        <w:t xml:space="preserve"> To ogromne kwoty, które polskie biznesy m</w:t>
      </w:r>
      <w:r w:rsidR="00F46C9B">
        <w:rPr>
          <w:sz w:val="24"/>
          <w:szCs w:val="24"/>
        </w:rPr>
        <w:t>ają</w:t>
      </w:r>
      <w:r w:rsidRPr="00127972">
        <w:rPr>
          <w:sz w:val="24"/>
          <w:szCs w:val="24"/>
        </w:rPr>
        <w:t xml:space="preserve"> możliwość wykorzyst</w:t>
      </w:r>
      <w:r w:rsidR="00F46C9B">
        <w:rPr>
          <w:sz w:val="24"/>
          <w:szCs w:val="24"/>
        </w:rPr>
        <w:t>ywać</w:t>
      </w:r>
      <w:r w:rsidRPr="00127972">
        <w:rPr>
          <w:sz w:val="24"/>
          <w:szCs w:val="24"/>
        </w:rPr>
        <w:t xml:space="preserve"> w celu rozwoju innowacyjnych pomysłów oraz promocj</w:t>
      </w:r>
      <w:r w:rsidR="00F46C9B">
        <w:rPr>
          <w:sz w:val="24"/>
          <w:szCs w:val="24"/>
        </w:rPr>
        <w:t>i</w:t>
      </w:r>
      <w:r w:rsidRPr="00127972">
        <w:rPr>
          <w:sz w:val="24"/>
          <w:szCs w:val="24"/>
        </w:rPr>
        <w:t xml:space="preserve"> swoich produktów na rynkach zagranicznych.</w:t>
      </w:r>
    </w:p>
    <w:p w14:paraId="6431715B" w14:textId="611EF406" w:rsidR="004E1597" w:rsidRDefault="004E1597" w:rsidP="00127972">
      <w:pPr>
        <w:spacing w:before="120" w:line="276" w:lineRule="auto"/>
        <w:rPr>
          <w:sz w:val="24"/>
          <w:szCs w:val="24"/>
        </w:rPr>
      </w:pPr>
      <w:r>
        <w:rPr>
          <w:sz w:val="24"/>
          <w:szCs w:val="24"/>
        </w:rPr>
        <w:t xml:space="preserve">Więcej informacji na temat sukcesów firm, które otrzymały dofinansowanie na realizację projektów, znajduje się na stronie: </w:t>
      </w:r>
      <w:hyperlink r:id="rId12" w:history="1">
        <w:r w:rsidRPr="0003197B">
          <w:rPr>
            <w:rStyle w:val="Hipercze"/>
          </w:rPr>
          <w:t>www.parp.gov.pl/przewodnik</w:t>
        </w:r>
      </w:hyperlink>
      <w:r>
        <w:t xml:space="preserve"> </w:t>
      </w:r>
    </w:p>
    <w:p w14:paraId="06DFABD2" w14:textId="23492054" w:rsidR="0018393F" w:rsidRPr="00782EF1" w:rsidRDefault="0018393F" w:rsidP="00127972">
      <w:pPr>
        <w:spacing w:before="120" w:line="276" w:lineRule="auto"/>
        <w:rPr>
          <w:sz w:val="24"/>
          <w:szCs w:val="24"/>
        </w:rPr>
      </w:pPr>
      <w:r>
        <w:rPr>
          <w:noProof/>
          <w:sz w:val="24"/>
          <w:szCs w:val="24"/>
        </w:rPr>
        <w:drawing>
          <wp:inline distT="0" distB="0" distL="0" distR="0" wp14:anchorId="4769F023" wp14:editId="39368579">
            <wp:extent cx="6120130" cy="66484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R.png"/>
                    <pic:cNvPicPr/>
                  </pic:nvPicPr>
                  <pic:blipFill>
                    <a:blip r:embed="rId13"/>
                    <a:stretch>
                      <a:fillRect/>
                    </a:stretch>
                  </pic:blipFill>
                  <pic:spPr>
                    <a:xfrm>
                      <a:off x="0" y="0"/>
                      <a:ext cx="6120130" cy="664845"/>
                    </a:xfrm>
                    <a:prstGeom prst="rect">
                      <a:avLst/>
                    </a:prstGeom>
                  </pic:spPr>
                </pic:pic>
              </a:graphicData>
            </a:graphic>
          </wp:inline>
        </w:drawing>
      </w:r>
    </w:p>
    <w:sectPr w:rsidR="0018393F" w:rsidRPr="00782EF1" w:rsidSect="00F756DA">
      <w:type w:val="continuous"/>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2816" w14:textId="77777777" w:rsidR="00175386" w:rsidRDefault="00175386">
      <w:pPr>
        <w:spacing w:after="0" w:line="240" w:lineRule="auto"/>
      </w:pPr>
      <w:r>
        <w:separator/>
      </w:r>
    </w:p>
  </w:endnote>
  <w:endnote w:type="continuationSeparator" w:id="0">
    <w:p w14:paraId="77B2D364" w14:textId="77777777" w:rsidR="00175386" w:rsidRDefault="0017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8704" w14:textId="77777777" w:rsidR="00175386" w:rsidRDefault="00175386">
      <w:pPr>
        <w:spacing w:after="0" w:line="240" w:lineRule="auto"/>
      </w:pPr>
      <w:r>
        <w:separator/>
      </w:r>
    </w:p>
  </w:footnote>
  <w:footnote w:type="continuationSeparator" w:id="0">
    <w:p w14:paraId="54F25FF8" w14:textId="77777777" w:rsidR="00175386" w:rsidRDefault="0017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3A99" w14:textId="038A28FD" w:rsidR="007C1744" w:rsidRDefault="002325E3">
    <w:pPr>
      <w:pStyle w:val="Nagwek"/>
    </w:pPr>
    <w:r>
      <w:rPr>
        <w:noProof/>
        <w:lang w:val="en-US" w:eastAsia="pl-PL"/>
      </w:rPr>
      <w:drawing>
        <wp:anchor distT="0" distB="0" distL="114300" distR="114300" simplePos="0" relativeHeight="251660288" behindDoc="1" locked="0" layoutInCell="1" allowOverlap="1" wp14:anchorId="243F28DD" wp14:editId="04FD469A">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6DE" w14:textId="298256E1" w:rsidR="007C1744" w:rsidRDefault="002325E3">
    <w:pPr>
      <w:pStyle w:val="Nagwek"/>
    </w:pPr>
    <w:r>
      <w:rPr>
        <w:noProof/>
        <w:lang w:val="en-US" w:eastAsia="pl-PL"/>
      </w:rPr>
      <w:drawing>
        <wp:anchor distT="0" distB="0" distL="114300" distR="114300" simplePos="0" relativeHeight="251661312" behindDoc="1" locked="0" layoutInCell="1" allowOverlap="1" wp14:anchorId="260F74D0" wp14:editId="65E8A803">
          <wp:simplePos x="0" y="0"/>
          <wp:positionH relativeFrom="margin">
            <wp:align>center</wp:align>
          </wp:positionH>
          <wp:positionV relativeFrom="paragraph">
            <wp:posOffset>-452755</wp:posOffset>
          </wp:positionV>
          <wp:extent cx="7115175" cy="9566910"/>
          <wp:effectExtent l="0" t="0" r="9525" b="0"/>
          <wp:wrapNone/>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956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0B60" w14:textId="0B824646" w:rsidR="007C1744" w:rsidRDefault="002325E3">
    <w:pPr>
      <w:pStyle w:val="Nagwek"/>
    </w:pPr>
    <w:r>
      <w:rPr>
        <w:noProof/>
        <w:lang w:val="en-US" w:eastAsia="pl-PL"/>
      </w:rPr>
      <w:drawing>
        <wp:anchor distT="0" distB="0" distL="114300" distR="114300" simplePos="0" relativeHeight="251659264" behindDoc="1" locked="0" layoutInCell="1" allowOverlap="1" wp14:anchorId="3A0110D3" wp14:editId="38D2D6AC">
          <wp:simplePos x="0" y="0"/>
          <wp:positionH relativeFrom="column">
            <wp:posOffset>-713740</wp:posOffset>
          </wp:positionH>
          <wp:positionV relativeFrom="paragraph">
            <wp:posOffset>-444500</wp:posOffset>
          </wp:positionV>
          <wp:extent cx="7542530" cy="9573895"/>
          <wp:effectExtent l="0" t="0" r="1270" b="8255"/>
          <wp:wrapNone/>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530" cy="9573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3FA"/>
    <w:multiLevelType w:val="hybridMultilevel"/>
    <w:tmpl w:val="B82E6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33489B"/>
    <w:multiLevelType w:val="hybridMultilevel"/>
    <w:tmpl w:val="FAE48DC4"/>
    <w:lvl w:ilvl="0" w:tplc="1E68F7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51432E75"/>
    <w:multiLevelType w:val="hybridMultilevel"/>
    <w:tmpl w:val="01FA3EA6"/>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3" w15:restartNumberingAfterBreak="0">
    <w:nsid w:val="577F5C2C"/>
    <w:multiLevelType w:val="hybridMultilevel"/>
    <w:tmpl w:val="A036A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C61E68"/>
    <w:multiLevelType w:val="hybridMultilevel"/>
    <w:tmpl w:val="69844CF0"/>
    <w:lvl w:ilvl="0" w:tplc="BB60E5FC">
      <w:start w:val="1"/>
      <w:numFmt w:val="lowerLetter"/>
      <w:lvlText w:val="%1)"/>
      <w:lvlJc w:val="left"/>
      <w:pPr>
        <w:ind w:left="1560" w:hanging="360"/>
      </w:pPr>
      <w:rPr>
        <w:rFonts w:hint="default"/>
        <w:b w:val="0"/>
        <w:sz w:val="22"/>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5" w15:restartNumberingAfterBreak="0">
    <w:nsid w:val="72C00B5F"/>
    <w:multiLevelType w:val="hybridMultilevel"/>
    <w:tmpl w:val="ECEA6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D"/>
    <w:rsid w:val="00081C97"/>
    <w:rsid w:val="00093988"/>
    <w:rsid w:val="00096144"/>
    <w:rsid w:val="000C172A"/>
    <w:rsid w:val="000D1EF3"/>
    <w:rsid w:val="0010620A"/>
    <w:rsid w:val="0012487A"/>
    <w:rsid w:val="00127972"/>
    <w:rsid w:val="00142B99"/>
    <w:rsid w:val="001456E7"/>
    <w:rsid w:val="00150649"/>
    <w:rsid w:val="00155BAB"/>
    <w:rsid w:val="0016526B"/>
    <w:rsid w:val="00175386"/>
    <w:rsid w:val="0018393F"/>
    <w:rsid w:val="001851D6"/>
    <w:rsid w:val="001B4CA9"/>
    <w:rsid w:val="001C3206"/>
    <w:rsid w:val="001D3DA7"/>
    <w:rsid w:val="001E4327"/>
    <w:rsid w:val="001E5DA7"/>
    <w:rsid w:val="002212A1"/>
    <w:rsid w:val="0023061E"/>
    <w:rsid w:val="002325E3"/>
    <w:rsid w:val="002331C4"/>
    <w:rsid w:val="002379B9"/>
    <w:rsid w:val="0026100F"/>
    <w:rsid w:val="00291E8B"/>
    <w:rsid w:val="0029503E"/>
    <w:rsid w:val="002A78AC"/>
    <w:rsid w:val="002E0863"/>
    <w:rsid w:val="0032194C"/>
    <w:rsid w:val="003225FB"/>
    <w:rsid w:val="0032710E"/>
    <w:rsid w:val="00336F70"/>
    <w:rsid w:val="00343AAD"/>
    <w:rsid w:val="00384B85"/>
    <w:rsid w:val="00385BED"/>
    <w:rsid w:val="003970E6"/>
    <w:rsid w:val="003A40C4"/>
    <w:rsid w:val="003A43D7"/>
    <w:rsid w:val="003A65B1"/>
    <w:rsid w:val="003B24B1"/>
    <w:rsid w:val="003B4AA7"/>
    <w:rsid w:val="003E347C"/>
    <w:rsid w:val="003E6837"/>
    <w:rsid w:val="00484CE7"/>
    <w:rsid w:val="004850BD"/>
    <w:rsid w:val="004A319F"/>
    <w:rsid w:val="004A5A88"/>
    <w:rsid w:val="004C3E26"/>
    <w:rsid w:val="004E1597"/>
    <w:rsid w:val="004E185E"/>
    <w:rsid w:val="004F4A11"/>
    <w:rsid w:val="0051766E"/>
    <w:rsid w:val="0052513A"/>
    <w:rsid w:val="00525237"/>
    <w:rsid w:val="00531625"/>
    <w:rsid w:val="00544A66"/>
    <w:rsid w:val="00556688"/>
    <w:rsid w:val="005571B4"/>
    <w:rsid w:val="00571B2A"/>
    <w:rsid w:val="005801BA"/>
    <w:rsid w:val="00583525"/>
    <w:rsid w:val="005A56A7"/>
    <w:rsid w:val="005F1E4D"/>
    <w:rsid w:val="00600C38"/>
    <w:rsid w:val="006023AB"/>
    <w:rsid w:val="0060342B"/>
    <w:rsid w:val="00627AE2"/>
    <w:rsid w:val="00631E77"/>
    <w:rsid w:val="006336DF"/>
    <w:rsid w:val="00647041"/>
    <w:rsid w:val="006764EB"/>
    <w:rsid w:val="006C5EE8"/>
    <w:rsid w:val="006C6DC9"/>
    <w:rsid w:val="006C79A1"/>
    <w:rsid w:val="006D09B4"/>
    <w:rsid w:val="006D6D49"/>
    <w:rsid w:val="006D7547"/>
    <w:rsid w:val="00736FD9"/>
    <w:rsid w:val="007705D7"/>
    <w:rsid w:val="00771C89"/>
    <w:rsid w:val="00782EF1"/>
    <w:rsid w:val="00793D05"/>
    <w:rsid w:val="007A1F82"/>
    <w:rsid w:val="007D7EB1"/>
    <w:rsid w:val="007E435E"/>
    <w:rsid w:val="00870DF3"/>
    <w:rsid w:val="00891221"/>
    <w:rsid w:val="008A3370"/>
    <w:rsid w:val="008A4AF3"/>
    <w:rsid w:val="008C3396"/>
    <w:rsid w:val="008D0D84"/>
    <w:rsid w:val="008E4F58"/>
    <w:rsid w:val="008F174A"/>
    <w:rsid w:val="008F6A46"/>
    <w:rsid w:val="0091262D"/>
    <w:rsid w:val="00915325"/>
    <w:rsid w:val="00925945"/>
    <w:rsid w:val="00952C7B"/>
    <w:rsid w:val="00977D61"/>
    <w:rsid w:val="00984E32"/>
    <w:rsid w:val="00990716"/>
    <w:rsid w:val="009968B5"/>
    <w:rsid w:val="009A233D"/>
    <w:rsid w:val="009C62EC"/>
    <w:rsid w:val="00A03989"/>
    <w:rsid w:val="00A62B86"/>
    <w:rsid w:val="00A749B7"/>
    <w:rsid w:val="00A80513"/>
    <w:rsid w:val="00AB272E"/>
    <w:rsid w:val="00AC65CF"/>
    <w:rsid w:val="00AD4AA6"/>
    <w:rsid w:val="00AE1303"/>
    <w:rsid w:val="00AF6419"/>
    <w:rsid w:val="00B02EBA"/>
    <w:rsid w:val="00B05769"/>
    <w:rsid w:val="00B50B4D"/>
    <w:rsid w:val="00B636D1"/>
    <w:rsid w:val="00B717D1"/>
    <w:rsid w:val="00B765CD"/>
    <w:rsid w:val="00B77154"/>
    <w:rsid w:val="00BC5F6A"/>
    <w:rsid w:val="00C63196"/>
    <w:rsid w:val="00CD1371"/>
    <w:rsid w:val="00D0763E"/>
    <w:rsid w:val="00D12941"/>
    <w:rsid w:val="00D12ADB"/>
    <w:rsid w:val="00D612C4"/>
    <w:rsid w:val="00D80723"/>
    <w:rsid w:val="00D96232"/>
    <w:rsid w:val="00E14005"/>
    <w:rsid w:val="00E1790B"/>
    <w:rsid w:val="00E261DC"/>
    <w:rsid w:val="00E33B09"/>
    <w:rsid w:val="00E50DA2"/>
    <w:rsid w:val="00E567B2"/>
    <w:rsid w:val="00E6417C"/>
    <w:rsid w:val="00E745B4"/>
    <w:rsid w:val="00E8110E"/>
    <w:rsid w:val="00E865AE"/>
    <w:rsid w:val="00EA06C5"/>
    <w:rsid w:val="00EC5AF8"/>
    <w:rsid w:val="00EF5A48"/>
    <w:rsid w:val="00F14171"/>
    <w:rsid w:val="00F21983"/>
    <w:rsid w:val="00F27F6E"/>
    <w:rsid w:val="00F37FE3"/>
    <w:rsid w:val="00F46C9B"/>
    <w:rsid w:val="00F52CE8"/>
    <w:rsid w:val="00F7380C"/>
    <w:rsid w:val="00F76A54"/>
    <w:rsid w:val="00F80351"/>
    <w:rsid w:val="00FB6684"/>
    <w:rsid w:val="00FE6C4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06D9B"/>
  <w14:defaultImageDpi w14:val="300"/>
  <w15:docId w15:val="{AF6FEF62-3B17-7541-9278-93ACC60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33D"/>
    <w:pPr>
      <w:spacing w:after="160" w:line="259" w:lineRule="auto"/>
    </w:pPr>
    <w:rPr>
      <w:rFonts w:ascii="Calibri" w:eastAsia="Calibri" w:hAnsi="Calibri" w:cs="Times New Roman"/>
      <w:sz w:val="22"/>
      <w:szCs w:val="22"/>
      <w:lang w:val="pl-PL" w:eastAsia="en-US"/>
    </w:rPr>
  </w:style>
  <w:style w:type="paragraph" w:styleId="Nagwek1">
    <w:name w:val="heading 1"/>
    <w:basedOn w:val="Normalny"/>
    <w:next w:val="Normalny"/>
    <w:link w:val="Nagwek1Znak"/>
    <w:uiPriority w:val="9"/>
    <w:qFormat/>
    <w:rsid w:val="00F27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140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A233D"/>
    <w:rPr>
      <w:color w:val="0563C1"/>
      <w:u w:val="single"/>
    </w:rPr>
  </w:style>
  <w:style w:type="paragraph" w:styleId="Nagwek">
    <w:name w:val="header"/>
    <w:basedOn w:val="Normalny"/>
    <w:link w:val="NagwekZnak"/>
    <w:uiPriority w:val="99"/>
    <w:unhideWhenUsed/>
    <w:rsid w:val="009A23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233D"/>
    <w:rPr>
      <w:rFonts w:ascii="Calibri" w:eastAsia="Calibri" w:hAnsi="Calibri" w:cs="Times New Roman"/>
      <w:sz w:val="22"/>
      <w:szCs w:val="22"/>
      <w:lang w:val="pl-PL" w:eastAsia="en-US"/>
    </w:rPr>
  </w:style>
  <w:style w:type="paragraph" w:styleId="NormalnyWeb">
    <w:name w:val="Normal (Web)"/>
    <w:basedOn w:val="Normalny"/>
    <w:uiPriority w:val="99"/>
    <w:unhideWhenUsed/>
    <w:qFormat/>
    <w:rsid w:val="009A233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A233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A233D"/>
    <w:rPr>
      <w:rFonts w:ascii="Lucida Grande CE" w:eastAsia="Calibri" w:hAnsi="Lucida Grande CE" w:cs="Lucida Grande CE"/>
      <w:sz w:val="18"/>
      <w:szCs w:val="18"/>
      <w:lang w:val="pl-PL" w:eastAsia="en-US"/>
    </w:rPr>
  </w:style>
  <w:style w:type="character" w:styleId="UyteHipercze">
    <w:name w:val="FollowedHyperlink"/>
    <w:basedOn w:val="Domylnaczcionkaakapitu"/>
    <w:uiPriority w:val="99"/>
    <w:semiHidden/>
    <w:unhideWhenUsed/>
    <w:rsid w:val="00096144"/>
    <w:rPr>
      <w:color w:val="800080" w:themeColor="followedHyperlink"/>
      <w:u w:val="single"/>
    </w:rPr>
  </w:style>
  <w:style w:type="character" w:styleId="Odwoaniedokomentarza">
    <w:name w:val="annotation reference"/>
    <w:basedOn w:val="Domylnaczcionkaakapitu"/>
    <w:uiPriority w:val="99"/>
    <w:semiHidden/>
    <w:unhideWhenUsed/>
    <w:rsid w:val="00081C97"/>
    <w:rPr>
      <w:sz w:val="16"/>
      <w:szCs w:val="16"/>
    </w:rPr>
  </w:style>
  <w:style w:type="paragraph" w:styleId="Tekstkomentarza">
    <w:name w:val="annotation text"/>
    <w:basedOn w:val="Normalny"/>
    <w:link w:val="TekstkomentarzaZnak"/>
    <w:uiPriority w:val="99"/>
    <w:semiHidden/>
    <w:unhideWhenUsed/>
    <w:rsid w:val="00081C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C97"/>
    <w:rPr>
      <w:rFonts w:ascii="Calibri" w:eastAsia="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unhideWhenUsed/>
    <w:rsid w:val="00081C97"/>
    <w:rPr>
      <w:b/>
      <w:bCs/>
    </w:rPr>
  </w:style>
  <w:style w:type="character" w:customStyle="1" w:styleId="TematkomentarzaZnak">
    <w:name w:val="Temat komentarza Znak"/>
    <w:basedOn w:val="TekstkomentarzaZnak"/>
    <w:link w:val="Tematkomentarza"/>
    <w:uiPriority w:val="99"/>
    <w:semiHidden/>
    <w:rsid w:val="00081C97"/>
    <w:rPr>
      <w:rFonts w:ascii="Calibri" w:eastAsia="Calibri" w:hAnsi="Calibri" w:cs="Times New Roman"/>
      <w:b/>
      <w:bCs/>
      <w:sz w:val="20"/>
      <w:szCs w:val="20"/>
      <w:lang w:val="pl-PL" w:eastAsia="en-US"/>
    </w:rPr>
  </w:style>
  <w:style w:type="paragraph" w:styleId="Akapitzlist">
    <w:name w:val="List Paragraph"/>
    <w:basedOn w:val="Normalny"/>
    <w:uiPriority w:val="34"/>
    <w:qFormat/>
    <w:rsid w:val="00D96232"/>
    <w:pPr>
      <w:ind w:left="720"/>
      <w:contextualSpacing/>
    </w:pPr>
  </w:style>
  <w:style w:type="character" w:styleId="Nierozpoznanawzmianka">
    <w:name w:val="Unresolved Mention"/>
    <w:basedOn w:val="Domylnaczcionkaakapitu"/>
    <w:uiPriority w:val="99"/>
    <w:semiHidden/>
    <w:unhideWhenUsed/>
    <w:rsid w:val="00F27F6E"/>
    <w:rPr>
      <w:color w:val="605E5C"/>
      <w:shd w:val="clear" w:color="auto" w:fill="E1DFDD"/>
    </w:rPr>
  </w:style>
  <w:style w:type="character" w:customStyle="1" w:styleId="Nagwek1Znak">
    <w:name w:val="Nagłówek 1 Znak"/>
    <w:basedOn w:val="Domylnaczcionkaakapitu"/>
    <w:link w:val="Nagwek1"/>
    <w:uiPriority w:val="9"/>
    <w:rsid w:val="00F27F6E"/>
    <w:rPr>
      <w:rFonts w:asciiTheme="majorHAnsi" w:eastAsiaTheme="majorEastAsia" w:hAnsiTheme="majorHAnsi" w:cstheme="majorBidi"/>
      <w:color w:val="365F91" w:themeColor="accent1" w:themeShade="BF"/>
      <w:sz w:val="32"/>
      <w:szCs w:val="32"/>
      <w:lang w:val="pl-PL" w:eastAsia="en-US"/>
    </w:rPr>
  </w:style>
  <w:style w:type="character" w:customStyle="1" w:styleId="Nagwek2Znak">
    <w:name w:val="Nagłówek 2 Znak"/>
    <w:basedOn w:val="Domylnaczcionkaakapitu"/>
    <w:link w:val="Nagwek2"/>
    <w:uiPriority w:val="9"/>
    <w:rsid w:val="00E14005"/>
    <w:rPr>
      <w:rFonts w:asciiTheme="majorHAnsi" w:eastAsiaTheme="majorEastAsia" w:hAnsiTheme="majorHAnsi" w:cstheme="majorBidi"/>
      <w:color w:val="365F91" w:themeColor="accent1" w:themeShade="BF"/>
      <w:sz w:val="26"/>
      <w:szCs w:val="26"/>
      <w:lang w:val="pl-PL" w:eastAsia="en-US"/>
    </w:rPr>
  </w:style>
  <w:style w:type="character" w:customStyle="1" w:styleId="markedcontent">
    <w:name w:val="markedcontent"/>
    <w:basedOn w:val="Domylnaczcionkaakapitu"/>
    <w:rsid w:val="0026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98206">
      <w:bodyDiv w:val="1"/>
      <w:marLeft w:val="0"/>
      <w:marRight w:val="0"/>
      <w:marTop w:val="0"/>
      <w:marBottom w:val="0"/>
      <w:divBdr>
        <w:top w:val="none" w:sz="0" w:space="0" w:color="auto"/>
        <w:left w:val="none" w:sz="0" w:space="0" w:color="auto"/>
        <w:bottom w:val="none" w:sz="0" w:space="0" w:color="auto"/>
        <w:right w:val="none" w:sz="0" w:space="0" w:color="auto"/>
      </w:divBdr>
    </w:div>
    <w:div w:id="954335904">
      <w:bodyDiv w:val="1"/>
      <w:marLeft w:val="0"/>
      <w:marRight w:val="0"/>
      <w:marTop w:val="0"/>
      <w:marBottom w:val="0"/>
      <w:divBdr>
        <w:top w:val="none" w:sz="0" w:space="0" w:color="auto"/>
        <w:left w:val="none" w:sz="0" w:space="0" w:color="auto"/>
        <w:bottom w:val="none" w:sz="0" w:space="0" w:color="auto"/>
        <w:right w:val="none" w:sz="0" w:space="0" w:color="auto"/>
      </w:divBdr>
    </w:div>
    <w:div w:id="1123109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arp.gov.pl/przewod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iza_sosnowska@par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8087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Niemal 750 mln. zł dofinansowania dla przedsiębiorców z Programu Operacyjnego Inteligentny Rozwój w 2021 r.</vt:lpstr>
    </vt:vector>
  </TitlesOfParts>
  <Manager/>
  <Company/>
  <LinksUpToDate>false</LinksUpToDate>
  <CharactersWithSpaces>9416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Niemal 750 mln. zł dofinansowania dla przedsiębiorców z Programu Operacyjnego Inteligentny Rozwój w 2021 r.</dc:title>
  <dc:subject>Niemal 750 mln. zł dofinansowania dla przedsiębiorców z Programu Operacyjnego Inteligentny Rozwój w 2021 r.</dc:subject>
  <dc:creator>Magdalena Mikulska</dc:creator>
  <cp:keywords/>
  <dc:description/>
  <cp:lastModifiedBy>Sosnowska Luiza</cp:lastModifiedBy>
  <cp:revision>3</cp:revision>
  <cp:lastPrinted>2021-09-21T10:31:00Z</cp:lastPrinted>
  <dcterms:created xsi:type="dcterms:W3CDTF">2021-12-22T14:32:00Z</dcterms:created>
  <dcterms:modified xsi:type="dcterms:W3CDTF">2021-12-22T14:34:00Z</dcterms:modified>
  <cp:category/>
</cp:coreProperties>
</file>