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Zachodniopomorskie coraz bardziej dostosowane o sportowców z niepełnosprawnościami. Fundacja Avalon dotarła ze szkoleniem gokartowym do Szczecina.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dniach 24-26 stycznia odbyło się kolejne specjalistyczne szkolenie prowadzone przez trenerów Avalon Extreme – projektu sportów extremalnych dla osób z niepełnosprawnościami, prowadzonego przez Fundację Avalon. Dzięki niemu Tor Gokartowy w Szczecinie dołączył do mapy ośrodków sportowych dostosowanych do potrzeb osób z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&lt;b&gt;Na czym polega szkolenie kartingowe w Szczecinie?&lt;/b&gt;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Specjalistyczny kurs trwał trzy dni. Osobą prowadzącą był Adam Żelazko – certyfikowany trener, od 35 lat związany z motorsportem, posiadający licencję EFIA oraz PZM. Asystował mu Kamil Kosela - ambasador Avalon Extreme znany w mediach społecznościowych jako MotoKulawy, który od 5 lat ściga się na szybkich płaskich torach w ramach pierwszej ligi motorsportowej zrzeszającej kierowców z niepełnosprawnościami Avalon Extreme Racing. Szkolenie dedykowane było osobom, które biorą udział w zajęciach sportowych, w tym wolontariuszom, opiekunom oraz członkom rodzin osób z niepełnosprawnościami, a przede wszystkim kadrze trenerskiej obiektów sportowych. Celem kursu było zapewnienie OzN poczucia bezpieczeństwa i pewności siebie, na każdym etapie ścieżki zmierzającej w stronę zwiększenia aktywności sportowej.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Motorsportem interesowałem się od zawsze. Po wypadku, do powrotu do mojej pasji zainspirował mnie Sebastian Luty – inicjator Ligi Avalon Extreme Racing. Kiedy zobaczyłem, że chłopak na wózku się ściga, wiedziałem, że też chcę wrócić do motorsportu i tak zaczęła się moja przygoda. Ogromnie cieszy mnie, że mogę być wolontariuszem podczas szkoleń kartingowych, bo chciałbym pokazać innym osobom, że ich niepełnosprawność nie stoi na drodze do realizacji pasji.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Kamil Kosela, sportowiec z niepełnosprawnością, ambasador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Karting to dziedzina sportu motorowego, który polega na wyścigach gokartów rozgrywanych na specjalnych torach o nawierzchni bitumicznej. Podczas szkoleń organizowanych przez projekt Avalon Extreme wykorzystane były specjalnie dostosowane gokarty, w których manetki umożliwiające przyśpieszenie i hamowanie zostały umieszczone w pobliżu kierownicy.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&lt;b&gt;Szczeciński tor gokartowy na mapie sportowej dostępności Fundacji Avalon&lt;/b&gt;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Szkolenia realizowane są w ramach dofinansowanego ze środków Państwowego Funduszu Rehabilitacji projektu „Aktywni z Avalon”. Ich celem jest przeszkolenie kadry ośrodków sportowych z cross treningu w wybranych województwach w Polsce oraz rozwój sportów ekstremalnych i aktywizacja osób z niepełnosprawnościami. Efektem projektu jest mapa miejsc, za pomocą której osoby doświadczające niepełnosprawności ̨ mogą znaleźć odpowiedni dla siebie ośrodek sportowy z dostosowaną infrastrukturą sportową oraz odpowiednio przygotowanym personelem. Relacje ze szkoleń można śledzić w mediach społecznościowych kanału Avalon Extreme.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12000 osób z całej Polski. Łączna wartość pomocy udzielonej dotychczas przez Fundację swoim podopiecznym wynosi ponad 230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5.jpg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4.jpg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jpg"/>
                  <a:graphic>
                    <a:graphicData uri="http://schemas.openxmlformats.org/drawingml/2006/picture">
                      <pic:pic>
                        <pic:nvPicPr>
                          <pic:cNvPr id="13" name="media/image13.jp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3.jpg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5" name="media/image15.jpg"/>
                  <a:graphic>
                    <a:graphicData uri="http://schemas.openxmlformats.org/drawingml/2006/picture">
                      <pic:pic>
                        <pic:nvPicPr>
                          <pic:cNvPr id="15" name="media/image15.jp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1.jpg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7" name="media/image17.jpg"/>
                  <a:graphic>
                    <a:graphicData uri="http://schemas.openxmlformats.org/drawingml/2006/picture">
                      <pic:pic>
                        <pic:nvPicPr>
                          <pic:cNvPr id="17" name="media/image17.jp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https://prowly-uploads.s3.eu-west-1.amazonaws.com/uploads/landing_page_image/image/381695/5140a9daa4c346490c351e266ac06ac0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381694/f6378f5b89599201b11941ed7210b33e.jpg" Type="http://schemas.openxmlformats.org/officeDocument/2006/relationships/hyperlink" Id="rId12" TargetMode="External"/><Relationship Target="media/image13.jpg" Type="http://schemas.openxmlformats.org/officeDocument/2006/relationships/image" Id="rId13"/><Relationship Target="https://prowly-uploads.s3.eu-west-1.amazonaws.com/uploads/landing_page_image/image/381693/52d30517cfeae4675c72d01c521367c2.jpg" Type="http://schemas.openxmlformats.org/officeDocument/2006/relationships/hyperlink" Id="rId14" TargetMode="External"/><Relationship Target="media/image15.jpg" Type="http://schemas.openxmlformats.org/officeDocument/2006/relationships/image" Id="rId15"/><Relationship Target="https://prowly-uploads.s3.eu-west-1.amazonaws.com/uploads/landing_page_image/image/381692/346c4a6d2a202b998c4b32955812878e.jpg" Type="http://schemas.openxmlformats.org/officeDocument/2006/relationships/hyperlink" Id="rId16" TargetMode="External"/><Relationship Target="media/image17.jpg" Type="http://schemas.openxmlformats.org/officeDocument/2006/relationships/image" Id="rId17"/><Relationship Target="https://prowly-uploads.s3.eu-west-1.amazonaws.com/uploads/landing_page_image/image/381691/880348997232a144069be78789f4f17e.jpg" Type="http://schemas.openxmlformats.org/officeDocument/2006/relationships/hyperlink" Id="rId1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d21ac7a4710116081ffc51d7f055f4a32ad0816fd4ef37334f02b09d56676ad8zachodniopomorskie-coraz-bardziej20220127-14885-1biirpo.docx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