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594F" w14:textId="77777777" w:rsidR="00E958D6" w:rsidRPr="00595066" w:rsidRDefault="00E958D6" w:rsidP="00E958D6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2BD8F64B" w14:textId="77777777" w:rsidR="00E958D6" w:rsidRPr="00595066" w:rsidRDefault="00E958D6" w:rsidP="00E958D6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Agnieszka Juraszczyk</w:t>
      </w:r>
    </w:p>
    <w:p w14:paraId="3D6D5B16" w14:textId="77777777" w:rsidR="00E958D6" w:rsidRPr="00595066" w:rsidRDefault="00E958D6" w:rsidP="00E958D6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+48 883 357 638</w:t>
      </w:r>
    </w:p>
    <w:p w14:paraId="421F96CF" w14:textId="15CBAAFB" w:rsidR="003D7417" w:rsidRPr="003D7417" w:rsidRDefault="00E958D6" w:rsidP="003D7417">
      <w:pPr>
        <w:jc w:val="right"/>
        <w:rPr>
          <w:rFonts w:eastAsia="Calibri"/>
          <w:b/>
          <w:i/>
          <w:sz w:val="10"/>
          <w:szCs w:val="16"/>
          <w:lang w:val="en-US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="003D7417" w:rsidRPr="003D7417">
          <w:rPr>
            <w:rStyle w:val="Hipercze"/>
            <w:i/>
            <w:sz w:val="16"/>
            <w:lang w:val="en-US"/>
          </w:rPr>
          <w:t>agnieszka.juraszczyk@capgemini.com</w:t>
        </w:r>
      </w:hyperlink>
    </w:p>
    <w:p w14:paraId="274C2B8B" w14:textId="571BFB6B" w:rsidR="00E958D6" w:rsidRPr="001F0290" w:rsidRDefault="00E958D6" w:rsidP="00E958D6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302F3117" w14:textId="77777777" w:rsidR="00E958D6" w:rsidRPr="001F0290" w:rsidRDefault="00E958D6" w:rsidP="00E958D6">
      <w:pPr>
        <w:jc w:val="right"/>
        <w:rPr>
          <w:i/>
          <w:color w:val="000000"/>
          <w:sz w:val="16"/>
          <w:szCs w:val="16"/>
          <w:lang w:val="de-DE"/>
        </w:rPr>
      </w:pPr>
    </w:p>
    <w:p w14:paraId="1D7AFEAC" w14:textId="77777777" w:rsidR="00E958D6" w:rsidRPr="00595066" w:rsidRDefault="00E958D6" w:rsidP="00E958D6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288D29F" w14:textId="77777777" w:rsidR="00E958D6" w:rsidRPr="00595066" w:rsidRDefault="00E958D6" w:rsidP="00E958D6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Aleksandra Witkowska</w:t>
      </w:r>
    </w:p>
    <w:p w14:paraId="2604D1D7" w14:textId="77777777" w:rsidR="00E958D6" w:rsidRPr="00595066" w:rsidRDefault="00E958D6" w:rsidP="00E958D6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+48 693 407 831</w:t>
      </w:r>
    </w:p>
    <w:p w14:paraId="21F2E1CD" w14:textId="77777777" w:rsidR="00E958D6" w:rsidRPr="001F0290" w:rsidRDefault="00E958D6" w:rsidP="00E958D6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1F0290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1F0290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76F9BA97" w14:textId="77777777" w:rsidR="00E958D6" w:rsidRPr="00E958D6" w:rsidRDefault="00E958D6">
      <w:pPr>
        <w:rPr>
          <w:b/>
          <w:lang w:val="de-DE"/>
        </w:rPr>
      </w:pPr>
    </w:p>
    <w:p w14:paraId="1A2EDF1C" w14:textId="1A388A5C" w:rsidR="0020083D" w:rsidRPr="00FC48BF" w:rsidRDefault="00C90091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10 kluczowych czynników</w:t>
      </w:r>
      <w:r w:rsidR="0097458D" w:rsidRPr="00E958D6">
        <w:rPr>
          <w:rFonts w:asciiTheme="majorHAnsi" w:hAnsiTheme="majorHAnsi" w:cstheme="majorHAnsi"/>
          <w:b/>
          <w:sz w:val="28"/>
        </w:rPr>
        <w:t xml:space="preserve"> dla udanej transformacji chmurowej</w:t>
      </w:r>
    </w:p>
    <w:p w14:paraId="0620A45F" w14:textId="77777777" w:rsidR="00FC48BF" w:rsidRDefault="00FC48BF" w:rsidP="00D8446B">
      <w:pPr>
        <w:jc w:val="both"/>
        <w:rPr>
          <w:rFonts w:asciiTheme="majorHAnsi" w:hAnsiTheme="majorHAnsi" w:cstheme="majorHAnsi"/>
          <w:b/>
          <w:sz w:val="20"/>
        </w:rPr>
      </w:pPr>
    </w:p>
    <w:p w14:paraId="00000005" w14:textId="13380611" w:rsidR="00313CBB" w:rsidRPr="002820D4" w:rsidRDefault="0097458D" w:rsidP="00761D80">
      <w:pPr>
        <w:spacing w:line="252" w:lineRule="auto"/>
        <w:jc w:val="both"/>
        <w:rPr>
          <w:rFonts w:asciiTheme="majorHAnsi" w:hAnsiTheme="majorHAnsi" w:cstheme="majorHAnsi"/>
          <w:b/>
          <w:sz w:val="20"/>
        </w:rPr>
      </w:pPr>
      <w:r w:rsidRPr="002820D4">
        <w:rPr>
          <w:rFonts w:asciiTheme="majorHAnsi" w:hAnsiTheme="majorHAnsi" w:cstheme="majorHAnsi"/>
          <w:b/>
          <w:sz w:val="20"/>
        </w:rPr>
        <w:t>Transform</w:t>
      </w:r>
      <w:r w:rsidR="001158D1" w:rsidRPr="002820D4">
        <w:rPr>
          <w:rFonts w:asciiTheme="majorHAnsi" w:hAnsiTheme="majorHAnsi" w:cstheme="majorHAnsi"/>
          <w:b/>
          <w:sz w:val="20"/>
        </w:rPr>
        <w:t xml:space="preserve">acja cyfrowa przedsiębiorstw i migracja do chmury to </w:t>
      </w:r>
      <w:r w:rsidR="00246E2B">
        <w:rPr>
          <w:rFonts w:asciiTheme="majorHAnsi" w:hAnsiTheme="majorHAnsi" w:cstheme="majorHAnsi"/>
          <w:b/>
          <w:sz w:val="20"/>
        </w:rPr>
        <w:t>zmiany</w:t>
      </w:r>
      <w:r w:rsidR="001158D1" w:rsidRPr="002820D4">
        <w:rPr>
          <w:rFonts w:asciiTheme="majorHAnsi" w:hAnsiTheme="majorHAnsi" w:cstheme="majorHAnsi"/>
          <w:b/>
          <w:sz w:val="20"/>
        </w:rPr>
        <w:t xml:space="preserve">, które radykalnie poprawiają </w:t>
      </w:r>
      <w:r w:rsidRPr="002820D4">
        <w:rPr>
          <w:rFonts w:asciiTheme="majorHAnsi" w:hAnsiTheme="majorHAnsi" w:cstheme="majorHAnsi"/>
          <w:b/>
          <w:sz w:val="20"/>
        </w:rPr>
        <w:t>s</w:t>
      </w:r>
      <w:r w:rsidR="001158D1" w:rsidRPr="002820D4">
        <w:rPr>
          <w:rFonts w:asciiTheme="majorHAnsi" w:hAnsiTheme="majorHAnsi" w:cstheme="majorHAnsi"/>
          <w:b/>
          <w:sz w:val="20"/>
        </w:rPr>
        <w:t>prawność, wydajność i bezpieczeństwo firm</w:t>
      </w:r>
      <w:r w:rsidRPr="002820D4">
        <w:rPr>
          <w:rFonts w:asciiTheme="majorHAnsi" w:hAnsiTheme="majorHAnsi" w:cstheme="majorHAnsi"/>
          <w:b/>
          <w:sz w:val="20"/>
        </w:rPr>
        <w:t>. Jednak bez ja</w:t>
      </w:r>
      <w:r w:rsidR="001158D1" w:rsidRPr="002820D4">
        <w:rPr>
          <w:rFonts w:asciiTheme="majorHAnsi" w:hAnsiTheme="majorHAnsi" w:cstheme="majorHAnsi"/>
          <w:b/>
          <w:sz w:val="20"/>
        </w:rPr>
        <w:t>snych</w:t>
      </w:r>
      <w:r w:rsidR="004D61C0">
        <w:rPr>
          <w:rFonts w:asciiTheme="majorHAnsi" w:hAnsiTheme="majorHAnsi" w:cstheme="majorHAnsi"/>
          <w:b/>
          <w:sz w:val="20"/>
        </w:rPr>
        <w:t xml:space="preserve"> celów biznesowych i planu, tak</w:t>
      </w:r>
      <w:r w:rsidR="00246E2B">
        <w:rPr>
          <w:rFonts w:asciiTheme="majorHAnsi" w:hAnsiTheme="majorHAnsi" w:cstheme="majorHAnsi"/>
          <w:b/>
          <w:sz w:val="20"/>
        </w:rPr>
        <w:t xml:space="preserve">a zmiana </w:t>
      </w:r>
      <w:r w:rsidR="001158D1" w:rsidRPr="002820D4">
        <w:rPr>
          <w:rFonts w:asciiTheme="majorHAnsi" w:hAnsiTheme="majorHAnsi" w:cstheme="majorHAnsi"/>
          <w:b/>
          <w:sz w:val="20"/>
        </w:rPr>
        <w:t>może być dużym wyzwaniem.</w:t>
      </w:r>
      <w:r w:rsidR="002820D4" w:rsidRPr="002820D4">
        <w:rPr>
          <w:rFonts w:asciiTheme="majorHAnsi" w:hAnsiTheme="majorHAnsi" w:cstheme="majorHAnsi"/>
          <w:b/>
          <w:sz w:val="20"/>
        </w:rPr>
        <w:t xml:space="preserve"> </w:t>
      </w:r>
      <w:r w:rsidR="002820D4">
        <w:rPr>
          <w:rFonts w:asciiTheme="majorHAnsi" w:hAnsiTheme="majorHAnsi" w:cstheme="majorHAnsi"/>
          <w:b/>
          <w:sz w:val="20"/>
        </w:rPr>
        <w:t>Ab</w:t>
      </w:r>
      <w:r w:rsidR="004D61C0">
        <w:rPr>
          <w:rFonts w:asciiTheme="majorHAnsi" w:hAnsiTheme="majorHAnsi" w:cstheme="majorHAnsi"/>
          <w:b/>
          <w:sz w:val="20"/>
        </w:rPr>
        <w:t xml:space="preserve">y uniknąć problemów i dobrze go </w:t>
      </w:r>
      <w:r w:rsidR="002820D4">
        <w:rPr>
          <w:rFonts w:asciiTheme="majorHAnsi" w:hAnsiTheme="majorHAnsi" w:cstheme="majorHAnsi"/>
          <w:b/>
          <w:sz w:val="20"/>
        </w:rPr>
        <w:t xml:space="preserve">przeprowadzić, eksperci przygotowali </w:t>
      </w:r>
      <w:r w:rsidR="00FB0F5F">
        <w:rPr>
          <w:rFonts w:asciiTheme="majorHAnsi" w:hAnsiTheme="majorHAnsi" w:cstheme="majorHAnsi"/>
          <w:b/>
          <w:sz w:val="20"/>
        </w:rPr>
        <w:t>listę</w:t>
      </w:r>
      <w:r w:rsidR="002820D4">
        <w:rPr>
          <w:rFonts w:asciiTheme="majorHAnsi" w:hAnsiTheme="majorHAnsi" w:cstheme="majorHAnsi"/>
          <w:b/>
          <w:sz w:val="20"/>
        </w:rPr>
        <w:t xml:space="preserve"> 10 kluczowych czynników, które umożliwią sprawną </w:t>
      </w:r>
      <w:r w:rsidR="00246E2B">
        <w:rPr>
          <w:rFonts w:asciiTheme="majorHAnsi" w:hAnsiTheme="majorHAnsi" w:cstheme="majorHAnsi"/>
          <w:b/>
          <w:sz w:val="20"/>
        </w:rPr>
        <w:t xml:space="preserve">cyfrową </w:t>
      </w:r>
      <w:r w:rsidR="002820D4">
        <w:rPr>
          <w:rFonts w:asciiTheme="majorHAnsi" w:hAnsiTheme="majorHAnsi" w:cstheme="majorHAnsi"/>
          <w:b/>
          <w:sz w:val="20"/>
        </w:rPr>
        <w:t>transformację.</w:t>
      </w:r>
    </w:p>
    <w:p w14:paraId="00000006" w14:textId="77777777" w:rsidR="00313CBB" w:rsidRPr="00E958D6" w:rsidRDefault="00313CBB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09" w14:textId="7F9DB2B3" w:rsidR="00313CBB" w:rsidRPr="007E4BC8" w:rsidRDefault="007E4BC8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7E4BC8">
        <w:rPr>
          <w:rFonts w:asciiTheme="majorHAnsi" w:hAnsiTheme="majorHAnsi" w:cstheme="majorHAnsi"/>
          <w:sz w:val="20"/>
        </w:rPr>
        <w:t xml:space="preserve">Transformacja </w:t>
      </w:r>
      <w:r w:rsidR="003D7417">
        <w:rPr>
          <w:rFonts w:asciiTheme="majorHAnsi" w:hAnsiTheme="majorHAnsi" w:cstheme="majorHAnsi"/>
          <w:sz w:val="20"/>
        </w:rPr>
        <w:t>do chmury</w:t>
      </w:r>
      <w:r w:rsidR="0097458D" w:rsidRPr="007E4BC8">
        <w:rPr>
          <w:rFonts w:asciiTheme="majorHAnsi" w:hAnsiTheme="majorHAnsi" w:cstheme="majorHAnsi"/>
          <w:sz w:val="20"/>
        </w:rPr>
        <w:t xml:space="preserve"> nie jest już hipotetyczną koncepcją ani marketingowym hasłem. </w:t>
      </w:r>
      <w:r w:rsidR="00E45270">
        <w:rPr>
          <w:rFonts w:asciiTheme="majorHAnsi" w:hAnsiTheme="majorHAnsi" w:cstheme="majorHAnsi"/>
          <w:sz w:val="20"/>
        </w:rPr>
        <w:t>Dziś o</w:t>
      </w:r>
      <w:r w:rsidR="00E45270" w:rsidRPr="007E4BC8">
        <w:rPr>
          <w:rFonts w:asciiTheme="majorHAnsi" w:hAnsiTheme="majorHAnsi" w:cstheme="majorHAnsi"/>
          <w:sz w:val="20"/>
        </w:rPr>
        <w:t xml:space="preserve">rganizacje </w:t>
      </w:r>
      <w:r w:rsidR="0097458D" w:rsidRPr="007E4BC8">
        <w:rPr>
          <w:rFonts w:asciiTheme="majorHAnsi" w:hAnsiTheme="majorHAnsi" w:cstheme="majorHAnsi"/>
          <w:sz w:val="20"/>
        </w:rPr>
        <w:t xml:space="preserve">mają realną szansę na </w:t>
      </w:r>
      <w:r w:rsidR="008470CD">
        <w:rPr>
          <w:rFonts w:asciiTheme="majorHAnsi" w:hAnsiTheme="majorHAnsi" w:cstheme="majorHAnsi"/>
          <w:sz w:val="20"/>
        </w:rPr>
        <w:t>zdecydowaną</w:t>
      </w:r>
      <w:r w:rsidR="008470CD" w:rsidRPr="007E4BC8">
        <w:rPr>
          <w:rFonts w:asciiTheme="majorHAnsi" w:hAnsiTheme="majorHAnsi" w:cstheme="majorHAnsi"/>
          <w:sz w:val="20"/>
        </w:rPr>
        <w:t xml:space="preserve"> </w:t>
      </w:r>
      <w:r w:rsidR="0097458D" w:rsidRPr="007E4BC8">
        <w:rPr>
          <w:rFonts w:asciiTheme="majorHAnsi" w:hAnsiTheme="majorHAnsi" w:cstheme="majorHAnsi"/>
          <w:sz w:val="20"/>
        </w:rPr>
        <w:t>poprawę sprawności, innowacyjności, efektywności kosztowej i odporności poprzez przejście na oparty na chmurze, cyfrowy model operacyjny.</w:t>
      </w:r>
      <w:r w:rsidR="0061516C" w:rsidRPr="007E4BC8">
        <w:rPr>
          <w:rFonts w:asciiTheme="majorHAnsi" w:hAnsiTheme="majorHAnsi" w:cstheme="majorHAnsi"/>
          <w:sz w:val="20"/>
        </w:rPr>
        <w:t xml:space="preserve"> </w:t>
      </w:r>
      <w:r w:rsidR="00E45270">
        <w:rPr>
          <w:rFonts w:asciiTheme="majorHAnsi" w:hAnsiTheme="majorHAnsi" w:cstheme="majorHAnsi"/>
          <w:sz w:val="20"/>
        </w:rPr>
        <w:t xml:space="preserve"> Jakie czynniki mają wpływ na pomyślną implementację rozwiązań chmurowych?</w:t>
      </w:r>
      <w:r w:rsidR="008470CD">
        <w:rPr>
          <w:rFonts w:asciiTheme="majorHAnsi" w:hAnsiTheme="majorHAnsi" w:cstheme="majorHAnsi"/>
          <w:sz w:val="20"/>
        </w:rPr>
        <w:t xml:space="preserve"> </w:t>
      </w:r>
    </w:p>
    <w:p w14:paraId="0000000A" w14:textId="77777777" w:rsidR="00313CBB" w:rsidRPr="00E958D6" w:rsidRDefault="00313CBB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0B" w14:textId="77777777" w:rsidR="00313CBB" w:rsidRPr="00E958D6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E958D6">
        <w:rPr>
          <w:rFonts w:asciiTheme="majorHAnsi" w:hAnsiTheme="majorHAnsi" w:cstheme="majorHAnsi"/>
          <w:b/>
          <w:sz w:val="20"/>
        </w:rPr>
        <w:t>Planowanie migracji i modernizacji aplikacji</w:t>
      </w:r>
    </w:p>
    <w:p w14:paraId="0000000C" w14:textId="5FDD876B" w:rsidR="00313CBB" w:rsidRDefault="00E45270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Przeniesienie </w:t>
      </w:r>
      <w:r w:rsidR="0061516C" w:rsidRPr="0061516C">
        <w:rPr>
          <w:rFonts w:asciiTheme="majorHAnsi" w:hAnsiTheme="majorHAnsi" w:cstheme="majorHAnsi"/>
          <w:sz w:val="20"/>
        </w:rPr>
        <w:t>aplikacji do chmury jest jednym z kluczowych czynnik</w:t>
      </w:r>
      <w:r w:rsidR="007E4BC8">
        <w:rPr>
          <w:rFonts w:asciiTheme="majorHAnsi" w:hAnsiTheme="majorHAnsi" w:cstheme="majorHAnsi"/>
          <w:sz w:val="20"/>
        </w:rPr>
        <w:t xml:space="preserve">ów napędzających transformację – </w:t>
      </w:r>
      <w:r w:rsidR="0061516C" w:rsidRPr="0061516C">
        <w:rPr>
          <w:rFonts w:asciiTheme="majorHAnsi" w:hAnsiTheme="majorHAnsi" w:cstheme="majorHAnsi"/>
          <w:sz w:val="20"/>
        </w:rPr>
        <w:t>zapewnia zupełnie nowy poziom elastyczności, wydajności i oszczędności w porówna</w:t>
      </w:r>
      <w:r w:rsidR="0061516C">
        <w:rPr>
          <w:rFonts w:asciiTheme="majorHAnsi" w:hAnsiTheme="majorHAnsi" w:cstheme="majorHAnsi"/>
          <w:sz w:val="20"/>
        </w:rPr>
        <w:t xml:space="preserve">niu z modelami lokalnymi. </w:t>
      </w:r>
      <w:r w:rsidR="0061516C" w:rsidRPr="0061516C">
        <w:rPr>
          <w:rFonts w:asciiTheme="majorHAnsi" w:hAnsiTheme="majorHAnsi" w:cstheme="majorHAnsi"/>
          <w:sz w:val="20"/>
        </w:rPr>
        <w:t>Migracja setek, a czasem tysięcy aplikacji do chmury, przy użyciu metod dostosowanych do celów biznesowych, składa się z dwóch powiązanych ze sobą kroków. Pierwsz</w:t>
      </w:r>
      <w:r w:rsidR="007E4BC8">
        <w:rPr>
          <w:rFonts w:asciiTheme="majorHAnsi" w:hAnsiTheme="majorHAnsi" w:cstheme="majorHAnsi"/>
          <w:sz w:val="20"/>
        </w:rPr>
        <w:t xml:space="preserve">y z nich </w:t>
      </w:r>
      <w:r w:rsidR="0061516C" w:rsidRPr="0061516C">
        <w:rPr>
          <w:rFonts w:asciiTheme="majorHAnsi" w:hAnsiTheme="majorHAnsi" w:cstheme="majorHAnsi"/>
          <w:sz w:val="20"/>
        </w:rPr>
        <w:t>to ocena portfela aplikacji, a drug</w:t>
      </w:r>
      <w:r w:rsidR="007E4BC8">
        <w:rPr>
          <w:rFonts w:asciiTheme="majorHAnsi" w:hAnsiTheme="majorHAnsi" w:cstheme="majorHAnsi"/>
          <w:sz w:val="20"/>
        </w:rPr>
        <w:t xml:space="preserve">i – </w:t>
      </w:r>
      <w:r w:rsidR="0061516C" w:rsidRPr="0061516C">
        <w:rPr>
          <w:rFonts w:asciiTheme="majorHAnsi" w:hAnsiTheme="majorHAnsi" w:cstheme="majorHAnsi"/>
          <w:sz w:val="20"/>
        </w:rPr>
        <w:t>rzecz</w:t>
      </w:r>
      <w:r w:rsidR="004D61C0">
        <w:rPr>
          <w:rFonts w:asciiTheme="majorHAnsi" w:hAnsiTheme="majorHAnsi" w:cstheme="majorHAnsi"/>
          <w:sz w:val="20"/>
        </w:rPr>
        <w:t>ywista transformacja</w:t>
      </w:r>
      <w:r w:rsidR="0061516C" w:rsidRPr="0061516C">
        <w:rPr>
          <w:rFonts w:asciiTheme="majorHAnsi" w:hAnsiTheme="majorHAnsi" w:cstheme="majorHAnsi"/>
          <w:sz w:val="20"/>
        </w:rPr>
        <w:t>.</w:t>
      </w:r>
    </w:p>
    <w:p w14:paraId="0000000E" w14:textId="77777777" w:rsidR="00313CBB" w:rsidRDefault="00313CBB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83B19F4" w14:textId="17E057E1" w:rsidR="002820D4" w:rsidRPr="003D7417" w:rsidRDefault="002820D4" w:rsidP="00761D80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ajorHAnsi" w:hAnsiTheme="majorHAnsi" w:cstheme="majorHAnsi"/>
          <w:sz w:val="20"/>
          <w:lang w:val="pl-PL"/>
        </w:rPr>
      </w:pPr>
      <w:r w:rsidRPr="007E4BC8">
        <w:rPr>
          <w:rFonts w:asciiTheme="majorHAnsi" w:hAnsiTheme="majorHAnsi" w:cstheme="majorHAnsi"/>
          <w:sz w:val="20"/>
        </w:rPr>
        <w:t xml:space="preserve">Ten pierwszy </w:t>
      </w:r>
      <w:r w:rsidR="00963493">
        <w:rPr>
          <w:rFonts w:asciiTheme="majorHAnsi" w:hAnsiTheme="majorHAnsi" w:cstheme="majorHAnsi"/>
          <w:sz w:val="20"/>
        </w:rPr>
        <w:t>krok</w:t>
      </w:r>
      <w:r w:rsidR="00963493" w:rsidRPr="007E4BC8">
        <w:rPr>
          <w:rFonts w:asciiTheme="majorHAnsi" w:hAnsiTheme="majorHAnsi" w:cstheme="majorHAnsi"/>
          <w:sz w:val="20"/>
        </w:rPr>
        <w:t xml:space="preserve"> </w:t>
      </w:r>
      <w:r w:rsidRPr="007E4BC8">
        <w:rPr>
          <w:rFonts w:asciiTheme="majorHAnsi" w:hAnsiTheme="majorHAnsi" w:cstheme="majorHAnsi"/>
          <w:sz w:val="20"/>
        </w:rPr>
        <w:t xml:space="preserve">ocenia </w:t>
      </w:r>
      <w:r w:rsidR="00963493">
        <w:rPr>
          <w:rFonts w:asciiTheme="majorHAnsi" w:hAnsiTheme="majorHAnsi" w:cstheme="majorHAnsi"/>
          <w:sz w:val="20"/>
        </w:rPr>
        <w:t xml:space="preserve">naszą </w:t>
      </w:r>
      <w:r w:rsidRPr="007E4BC8">
        <w:rPr>
          <w:rFonts w:asciiTheme="majorHAnsi" w:hAnsiTheme="majorHAnsi" w:cstheme="majorHAnsi"/>
          <w:sz w:val="20"/>
        </w:rPr>
        <w:t>obecną sytuację. Oc</w:t>
      </w:r>
      <w:r w:rsidR="007E4BC8">
        <w:rPr>
          <w:rFonts w:asciiTheme="majorHAnsi" w:hAnsiTheme="majorHAnsi" w:cstheme="majorHAnsi"/>
          <w:sz w:val="20"/>
        </w:rPr>
        <w:t xml:space="preserve">ena portfela aplikacji pozwala obrać </w:t>
      </w:r>
      <w:r w:rsidR="00963493">
        <w:rPr>
          <w:rFonts w:asciiTheme="majorHAnsi" w:hAnsiTheme="majorHAnsi" w:cstheme="majorHAnsi"/>
          <w:sz w:val="20"/>
        </w:rPr>
        <w:t xml:space="preserve">docelowe rozwiązania </w:t>
      </w:r>
      <w:r w:rsidR="007E4BC8">
        <w:rPr>
          <w:rFonts w:asciiTheme="majorHAnsi" w:hAnsiTheme="majorHAnsi" w:cstheme="majorHAnsi"/>
          <w:sz w:val="20"/>
        </w:rPr>
        <w:t>oraz najlepsze ścieżki migracji.</w:t>
      </w:r>
      <w:r w:rsidR="00AE0057">
        <w:rPr>
          <w:rFonts w:asciiTheme="majorHAnsi" w:hAnsiTheme="majorHAnsi" w:cstheme="majorHAnsi"/>
          <w:sz w:val="20"/>
        </w:rPr>
        <w:t xml:space="preserve"> </w:t>
      </w:r>
      <w:r w:rsidRPr="007E4BC8">
        <w:rPr>
          <w:rFonts w:asciiTheme="majorHAnsi" w:hAnsiTheme="majorHAnsi" w:cstheme="majorHAnsi"/>
          <w:sz w:val="20"/>
        </w:rPr>
        <w:t xml:space="preserve">Na podstawie analizy i pełnej znajomości </w:t>
      </w:r>
      <w:r w:rsidR="00963493">
        <w:rPr>
          <w:rFonts w:asciiTheme="majorHAnsi" w:hAnsiTheme="majorHAnsi" w:cstheme="majorHAnsi"/>
          <w:sz w:val="20"/>
        </w:rPr>
        <w:t xml:space="preserve">naszego portfela aplikacji oraz </w:t>
      </w:r>
      <w:r w:rsidRPr="007E4BC8">
        <w:rPr>
          <w:rFonts w:asciiTheme="majorHAnsi" w:hAnsiTheme="majorHAnsi" w:cstheme="majorHAnsi"/>
          <w:sz w:val="20"/>
        </w:rPr>
        <w:t xml:space="preserve">wszystkich elementów </w:t>
      </w:r>
      <w:r w:rsidR="009909F0">
        <w:rPr>
          <w:rFonts w:asciiTheme="majorHAnsi" w:hAnsiTheme="majorHAnsi" w:cstheme="majorHAnsi"/>
          <w:sz w:val="20"/>
        </w:rPr>
        <w:t>przyszłego</w:t>
      </w:r>
      <w:r w:rsidR="00963493">
        <w:rPr>
          <w:rFonts w:asciiTheme="majorHAnsi" w:hAnsiTheme="majorHAnsi" w:cstheme="majorHAnsi"/>
          <w:sz w:val="20"/>
        </w:rPr>
        <w:t xml:space="preserve"> </w:t>
      </w:r>
      <w:r w:rsidR="009909F0">
        <w:rPr>
          <w:rFonts w:asciiTheme="majorHAnsi" w:hAnsiTheme="majorHAnsi" w:cstheme="majorHAnsi"/>
          <w:sz w:val="20"/>
        </w:rPr>
        <w:t>rozwiązania</w:t>
      </w:r>
      <w:r w:rsidR="00963493">
        <w:rPr>
          <w:rFonts w:asciiTheme="majorHAnsi" w:hAnsiTheme="majorHAnsi" w:cstheme="majorHAnsi"/>
          <w:sz w:val="20"/>
        </w:rPr>
        <w:t xml:space="preserve"> </w:t>
      </w:r>
      <w:r w:rsidRPr="007E4BC8">
        <w:rPr>
          <w:rFonts w:asciiTheme="majorHAnsi" w:hAnsiTheme="majorHAnsi" w:cstheme="majorHAnsi"/>
          <w:sz w:val="20"/>
        </w:rPr>
        <w:t>(</w:t>
      </w:r>
      <w:r w:rsidR="00963493">
        <w:rPr>
          <w:rFonts w:asciiTheme="majorHAnsi" w:hAnsiTheme="majorHAnsi" w:cstheme="majorHAnsi"/>
          <w:sz w:val="20"/>
        </w:rPr>
        <w:t xml:space="preserve">w tym </w:t>
      </w:r>
      <w:r w:rsidRPr="007E4BC8">
        <w:rPr>
          <w:rFonts w:asciiTheme="majorHAnsi" w:hAnsiTheme="majorHAnsi" w:cstheme="majorHAnsi"/>
          <w:sz w:val="20"/>
        </w:rPr>
        <w:t>model</w:t>
      </w:r>
      <w:r w:rsidR="00077102">
        <w:rPr>
          <w:rFonts w:asciiTheme="majorHAnsi" w:hAnsiTheme="majorHAnsi" w:cstheme="majorHAnsi"/>
          <w:sz w:val="20"/>
        </w:rPr>
        <w:t>u</w:t>
      </w:r>
      <w:r w:rsidRPr="007E4BC8">
        <w:rPr>
          <w:rFonts w:asciiTheme="majorHAnsi" w:hAnsiTheme="majorHAnsi" w:cstheme="majorHAnsi"/>
          <w:sz w:val="20"/>
        </w:rPr>
        <w:t xml:space="preserve"> migracji, </w:t>
      </w:r>
      <w:r w:rsidR="00963493">
        <w:rPr>
          <w:rFonts w:asciiTheme="majorHAnsi" w:hAnsiTheme="majorHAnsi" w:cstheme="majorHAnsi"/>
          <w:sz w:val="20"/>
        </w:rPr>
        <w:t>rodzaj</w:t>
      </w:r>
      <w:r w:rsidR="00077102">
        <w:rPr>
          <w:rFonts w:asciiTheme="majorHAnsi" w:hAnsiTheme="majorHAnsi" w:cstheme="majorHAnsi"/>
          <w:sz w:val="20"/>
        </w:rPr>
        <w:t>u</w:t>
      </w:r>
      <w:r w:rsidR="00963493">
        <w:rPr>
          <w:rFonts w:asciiTheme="majorHAnsi" w:hAnsiTheme="majorHAnsi" w:cstheme="majorHAnsi"/>
          <w:sz w:val="20"/>
        </w:rPr>
        <w:t xml:space="preserve"> </w:t>
      </w:r>
      <w:r w:rsidR="00AE0057">
        <w:rPr>
          <w:rFonts w:asciiTheme="majorHAnsi" w:hAnsiTheme="majorHAnsi" w:cstheme="majorHAnsi"/>
          <w:sz w:val="20"/>
        </w:rPr>
        <w:t>rozwiązania</w:t>
      </w:r>
      <w:r w:rsidRPr="007E4BC8">
        <w:rPr>
          <w:rFonts w:asciiTheme="majorHAnsi" w:hAnsiTheme="majorHAnsi" w:cstheme="majorHAnsi"/>
          <w:sz w:val="20"/>
        </w:rPr>
        <w:t xml:space="preserve"> dostawcy</w:t>
      </w:r>
      <w:r w:rsidR="00077102">
        <w:rPr>
          <w:rFonts w:asciiTheme="majorHAnsi" w:hAnsiTheme="majorHAnsi" w:cstheme="majorHAnsi"/>
          <w:sz w:val="20"/>
        </w:rPr>
        <w:t xml:space="preserve"> chmury</w:t>
      </w:r>
      <w:r w:rsidRPr="007E4BC8">
        <w:rPr>
          <w:rFonts w:asciiTheme="majorHAnsi" w:hAnsiTheme="majorHAnsi" w:cstheme="majorHAnsi"/>
          <w:sz w:val="20"/>
        </w:rPr>
        <w:t xml:space="preserve"> </w:t>
      </w:r>
      <w:r w:rsidR="00AE0057">
        <w:rPr>
          <w:rFonts w:asciiTheme="majorHAnsi" w:hAnsiTheme="majorHAnsi" w:cstheme="majorHAnsi"/>
          <w:sz w:val="20"/>
        </w:rPr>
        <w:t>IaaS, PaaS, SaaS</w:t>
      </w:r>
      <w:r w:rsidRPr="007E4BC8">
        <w:rPr>
          <w:rFonts w:asciiTheme="majorHAnsi" w:hAnsiTheme="majorHAnsi" w:cstheme="majorHAnsi"/>
          <w:sz w:val="20"/>
        </w:rPr>
        <w:t xml:space="preserve"> itp.), </w:t>
      </w:r>
      <w:r w:rsidR="007E4BC8">
        <w:rPr>
          <w:rFonts w:asciiTheme="majorHAnsi" w:hAnsiTheme="majorHAnsi" w:cstheme="majorHAnsi"/>
          <w:sz w:val="20"/>
        </w:rPr>
        <w:t xml:space="preserve">poznajemy </w:t>
      </w:r>
      <w:r w:rsidRPr="007E4BC8">
        <w:rPr>
          <w:rFonts w:asciiTheme="majorHAnsi" w:hAnsiTheme="majorHAnsi" w:cstheme="majorHAnsi"/>
          <w:sz w:val="20"/>
        </w:rPr>
        <w:t xml:space="preserve">docelowy koszt </w:t>
      </w:r>
      <w:r w:rsidR="00E45270">
        <w:rPr>
          <w:rFonts w:asciiTheme="majorHAnsi" w:hAnsiTheme="majorHAnsi" w:cstheme="majorHAnsi"/>
          <w:sz w:val="20"/>
        </w:rPr>
        <w:t>jaki wiąże się z przeprowadzeniem te</w:t>
      </w:r>
      <w:r w:rsidR="00963493">
        <w:rPr>
          <w:rFonts w:asciiTheme="majorHAnsi" w:hAnsiTheme="majorHAnsi" w:cstheme="majorHAnsi"/>
          <w:sz w:val="20"/>
        </w:rPr>
        <w:t>j zmiany</w:t>
      </w:r>
      <w:r w:rsidR="00E45270">
        <w:rPr>
          <w:rFonts w:asciiTheme="majorHAnsi" w:hAnsiTheme="majorHAnsi" w:cstheme="majorHAnsi"/>
          <w:sz w:val="20"/>
        </w:rPr>
        <w:t xml:space="preserve">, </w:t>
      </w:r>
      <w:r w:rsidRPr="007E4BC8">
        <w:rPr>
          <w:rFonts w:asciiTheme="majorHAnsi" w:hAnsiTheme="majorHAnsi" w:cstheme="majorHAnsi"/>
          <w:sz w:val="20"/>
        </w:rPr>
        <w:t>TCO</w:t>
      </w:r>
      <w:r w:rsidR="003D7417">
        <w:rPr>
          <w:rFonts w:asciiTheme="majorHAnsi" w:hAnsiTheme="majorHAnsi" w:cstheme="majorHAnsi"/>
          <w:sz w:val="20"/>
        </w:rPr>
        <w:t xml:space="preserve"> (ang. </w:t>
      </w:r>
      <w:r w:rsidR="003D7417" w:rsidRPr="003D7417">
        <w:rPr>
          <w:rFonts w:asciiTheme="majorHAnsi" w:hAnsiTheme="majorHAnsi" w:cstheme="majorHAnsi"/>
          <w:i/>
          <w:sz w:val="20"/>
          <w:lang w:val="pl-PL"/>
        </w:rPr>
        <w:t>total cost of ownership</w:t>
      </w:r>
      <w:r w:rsidR="003D7417">
        <w:rPr>
          <w:rFonts w:asciiTheme="majorHAnsi" w:hAnsiTheme="majorHAnsi" w:cstheme="majorHAnsi"/>
          <w:i/>
          <w:sz w:val="20"/>
          <w:lang w:val="pl-PL"/>
        </w:rPr>
        <w:t xml:space="preserve">, </w:t>
      </w:r>
      <w:r w:rsidR="003D7417">
        <w:rPr>
          <w:rFonts w:asciiTheme="majorHAnsi" w:hAnsiTheme="majorHAnsi" w:cstheme="majorHAnsi"/>
          <w:sz w:val="20"/>
          <w:lang w:val="pl-PL"/>
        </w:rPr>
        <w:t>całkowity koszt posiadania</w:t>
      </w:r>
      <w:r w:rsidR="003D7417" w:rsidRPr="003D7417">
        <w:rPr>
          <w:rFonts w:asciiTheme="majorHAnsi" w:hAnsiTheme="majorHAnsi" w:cstheme="majorHAnsi"/>
          <w:sz w:val="20"/>
          <w:lang w:val="pl-PL"/>
        </w:rPr>
        <w:t>)</w:t>
      </w:r>
      <w:r w:rsidR="007E4BC8" w:rsidRPr="003D7417">
        <w:rPr>
          <w:rFonts w:asciiTheme="majorHAnsi" w:hAnsiTheme="majorHAnsi" w:cstheme="majorHAnsi"/>
          <w:sz w:val="20"/>
          <w:lang w:val="pl-PL"/>
        </w:rPr>
        <w:t xml:space="preserve"> – komentuje </w:t>
      </w:r>
      <w:r w:rsidR="00296909" w:rsidRPr="003D7417">
        <w:rPr>
          <w:rFonts w:asciiTheme="majorHAnsi" w:hAnsiTheme="majorHAnsi" w:cstheme="majorHAnsi"/>
          <w:b/>
          <w:sz w:val="20"/>
          <w:lang w:val="pl-PL"/>
        </w:rPr>
        <w:t xml:space="preserve">Artur Kmiecik, </w:t>
      </w:r>
      <w:proofErr w:type="spellStart"/>
      <w:r w:rsidR="00296909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>Head</w:t>
      </w:r>
      <w:proofErr w:type="spellEnd"/>
      <w:r w:rsidR="00296909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 of </w:t>
      </w:r>
      <w:proofErr w:type="spellStart"/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>Cloud</w:t>
      </w:r>
      <w:proofErr w:type="spellEnd"/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 and </w:t>
      </w:r>
      <w:r w:rsidR="00296909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>Data Services</w:t>
      </w:r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 CIS</w:t>
      </w:r>
      <w:r w:rsidR="00296909" w:rsidRPr="003D7417">
        <w:rPr>
          <w:rFonts w:ascii="Segoe UI" w:hAnsi="Segoe UI" w:cs="Segoe UI"/>
          <w:sz w:val="18"/>
          <w:szCs w:val="18"/>
          <w:shd w:val="clear" w:color="auto" w:fill="FFFFFF"/>
          <w:lang w:val="pl-PL"/>
        </w:rPr>
        <w:t xml:space="preserve"> </w:t>
      </w:r>
      <w:r w:rsidR="007E4BC8" w:rsidRPr="003D7417">
        <w:rPr>
          <w:rFonts w:asciiTheme="majorHAnsi" w:hAnsiTheme="majorHAnsi" w:cstheme="majorHAnsi"/>
          <w:b/>
          <w:sz w:val="20"/>
          <w:lang w:val="pl-PL"/>
        </w:rPr>
        <w:t>w Capgemini Polska.</w:t>
      </w:r>
    </w:p>
    <w:p w14:paraId="15B36A56" w14:textId="77777777" w:rsidR="002820D4" w:rsidRPr="003D7417" w:rsidRDefault="002820D4" w:rsidP="00761D80">
      <w:pPr>
        <w:spacing w:line="252" w:lineRule="auto"/>
        <w:rPr>
          <w:rFonts w:asciiTheme="majorHAnsi" w:hAnsiTheme="majorHAnsi" w:cstheme="majorHAnsi"/>
          <w:sz w:val="20"/>
          <w:lang w:val="pl-PL"/>
        </w:rPr>
      </w:pPr>
    </w:p>
    <w:p w14:paraId="0000000F" w14:textId="77777777" w:rsidR="00313CBB" w:rsidRPr="00E958D6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E958D6">
        <w:rPr>
          <w:rFonts w:asciiTheme="majorHAnsi" w:hAnsiTheme="majorHAnsi" w:cstheme="majorHAnsi"/>
          <w:b/>
          <w:sz w:val="20"/>
        </w:rPr>
        <w:t>Wykonywanie migracji i modernizacji aplikacji</w:t>
      </w:r>
    </w:p>
    <w:p w14:paraId="5AE9FB30" w14:textId="0CC147D8" w:rsidR="00817FD5" w:rsidRDefault="0097458D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E958D6">
        <w:rPr>
          <w:rFonts w:asciiTheme="majorHAnsi" w:hAnsiTheme="majorHAnsi" w:cstheme="majorHAnsi"/>
          <w:sz w:val="20"/>
        </w:rPr>
        <w:t>Drugim</w:t>
      </w:r>
      <w:r w:rsidR="00531793">
        <w:rPr>
          <w:rFonts w:asciiTheme="majorHAnsi" w:hAnsiTheme="majorHAnsi" w:cstheme="majorHAnsi"/>
          <w:sz w:val="20"/>
        </w:rPr>
        <w:t>,</w:t>
      </w:r>
      <w:r w:rsidRPr="00E958D6">
        <w:rPr>
          <w:rFonts w:asciiTheme="majorHAnsi" w:hAnsiTheme="majorHAnsi" w:cstheme="majorHAnsi"/>
          <w:sz w:val="20"/>
        </w:rPr>
        <w:t xml:space="preserve"> powiązanym procesem jest wykonanie planu zbudowanego podczas analizy portfela w chmurze. </w:t>
      </w:r>
      <w:r w:rsidRPr="004B5A90">
        <w:rPr>
          <w:rFonts w:asciiTheme="majorHAnsi" w:hAnsiTheme="majorHAnsi" w:cstheme="majorHAnsi"/>
          <w:sz w:val="20"/>
        </w:rPr>
        <w:t>Transformacja chmury aplikacji s</w:t>
      </w:r>
      <w:r w:rsidRPr="00E958D6">
        <w:rPr>
          <w:rFonts w:asciiTheme="majorHAnsi" w:hAnsiTheme="majorHAnsi" w:cstheme="majorHAnsi"/>
          <w:sz w:val="20"/>
        </w:rPr>
        <w:t xml:space="preserve">kłada się z trzech etapów: przygotowania, planowania i </w:t>
      </w:r>
      <w:r w:rsidR="007E4BC8">
        <w:rPr>
          <w:rFonts w:asciiTheme="majorHAnsi" w:hAnsiTheme="majorHAnsi" w:cstheme="majorHAnsi"/>
          <w:sz w:val="20"/>
        </w:rPr>
        <w:t xml:space="preserve">samej </w:t>
      </w:r>
      <w:r w:rsidRPr="00E958D6">
        <w:rPr>
          <w:rFonts w:asciiTheme="majorHAnsi" w:hAnsiTheme="majorHAnsi" w:cstheme="majorHAnsi"/>
          <w:sz w:val="20"/>
        </w:rPr>
        <w:t xml:space="preserve">transformacji. </w:t>
      </w:r>
      <w:r w:rsidR="007E4BC8">
        <w:rPr>
          <w:rFonts w:asciiTheme="majorHAnsi" w:hAnsiTheme="majorHAnsi" w:cstheme="majorHAnsi"/>
          <w:sz w:val="20"/>
        </w:rPr>
        <w:t>W</w:t>
      </w:r>
      <w:r w:rsidRPr="00E958D6">
        <w:rPr>
          <w:rFonts w:asciiTheme="majorHAnsi" w:hAnsiTheme="majorHAnsi" w:cstheme="majorHAnsi"/>
          <w:sz w:val="20"/>
        </w:rPr>
        <w:t xml:space="preserve">ybór metodologii </w:t>
      </w:r>
      <w:r w:rsidR="00E45270">
        <w:rPr>
          <w:rFonts w:asciiTheme="majorHAnsi" w:hAnsiTheme="majorHAnsi" w:cstheme="majorHAnsi"/>
          <w:sz w:val="20"/>
        </w:rPr>
        <w:t>będzie oddziaływał</w:t>
      </w:r>
      <w:r w:rsidR="00E45270" w:rsidRPr="00E958D6">
        <w:rPr>
          <w:rFonts w:asciiTheme="majorHAnsi" w:hAnsiTheme="majorHAnsi" w:cstheme="majorHAnsi"/>
          <w:sz w:val="20"/>
        </w:rPr>
        <w:t xml:space="preserve"> </w:t>
      </w:r>
      <w:r w:rsidRPr="00E958D6">
        <w:rPr>
          <w:rFonts w:asciiTheme="majorHAnsi" w:hAnsiTheme="majorHAnsi" w:cstheme="majorHAnsi"/>
          <w:sz w:val="20"/>
        </w:rPr>
        <w:t>na wymagany czas i działania, które należy wykonać na każdym etapie</w:t>
      </w:r>
      <w:r w:rsidR="00531793">
        <w:rPr>
          <w:rFonts w:asciiTheme="majorHAnsi" w:hAnsiTheme="majorHAnsi" w:cstheme="majorHAnsi"/>
          <w:sz w:val="20"/>
        </w:rPr>
        <w:t xml:space="preserve">, a docelowo </w:t>
      </w:r>
      <w:r w:rsidRPr="00E958D6">
        <w:rPr>
          <w:rFonts w:asciiTheme="majorHAnsi" w:hAnsiTheme="majorHAnsi" w:cstheme="majorHAnsi"/>
          <w:sz w:val="20"/>
        </w:rPr>
        <w:t xml:space="preserve">będzie miał wpływ na wyniki. </w:t>
      </w:r>
      <w:r w:rsidR="00817FD5" w:rsidRPr="00817FD5">
        <w:rPr>
          <w:rFonts w:asciiTheme="majorHAnsi" w:hAnsiTheme="majorHAnsi" w:cstheme="majorHAnsi"/>
          <w:sz w:val="20"/>
        </w:rPr>
        <w:t xml:space="preserve">Faza </w:t>
      </w:r>
      <w:r w:rsidR="00D83EA5">
        <w:rPr>
          <w:rFonts w:asciiTheme="majorHAnsi" w:hAnsiTheme="majorHAnsi" w:cstheme="majorHAnsi"/>
          <w:sz w:val="20"/>
        </w:rPr>
        <w:t>ta</w:t>
      </w:r>
      <w:r w:rsidR="00817FD5" w:rsidRPr="00817FD5">
        <w:rPr>
          <w:rFonts w:asciiTheme="majorHAnsi" w:hAnsiTheme="majorHAnsi" w:cstheme="majorHAnsi"/>
          <w:sz w:val="20"/>
        </w:rPr>
        <w:t xml:space="preserve"> jest w pełni zautomatyzowana i </w:t>
      </w:r>
      <w:r w:rsidR="007E4BC8">
        <w:rPr>
          <w:rFonts w:asciiTheme="majorHAnsi" w:hAnsiTheme="majorHAnsi" w:cstheme="majorHAnsi"/>
          <w:sz w:val="20"/>
        </w:rPr>
        <w:t>zapewnia wykonanie wdroże</w:t>
      </w:r>
      <w:r w:rsidR="00817FD5" w:rsidRPr="00817FD5">
        <w:rPr>
          <w:rFonts w:asciiTheme="majorHAnsi" w:hAnsiTheme="majorHAnsi" w:cstheme="majorHAnsi"/>
          <w:sz w:val="20"/>
        </w:rPr>
        <w:t xml:space="preserve">nia, testowania i synchronizacji. Kompletnym wdrożeniem zarządzają </w:t>
      </w:r>
      <w:r w:rsidR="00531793">
        <w:rPr>
          <w:rFonts w:asciiTheme="majorHAnsi" w:hAnsiTheme="majorHAnsi" w:cstheme="majorHAnsi"/>
          <w:sz w:val="20"/>
        </w:rPr>
        <w:t xml:space="preserve">narzędzia </w:t>
      </w:r>
      <w:r w:rsidR="00817FD5" w:rsidRPr="00817FD5">
        <w:rPr>
          <w:rFonts w:asciiTheme="majorHAnsi" w:hAnsiTheme="majorHAnsi" w:cstheme="majorHAnsi"/>
          <w:sz w:val="20"/>
        </w:rPr>
        <w:t xml:space="preserve">do </w:t>
      </w:r>
      <w:r w:rsidR="00531793">
        <w:rPr>
          <w:rFonts w:asciiTheme="majorHAnsi" w:hAnsiTheme="majorHAnsi" w:cstheme="majorHAnsi"/>
          <w:sz w:val="20"/>
        </w:rPr>
        <w:t>implementacji</w:t>
      </w:r>
      <w:r w:rsidR="00817FD5" w:rsidRPr="00817FD5">
        <w:rPr>
          <w:rFonts w:asciiTheme="majorHAnsi" w:hAnsiTheme="majorHAnsi" w:cstheme="majorHAnsi"/>
          <w:sz w:val="20"/>
        </w:rPr>
        <w:t xml:space="preserve"> i konfiguracji infrastruktury. </w:t>
      </w:r>
      <w:r w:rsidR="004D61C0">
        <w:rPr>
          <w:rFonts w:asciiTheme="majorHAnsi" w:hAnsiTheme="majorHAnsi" w:cstheme="majorHAnsi"/>
          <w:sz w:val="20"/>
        </w:rPr>
        <w:t>Następnie</w:t>
      </w:r>
      <w:r w:rsidR="00296909">
        <w:rPr>
          <w:rFonts w:asciiTheme="majorHAnsi" w:hAnsiTheme="majorHAnsi" w:cstheme="majorHAnsi"/>
          <w:sz w:val="20"/>
        </w:rPr>
        <w:t xml:space="preserve"> przeprowadza</w:t>
      </w:r>
      <w:r w:rsidR="00545618">
        <w:rPr>
          <w:rFonts w:asciiTheme="majorHAnsi" w:hAnsiTheme="majorHAnsi" w:cstheme="majorHAnsi"/>
          <w:sz w:val="20"/>
        </w:rPr>
        <w:t xml:space="preserve"> </w:t>
      </w:r>
      <w:r w:rsidR="00296909">
        <w:rPr>
          <w:rFonts w:asciiTheme="majorHAnsi" w:hAnsiTheme="majorHAnsi" w:cstheme="majorHAnsi"/>
          <w:sz w:val="20"/>
        </w:rPr>
        <w:t xml:space="preserve">się </w:t>
      </w:r>
      <w:r w:rsidR="00545618">
        <w:rPr>
          <w:rFonts w:asciiTheme="majorHAnsi" w:hAnsiTheme="majorHAnsi" w:cstheme="majorHAnsi"/>
          <w:sz w:val="20"/>
        </w:rPr>
        <w:t xml:space="preserve">testy. </w:t>
      </w:r>
      <w:r w:rsidR="00817FD5" w:rsidRPr="00817FD5">
        <w:rPr>
          <w:rFonts w:asciiTheme="majorHAnsi" w:hAnsiTheme="majorHAnsi" w:cstheme="majorHAnsi"/>
          <w:sz w:val="20"/>
        </w:rPr>
        <w:t>Istnieją dwa etapy testowania</w:t>
      </w:r>
      <w:r w:rsidR="00296909">
        <w:rPr>
          <w:rFonts w:asciiTheme="majorHAnsi" w:hAnsiTheme="majorHAnsi" w:cstheme="majorHAnsi"/>
          <w:sz w:val="20"/>
        </w:rPr>
        <w:t>:</w:t>
      </w:r>
      <w:r w:rsidR="00817FD5" w:rsidRPr="00817FD5">
        <w:rPr>
          <w:rFonts w:asciiTheme="majorHAnsi" w:hAnsiTheme="majorHAnsi" w:cstheme="majorHAnsi"/>
          <w:sz w:val="20"/>
        </w:rPr>
        <w:t xml:space="preserve"> automatyczny test infrastruktury</w:t>
      </w:r>
      <w:r w:rsidR="000B0640">
        <w:rPr>
          <w:rFonts w:asciiTheme="majorHAnsi" w:hAnsiTheme="majorHAnsi" w:cstheme="majorHAnsi"/>
          <w:sz w:val="20"/>
        </w:rPr>
        <w:t xml:space="preserve"> oraz </w:t>
      </w:r>
      <w:r w:rsidR="00817FD5" w:rsidRPr="00817FD5">
        <w:rPr>
          <w:rFonts w:asciiTheme="majorHAnsi" w:hAnsiTheme="majorHAnsi" w:cstheme="majorHAnsi"/>
          <w:sz w:val="20"/>
        </w:rPr>
        <w:t>test akceptacji wykonywan</w:t>
      </w:r>
      <w:r w:rsidR="00D83EA5">
        <w:rPr>
          <w:rFonts w:asciiTheme="majorHAnsi" w:hAnsiTheme="majorHAnsi" w:cstheme="majorHAnsi"/>
          <w:sz w:val="20"/>
        </w:rPr>
        <w:t xml:space="preserve">y przez użytkowników aplikacji. </w:t>
      </w:r>
      <w:r w:rsidR="00296909">
        <w:rPr>
          <w:rFonts w:asciiTheme="majorHAnsi" w:hAnsiTheme="majorHAnsi" w:cstheme="majorHAnsi"/>
          <w:sz w:val="20"/>
        </w:rPr>
        <w:t xml:space="preserve">Pierwszy etap oparty na automatyzacji wpływa na </w:t>
      </w:r>
      <w:r w:rsidR="00296909" w:rsidRPr="00817FD5">
        <w:rPr>
          <w:rFonts w:asciiTheme="majorHAnsi" w:hAnsiTheme="majorHAnsi" w:cstheme="majorHAnsi"/>
          <w:sz w:val="20"/>
        </w:rPr>
        <w:t>oszczęd</w:t>
      </w:r>
      <w:r w:rsidR="00296909">
        <w:rPr>
          <w:rFonts w:asciiTheme="majorHAnsi" w:hAnsiTheme="majorHAnsi" w:cstheme="majorHAnsi"/>
          <w:sz w:val="20"/>
        </w:rPr>
        <w:t>ność</w:t>
      </w:r>
      <w:r w:rsidR="00296909" w:rsidRPr="00817FD5">
        <w:rPr>
          <w:rFonts w:asciiTheme="majorHAnsi" w:hAnsiTheme="majorHAnsi" w:cstheme="majorHAnsi"/>
          <w:sz w:val="20"/>
        </w:rPr>
        <w:t xml:space="preserve"> </w:t>
      </w:r>
      <w:r w:rsidR="00817FD5" w:rsidRPr="00817FD5">
        <w:rPr>
          <w:rFonts w:asciiTheme="majorHAnsi" w:hAnsiTheme="majorHAnsi" w:cstheme="majorHAnsi"/>
          <w:sz w:val="20"/>
        </w:rPr>
        <w:t>czas</w:t>
      </w:r>
      <w:r w:rsidR="00296909">
        <w:rPr>
          <w:rFonts w:asciiTheme="majorHAnsi" w:hAnsiTheme="majorHAnsi" w:cstheme="majorHAnsi"/>
          <w:sz w:val="20"/>
        </w:rPr>
        <w:t>u</w:t>
      </w:r>
      <w:r w:rsidR="00817FD5" w:rsidRPr="00817FD5">
        <w:rPr>
          <w:rFonts w:asciiTheme="majorHAnsi" w:hAnsiTheme="majorHAnsi" w:cstheme="majorHAnsi"/>
          <w:sz w:val="20"/>
        </w:rPr>
        <w:t xml:space="preserve"> i minimalizuje </w:t>
      </w:r>
      <w:r w:rsidR="00296909">
        <w:rPr>
          <w:rFonts w:asciiTheme="majorHAnsi" w:hAnsiTheme="majorHAnsi" w:cstheme="majorHAnsi"/>
          <w:sz w:val="20"/>
        </w:rPr>
        <w:t xml:space="preserve">ryzyko wystąpienia </w:t>
      </w:r>
      <w:r w:rsidR="00296909" w:rsidRPr="00817FD5">
        <w:rPr>
          <w:rFonts w:asciiTheme="majorHAnsi" w:hAnsiTheme="majorHAnsi" w:cstheme="majorHAnsi"/>
          <w:sz w:val="20"/>
        </w:rPr>
        <w:t>błęd</w:t>
      </w:r>
      <w:r w:rsidR="00296909">
        <w:rPr>
          <w:rFonts w:asciiTheme="majorHAnsi" w:hAnsiTheme="majorHAnsi" w:cstheme="majorHAnsi"/>
          <w:sz w:val="20"/>
        </w:rPr>
        <w:t>ów</w:t>
      </w:r>
      <w:r w:rsidR="00817FD5" w:rsidRPr="00817FD5">
        <w:rPr>
          <w:rFonts w:asciiTheme="majorHAnsi" w:hAnsiTheme="majorHAnsi" w:cstheme="majorHAnsi"/>
          <w:sz w:val="20"/>
        </w:rPr>
        <w:t>.</w:t>
      </w:r>
      <w:r w:rsidR="00545618">
        <w:rPr>
          <w:rFonts w:asciiTheme="majorHAnsi" w:hAnsiTheme="majorHAnsi" w:cstheme="majorHAnsi"/>
          <w:sz w:val="20"/>
        </w:rPr>
        <w:t xml:space="preserve"> O</w:t>
      </w:r>
      <w:r w:rsidR="00817FD5" w:rsidRPr="00817FD5">
        <w:rPr>
          <w:rFonts w:asciiTheme="majorHAnsi" w:hAnsiTheme="majorHAnsi" w:cstheme="majorHAnsi"/>
          <w:sz w:val="20"/>
        </w:rPr>
        <w:t>statni</w:t>
      </w:r>
      <w:r w:rsidR="00296909">
        <w:rPr>
          <w:rFonts w:asciiTheme="majorHAnsi" w:hAnsiTheme="majorHAnsi" w:cstheme="majorHAnsi"/>
          <w:sz w:val="20"/>
        </w:rPr>
        <w:t>m</w:t>
      </w:r>
      <w:r w:rsidR="00817FD5" w:rsidRPr="00817FD5">
        <w:rPr>
          <w:rFonts w:asciiTheme="majorHAnsi" w:hAnsiTheme="majorHAnsi" w:cstheme="majorHAnsi"/>
          <w:sz w:val="20"/>
        </w:rPr>
        <w:t xml:space="preserve"> krok</w:t>
      </w:r>
      <w:r w:rsidR="00296909">
        <w:rPr>
          <w:rFonts w:asciiTheme="majorHAnsi" w:hAnsiTheme="majorHAnsi" w:cstheme="majorHAnsi"/>
          <w:sz w:val="20"/>
        </w:rPr>
        <w:t>iem jest</w:t>
      </w:r>
      <w:r w:rsidR="00545618">
        <w:rPr>
          <w:rFonts w:asciiTheme="majorHAnsi" w:hAnsiTheme="majorHAnsi" w:cstheme="majorHAnsi"/>
          <w:sz w:val="20"/>
        </w:rPr>
        <w:t xml:space="preserve"> synchronizacja –</w:t>
      </w:r>
      <w:r w:rsidR="00817FD5" w:rsidRPr="00817FD5">
        <w:rPr>
          <w:rFonts w:asciiTheme="majorHAnsi" w:hAnsiTheme="majorHAnsi" w:cstheme="majorHAnsi"/>
          <w:sz w:val="20"/>
        </w:rPr>
        <w:t xml:space="preserve"> aktualizuje aplikację docelową, przesyłając ostatnie dane operacyjne zarejestrowane w aplikacji źródłowej, aby zminimalizować przerwy w świadczeniu usług. Wreszcie po zakończeniu aktualizacji następuje przejście do nowego systemu dla wszystkich użytkowników</w:t>
      </w:r>
      <w:r w:rsidR="00296909">
        <w:rPr>
          <w:rFonts w:asciiTheme="majorHAnsi" w:hAnsiTheme="majorHAnsi" w:cstheme="majorHAnsi"/>
          <w:sz w:val="20"/>
        </w:rPr>
        <w:t>, co</w:t>
      </w:r>
      <w:r w:rsidR="00817FD5" w:rsidRPr="00817FD5">
        <w:rPr>
          <w:rFonts w:asciiTheme="majorHAnsi" w:hAnsiTheme="majorHAnsi" w:cstheme="majorHAnsi"/>
          <w:sz w:val="20"/>
        </w:rPr>
        <w:t xml:space="preserve"> kończy migrację.</w:t>
      </w:r>
    </w:p>
    <w:p w14:paraId="47ECBA58" w14:textId="77777777" w:rsidR="00817FD5" w:rsidRPr="00E958D6" w:rsidRDefault="00817FD5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3" w14:textId="60C0BFBB" w:rsidR="00313CBB" w:rsidRPr="00817FD5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817FD5">
        <w:rPr>
          <w:rFonts w:asciiTheme="majorHAnsi" w:hAnsiTheme="majorHAnsi" w:cstheme="majorHAnsi"/>
          <w:b/>
          <w:sz w:val="20"/>
        </w:rPr>
        <w:t>Bezpieczeństwo i zgodność w chmurze</w:t>
      </w:r>
    </w:p>
    <w:p w14:paraId="57AFFA61" w14:textId="60385E6E" w:rsidR="00D83EA5" w:rsidRDefault="00817FD5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817FD5">
        <w:rPr>
          <w:rFonts w:asciiTheme="majorHAnsi" w:hAnsiTheme="majorHAnsi" w:cstheme="majorHAnsi"/>
          <w:sz w:val="20"/>
        </w:rPr>
        <w:t xml:space="preserve">Modele chmury publicznej wykorzystują zabezpieczenia oparte na współodpowiedzialności, dlatego ważne jest wbudowanie zabezpieczeń </w:t>
      </w:r>
      <w:r w:rsidR="00D83EA5">
        <w:rPr>
          <w:rFonts w:asciiTheme="majorHAnsi" w:hAnsiTheme="majorHAnsi" w:cstheme="majorHAnsi"/>
          <w:sz w:val="20"/>
        </w:rPr>
        <w:t xml:space="preserve">w celu ochrony przed lukami </w:t>
      </w:r>
      <w:r w:rsidRPr="004B5A90">
        <w:rPr>
          <w:rFonts w:asciiTheme="majorHAnsi" w:hAnsiTheme="majorHAnsi" w:cstheme="majorHAnsi"/>
          <w:sz w:val="20"/>
        </w:rPr>
        <w:t>i wykorzystanie chmury do usprawnienia procesów zapewniania zgodności.</w:t>
      </w:r>
      <w:r w:rsidR="00D83EA5" w:rsidRPr="004B5A90">
        <w:rPr>
          <w:rFonts w:asciiTheme="majorHAnsi" w:hAnsiTheme="majorHAnsi" w:cstheme="majorHAnsi"/>
          <w:sz w:val="20"/>
        </w:rPr>
        <w:t xml:space="preserve"> </w:t>
      </w:r>
      <w:r w:rsidRPr="00817FD5">
        <w:rPr>
          <w:rFonts w:asciiTheme="majorHAnsi" w:hAnsiTheme="majorHAnsi" w:cstheme="majorHAnsi"/>
          <w:sz w:val="20"/>
        </w:rPr>
        <w:t xml:space="preserve">Organizacje muszą wziąć </w:t>
      </w:r>
      <w:r w:rsidR="00545618">
        <w:rPr>
          <w:rFonts w:asciiTheme="majorHAnsi" w:hAnsiTheme="majorHAnsi" w:cstheme="majorHAnsi"/>
          <w:sz w:val="20"/>
        </w:rPr>
        <w:t>pod uwagę planowanie</w:t>
      </w:r>
      <w:r w:rsidRPr="00817FD5">
        <w:rPr>
          <w:rFonts w:asciiTheme="majorHAnsi" w:hAnsiTheme="majorHAnsi" w:cstheme="majorHAnsi"/>
          <w:sz w:val="20"/>
        </w:rPr>
        <w:t xml:space="preserve"> ochrony w chmurze w zakresie zarządzania tożsamością i dostępem, ochrony danych, bezpieczeństwa aplikacji i infrastruktury.</w:t>
      </w:r>
      <w:r w:rsidR="00545618">
        <w:rPr>
          <w:rFonts w:asciiTheme="majorHAnsi" w:hAnsiTheme="majorHAnsi" w:cstheme="majorHAnsi"/>
          <w:sz w:val="20"/>
        </w:rPr>
        <w:t xml:space="preserve"> </w:t>
      </w:r>
      <w:r w:rsidR="00D83EA5">
        <w:rPr>
          <w:rFonts w:asciiTheme="majorHAnsi" w:hAnsiTheme="majorHAnsi" w:cstheme="majorHAnsi"/>
          <w:sz w:val="20"/>
        </w:rPr>
        <w:t xml:space="preserve">Firmy muszą </w:t>
      </w:r>
      <w:r w:rsidR="00D83EA5">
        <w:rPr>
          <w:rFonts w:asciiTheme="majorHAnsi" w:hAnsiTheme="majorHAnsi" w:cstheme="majorHAnsi"/>
          <w:sz w:val="20"/>
        </w:rPr>
        <w:lastRenderedPageBreak/>
        <w:t>wdrażać strategie</w:t>
      </w:r>
      <w:r w:rsidRPr="00817FD5">
        <w:rPr>
          <w:rFonts w:asciiTheme="majorHAnsi" w:hAnsiTheme="majorHAnsi" w:cstheme="majorHAnsi"/>
          <w:sz w:val="20"/>
        </w:rPr>
        <w:t xml:space="preserve"> zarządzania dostępem, aby </w:t>
      </w:r>
      <w:r w:rsidR="00D83EA5">
        <w:rPr>
          <w:rFonts w:asciiTheme="majorHAnsi" w:hAnsiTheme="majorHAnsi" w:cstheme="majorHAnsi"/>
          <w:sz w:val="20"/>
        </w:rPr>
        <w:t>mieć pewność</w:t>
      </w:r>
      <w:r w:rsidRPr="00817FD5">
        <w:rPr>
          <w:rFonts w:asciiTheme="majorHAnsi" w:hAnsiTheme="majorHAnsi" w:cstheme="majorHAnsi"/>
          <w:sz w:val="20"/>
        </w:rPr>
        <w:t>, że potencjalne problemy informatyczne organizacji nie zostaną powielone w</w:t>
      </w:r>
      <w:r w:rsidR="00545618">
        <w:rPr>
          <w:rFonts w:asciiTheme="majorHAnsi" w:hAnsiTheme="majorHAnsi" w:cstheme="majorHAnsi"/>
          <w:sz w:val="20"/>
        </w:rPr>
        <w:t xml:space="preserve"> chmurze (z</w:t>
      </w:r>
      <w:r w:rsidRPr="00817FD5">
        <w:rPr>
          <w:rFonts w:asciiTheme="majorHAnsi" w:hAnsiTheme="majorHAnsi" w:cstheme="majorHAnsi"/>
          <w:sz w:val="20"/>
        </w:rPr>
        <w:t xml:space="preserve">arządzanie tożsamością, </w:t>
      </w:r>
      <w:r w:rsidR="00CF3356">
        <w:rPr>
          <w:rFonts w:asciiTheme="majorHAnsi" w:hAnsiTheme="majorHAnsi" w:cstheme="majorHAnsi"/>
          <w:sz w:val="20"/>
        </w:rPr>
        <w:t xml:space="preserve">zapewnienie </w:t>
      </w:r>
      <w:r w:rsidR="00CF3356" w:rsidRPr="00817FD5">
        <w:rPr>
          <w:rFonts w:asciiTheme="majorHAnsi" w:hAnsiTheme="majorHAnsi" w:cstheme="majorHAnsi"/>
          <w:sz w:val="20"/>
        </w:rPr>
        <w:t>bezpieczeństw</w:t>
      </w:r>
      <w:r w:rsidR="00CF3356">
        <w:rPr>
          <w:rFonts w:asciiTheme="majorHAnsi" w:hAnsiTheme="majorHAnsi" w:cstheme="majorHAnsi"/>
          <w:sz w:val="20"/>
        </w:rPr>
        <w:t>a</w:t>
      </w:r>
      <w:r w:rsidR="00CF3356" w:rsidRPr="00817FD5">
        <w:rPr>
          <w:rFonts w:asciiTheme="majorHAnsi" w:hAnsiTheme="majorHAnsi" w:cstheme="majorHAnsi"/>
          <w:sz w:val="20"/>
        </w:rPr>
        <w:t xml:space="preserve"> </w:t>
      </w:r>
      <w:r w:rsidRPr="00817FD5">
        <w:rPr>
          <w:rFonts w:asciiTheme="majorHAnsi" w:hAnsiTheme="majorHAnsi" w:cstheme="majorHAnsi"/>
          <w:sz w:val="20"/>
        </w:rPr>
        <w:t xml:space="preserve">danych i nadzór </w:t>
      </w:r>
      <w:r w:rsidR="00CF3356">
        <w:rPr>
          <w:rFonts w:asciiTheme="majorHAnsi" w:hAnsiTheme="majorHAnsi" w:cstheme="majorHAnsi"/>
          <w:sz w:val="20"/>
        </w:rPr>
        <w:t xml:space="preserve">nad nimi </w:t>
      </w:r>
      <w:r w:rsidRPr="00817FD5">
        <w:rPr>
          <w:rFonts w:asciiTheme="majorHAnsi" w:hAnsiTheme="majorHAnsi" w:cstheme="majorHAnsi"/>
          <w:sz w:val="20"/>
        </w:rPr>
        <w:t>są zawsze obowiązkiem właściciela danych i nie są udost</w:t>
      </w:r>
      <w:r w:rsidR="00545618">
        <w:rPr>
          <w:rFonts w:asciiTheme="majorHAnsi" w:hAnsiTheme="majorHAnsi" w:cstheme="majorHAnsi"/>
          <w:sz w:val="20"/>
        </w:rPr>
        <w:t xml:space="preserve">ępniane ani zlecane na zewnątrz). </w:t>
      </w:r>
    </w:p>
    <w:p w14:paraId="51749ACA" w14:textId="77777777" w:rsidR="00D83EA5" w:rsidRDefault="00D83EA5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</w:p>
    <w:p w14:paraId="1B0FF641" w14:textId="7F97A842" w:rsidR="00817FD5" w:rsidRPr="00D83EA5" w:rsidRDefault="00817FD5" w:rsidP="00761D80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D83EA5">
        <w:rPr>
          <w:rFonts w:asciiTheme="majorHAnsi" w:hAnsiTheme="majorHAnsi" w:cstheme="majorHAnsi"/>
          <w:sz w:val="20"/>
        </w:rPr>
        <w:t>Obowiązki</w:t>
      </w:r>
      <w:r w:rsidR="00D83EA5">
        <w:rPr>
          <w:rFonts w:asciiTheme="majorHAnsi" w:hAnsiTheme="majorHAnsi" w:cstheme="majorHAnsi"/>
          <w:sz w:val="20"/>
        </w:rPr>
        <w:t xml:space="preserve"> te</w:t>
      </w:r>
      <w:r w:rsidRPr="00D83EA5">
        <w:rPr>
          <w:rFonts w:asciiTheme="majorHAnsi" w:hAnsiTheme="majorHAnsi" w:cstheme="majorHAnsi"/>
          <w:sz w:val="20"/>
        </w:rPr>
        <w:t xml:space="preserve"> musz</w:t>
      </w:r>
      <w:r w:rsidR="00DD4F19" w:rsidRPr="00D83EA5">
        <w:rPr>
          <w:rFonts w:asciiTheme="majorHAnsi" w:hAnsiTheme="majorHAnsi" w:cstheme="majorHAnsi"/>
          <w:sz w:val="20"/>
        </w:rPr>
        <w:t xml:space="preserve">ą być jasno określone w umowach </w:t>
      </w:r>
      <w:r w:rsidR="00D83EA5">
        <w:rPr>
          <w:rFonts w:asciiTheme="majorHAnsi" w:hAnsiTheme="majorHAnsi" w:cstheme="majorHAnsi"/>
          <w:sz w:val="20"/>
        </w:rPr>
        <w:t>o świadczeniu</w:t>
      </w:r>
      <w:r w:rsidRPr="00D83EA5">
        <w:rPr>
          <w:rFonts w:asciiTheme="majorHAnsi" w:hAnsiTheme="majorHAnsi" w:cstheme="majorHAnsi"/>
          <w:sz w:val="20"/>
        </w:rPr>
        <w:t xml:space="preserve"> usług i dostosowane do nadrzędnego modelu zapewniania bezpieczeństwa organizacji.</w:t>
      </w:r>
      <w:r w:rsidR="00545618" w:rsidRPr="00D83EA5">
        <w:rPr>
          <w:rFonts w:asciiTheme="majorHAnsi" w:hAnsiTheme="majorHAnsi" w:cstheme="majorHAnsi"/>
          <w:sz w:val="20"/>
        </w:rPr>
        <w:t xml:space="preserve"> Zawsze </w:t>
      </w:r>
      <w:r w:rsidR="00963493">
        <w:rPr>
          <w:rFonts w:asciiTheme="majorHAnsi" w:hAnsiTheme="majorHAnsi" w:cstheme="majorHAnsi"/>
          <w:sz w:val="20"/>
        </w:rPr>
        <w:t>rekomenduje</w:t>
      </w:r>
      <w:r w:rsidR="00963493" w:rsidRPr="00D83EA5">
        <w:rPr>
          <w:rFonts w:asciiTheme="majorHAnsi" w:hAnsiTheme="majorHAnsi" w:cstheme="majorHAnsi"/>
          <w:sz w:val="20"/>
        </w:rPr>
        <w:t xml:space="preserve"> przestrzega</w:t>
      </w:r>
      <w:r w:rsidR="00963493">
        <w:rPr>
          <w:rFonts w:asciiTheme="majorHAnsi" w:hAnsiTheme="majorHAnsi" w:cstheme="majorHAnsi"/>
          <w:sz w:val="20"/>
        </w:rPr>
        <w:t>nie</w:t>
      </w:r>
      <w:r w:rsidR="00CF3356">
        <w:rPr>
          <w:rFonts w:asciiTheme="majorHAnsi" w:hAnsiTheme="majorHAnsi" w:cstheme="majorHAnsi"/>
          <w:sz w:val="20"/>
        </w:rPr>
        <w:t xml:space="preserve"> </w:t>
      </w:r>
      <w:r w:rsidRPr="00D83EA5">
        <w:rPr>
          <w:rFonts w:asciiTheme="majorHAnsi" w:hAnsiTheme="majorHAnsi" w:cstheme="majorHAnsi"/>
          <w:sz w:val="20"/>
        </w:rPr>
        <w:t xml:space="preserve">standardów i certyfikatów bezpieczeństwa w chmurze, takich jak certyfikaty ISO/IEC 27001, 27017/18 </w:t>
      </w:r>
      <w:r w:rsidR="00531793">
        <w:rPr>
          <w:rFonts w:asciiTheme="majorHAnsi" w:hAnsiTheme="majorHAnsi" w:cstheme="majorHAnsi"/>
          <w:sz w:val="20"/>
        </w:rPr>
        <w:t xml:space="preserve">i innych, </w:t>
      </w:r>
      <w:r w:rsidRPr="00D83EA5">
        <w:rPr>
          <w:rFonts w:asciiTheme="majorHAnsi" w:hAnsiTheme="majorHAnsi" w:cstheme="majorHAnsi"/>
          <w:sz w:val="20"/>
        </w:rPr>
        <w:t>zgodn</w:t>
      </w:r>
      <w:r w:rsidR="00531793">
        <w:rPr>
          <w:rFonts w:asciiTheme="majorHAnsi" w:hAnsiTheme="majorHAnsi" w:cstheme="majorHAnsi"/>
          <w:sz w:val="20"/>
        </w:rPr>
        <w:t>ych</w:t>
      </w:r>
      <w:r w:rsidRPr="00D83EA5">
        <w:rPr>
          <w:rFonts w:asciiTheme="majorHAnsi" w:hAnsiTheme="majorHAnsi" w:cstheme="majorHAnsi"/>
          <w:sz w:val="20"/>
        </w:rPr>
        <w:t xml:space="preserve"> z n</w:t>
      </w:r>
      <w:r w:rsidR="00531793">
        <w:rPr>
          <w:rFonts w:asciiTheme="majorHAnsi" w:hAnsiTheme="majorHAnsi" w:cstheme="majorHAnsi"/>
          <w:sz w:val="20"/>
        </w:rPr>
        <w:t>ajnowszymi warunkami rynkowymi</w:t>
      </w:r>
      <w:r w:rsidR="00D83EA5">
        <w:rPr>
          <w:rFonts w:asciiTheme="majorHAnsi" w:hAnsiTheme="majorHAnsi" w:cstheme="majorHAnsi"/>
          <w:sz w:val="20"/>
        </w:rPr>
        <w:t xml:space="preserve"> </w:t>
      </w:r>
      <w:r w:rsidR="00A21159">
        <w:rPr>
          <w:rFonts w:asciiTheme="majorHAnsi" w:hAnsiTheme="majorHAnsi" w:cstheme="majorHAnsi"/>
          <w:sz w:val="20"/>
        </w:rPr>
        <w:t xml:space="preserve">oraz naszymi wymaganiami organizacji </w:t>
      </w:r>
      <w:r w:rsidR="00D83EA5">
        <w:rPr>
          <w:rFonts w:asciiTheme="majorHAnsi" w:hAnsiTheme="majorHAnsi" w:cstheme="majorHAnsi"/>
          <w:sz w:val="20"/>
        </w:rPr>
        <w:t xml:space="preserve">– dodaje </w:t>
      </w:r>
      <w:r w:rsidR="00963493" w:rsidRPr="003D7417">
        <w:rPr>
          <w:rFonts w:asciiTheme="majorHAnsi" w:hAnsiTheme="majorHAnsi" w:cstheme="majorHAnsi"/>
          <w:b/>
          <w:sz w:val="20"/>
          <w:lang w:val="pl-PL"/>
        </w:rPr>
        <w:t xml:space="preserve">Artur Kmiecik, </w:t>
      </w:r>
      <w:r w:rsidR="00963493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Head of </w:t>
      </w:r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Cloud and </w:t>
      </w:r>
      <w:r w:rsidR="00963493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>Data Services</w:t>
      </w:r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 CIS</w:t>
      </w:r>
      <w:r w:rsidR="00963493" w:rsidRPr="003D7417">
        <w:rPr>
          <w:rFonts w:ascii="Segoe UI" w:hAnsi="Segoe UI" w:cs="Segoe UI"/>
          <w:sz w:val="18"/>
          <w:szCs w:val="18"/>
          <w:shd w:val="clear" w:color="auto" w:fill="FFFFFF"/>
          <w:lang w:val="pl-PL"/>
        </w:rPr>
        <w:t xml:space="preserve"> </w:t>
      </w:r>
      <w:r w:rsidR="00963493" w:rsidRPr="003D7417">
        <w:rPr>
          <w:rFonts w:asciiTheme="majorHAnsi" w:hAnsiTheme="majorHAnsi" w:cstheme="majorHAnsi"/>
          <w:b/>
          <w:sz w:val="20"/>
          <w:lang w:val="pl-PL"/>
        </w:rPr>
        <w:t>w Capgemini Polska.</w:t>
      </w:r>
    </w:p>
    <w:p w14:paraId="759CDA32" w14:textId="77777777" w:rsidR="00817FD5" w:rsidRPr="00E958D6" w:rsidRDefault="00817FD5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5" w14:textId="47E5DE32" w:rsidR="00313CBB" w:rsidRPr="00817FD5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817FD5">
        <w:rPr>
          <w:rFonts w:asciiTheme="majorHAnsi" w:hAnsiTheme="majorHAnsi" w:cstheme="majorHAnsi"/>
          <w:b/>
          <w:sz w:val="20"/>
        </w:rPr>
        <w:t>Zapewnienie jakości (QA)</w:t>
      </w:r>
    </w:p>
    <w:p w14:paraId="1D6B95B2" w14:textId="781ED5B3" w:rsidR="00817FD5" w:rsidRDefault="00AE139C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AE139C">
        <w:rPr>
          <w:rFonts w:asciiTheme="majorHAnsi" w:hAnsiTheme="majorHAnsi" w:cstheme="majorHAnsi"/>
          <w:sz w:val="20"/>
        </w:rPr>
        <w:t xml:space="preserve">Zapewnienie jakościowej transformacji musi uwzględniać rozmaite scenariusze, takie jak </w:t>
      </w:r>
      <w:r w:rsidR="00545618" w:rsidRPr="00AE139C">
        <w:rPr>
          <w:rFonts w:asciiTheme="majorHAnsi" w:hAnsiTheme="majorHAnsi" w:cstheme="majorHAnsi"/>
          <w:sz w:val="20"/>
        </w:rPr>
        <w:t>n</w:t>
      </w:r>
      <w:r w:rsidR="00545618">
        <w:rPr>
          <w:rFonts w:asciiTheme="majorHAnsi" w:hAnsiTheme="majorHAnsi" w:cstheme="majorHAnsi"/>
          <w:sz w:val="20"/>
        </w:rPr>
        <w:t xml:space="preserve">arażenie na ryzyko </w:t>
      </w:r>
      <w:r w:rsidR="00817FD5" w:rsidRPr="00817FD5">
        <w:rPr>
          <w:rFonts w:asciiTheme="majorHAnsi" w:hAnsiTheme="majorHAnsi" w:cstheme="majorHAnsi"/>
          <w:sz w:val="20"/>
        </w:rPr>
        <w:t>i skróc</w:t>
      </w:r>
      <w:r>
        <w:rPr>
          <w:rFonts w:asciiTheme="majorHAnsi" w:hAnsiTheme="majorHAnsi" w:cstheme="majorHAnsi"/>
          <w:sz w:val="20"/>
        </w:rPr>
        <w:t>enie czasu wprowadzania na rynek</w:t>
      </w:r>
      <w:r w:rsidR="00545618">
        <w:rPr>
          <w:rFonts w:asciiTheme="majorHAnsi" w:hAnsiTheme="majorHAnsi" w:cstheme="majorHAnsi"/>
          <w:sz w:val="20"/>
        </w:rPr>
        <w:t xml:space="preserve">. </w:t>
      </w:r>
      <w:r w:rsidR="00817FD5" w:rsidRPr="00817FD5">
        <w:rPr>
          <w:rFonts w:asciiTheme="majorHAnsi" w:hAnsiTheme="majorHAnsi" w:cstheme="majorHAnsi"/>
          <w:sz w:val="20"/>
        </w:rPr>
        <w:t xml:space="preserve">Organizacje </w:t>
      </w:r>
      <w:r w:rsidR="00CF3356">
        <w:rPr>
          <w:rFonts w:asciiTheme="majorHAnsi" w:hAnsiTheme="majorHAnsi" w:cstheme="majorHAnsi"/>
          <w:sz w:val="20"/>
        </w:rPr>
        <w:t>„</w:t>
      </w:r>
      <w:r w:rsidR="00817FD5" w:rsidRPr="00817FD5">
        <w:rPr>
          <w:rFonts w:asciiTheme="majorHAnsi" w:hAnsiTheme="majorHAnsi" w:cstheme="majorHAnsi"/>
          <w:sz w:val="20"/>
        </w:rPr>
        <w:t>przechodzące na chmurę</w:t>
      </w:r>
      <w:r w:rsidR="00CF3356">
        <w:rPr>
          <w:rFonts w:asciiTheme="majorHAnsi" w:hAnsiTheme="majorHAnsi" w:cstheme="majorHAnsi"/>
          <w:sz w:val="20"/>
        </w:rPr>
        <w:t>”</w:t>
      </w:r>
      <w:r w:rsidR="00817FD5" w:rsidRPr="00817FD5">
        <w:rPr>
          <w:rFonts w:asciiTheme="majorHAnsi" w:hAnsiTheme="majorHAnsi" w:cstheme="majorHAnsi"/>
          <w:sz w:val="20"/>
        </w:rPr>
        <w:t xml:space="preserve"> </w:t>
      </w:r>
      <w:r w:rsidR="00A21159" w:rsidRPr="00817FD5">
        <w:rPr>
          <w:rFonts w:asciiTheme="majorHAnsi" w:hAnsiTheme="majorHAnsi" w:cstheme="majorHAnsi"/>
          <w:sz w:val="20"/>
        </w:rPr>
        <w:t>m</w:t>
      </w:r>
      <w:r w:rsidR="00A21159">
        <w:rPr>
          <w:rFonts w:asciiTheme="majorHAnsi" w:hAnsiTheme="majorHAnsi" w:cstheme="majorHAnsi"/>
          <w:sz w:val="20"/>
        </w:rPr>
        <w:t>ogą</w:t>
      </w:r>
      <w:r w:rsidR="00A21159" w:rsidRPr="00817FD5">
        <w:rPr>
          <w:rFonts w:asciiTheme="majorHAnsi" w:hAnsiTheme="majorHAnsi" w:cstheme="majorHAnsi"/>
          <w:sz w:val="20"/>
        </w:rPr>
        <w:t xml:space="preserve"> </w:t>
      </w:r>
      <w:r w:rsidR="00817FD5" w:rsidRPr="00817FD5">
        <w:rPr>
          <w:rFonts w:asciiTheme="majorHAnsi" w:hAnsiTheme="majorHAnsi" w:cstheme="majorHAnsi"/>
          <w:sz w:val="20"/>
        </w:rPr>
        <w:t xml:space="preserve">przyjąć </w:t>
      </w:r>
      <w:r w:rsidR="00CF3356">
        <w:rPr>
          <w:rFonts w:asciiTheme="majorHAnsi" w:hAnsiTheme="majorHAnsi" w:cstheme="majorHAnsi"/>
          <w:sz w:val="20"/>
        </w:rPr>
        <w:t xml:space="preserve">model </w:t>
      </w:r>
      <w:r w:rsidR="00817FD5" w:rsidRPr="00817FD5">
        <w:rPr>
          <w:rFonts w:asciiTheme="majorHAnsi" w:hAnsiTheme="majorHAnsi" w:cstheme="majorHAnsi"/>
          <w:sz w:val="20"/>
        </w:rPr>
        <w:t>DevSecOps oraz praktyki ciągłego test</w:t>
      </w:r>
      <w:r w:rsidR="00545618">
        <w:rPr>
          <w:rFonts w:asciiTheme="majorHAnsi" w:hAnsiTheme="majorHAnsi" w:cstheme="majorHAnsi"/>
          <w:sz w:val="20"/>
        </w:rPr>
        <w:t>owania i monitorowania jakości.</w:t>
      </w:r>
      <w:r w:rsidR="00817FD5" w:rsidRPr="00817FD5">
        <w:rPr>
          <w:rFonts w:asciiTheme="majorHAnsi" w:hAnsiTheme="majorHAnsi" w:cstheme="majorHAnsi"/>
          <w:sz w:val="20"/>
        </w:rPr>
        <w:t xml:space="preserve"> Automatyzacja </w:t>
      </w:r>
      <w:r w:rsidR="00FC48BF">
        <w:rPr>
          <w:rFonts w:asciiTheme="majorHAnsi" w:hAnsiTheme="majorHAnsi" w:cstheme="majorHAnsi"/>
          <w:sz w:val="20"/>
        </w:rPr>
        <w:t xml:space="preserve">jest tu </w:t>
      </w:r>
      <w:r w:rsidR="00817FD5" w:rsidRPr="00817FD5">
        <w:rPr>
          <w:rFonts w:asciiTheme="majorHAnsi" w:hAnsiTheme="majorHAnsi" w:cstheme="majorHAnsi"/>
          <w:sz w:val="20"/>
        </w:rPr>
        <w:t>istotnym elementem</w:t>
      </w:r>
      <w:r w:rsidR="00FC48BF">
        <w:rPr>
          <w:rFonts w:asciiTheme="majorHAnsi" w:hAnsiTheme="majorHAnsi" w:cstheme="majorHAnsi"/>
          <w:sz w:val="20"/>
        </w:rPr>
        <w:t>. A</w:t>
      </w:r>
      <w:r w:rsidR="00817FD5" w:rsidRPr="00817FD5">
        <w:rPr>
          <w:rFonts w:asciiTheme="majorHAnsi" w:hAnsiTheme="majorHAnsi" w:cstheme="majorHAnsi"/>
          <w:sz w:val="20"/>
        </w:rPr>
        <w:t>by skorzystać ze sztucznej inteligencji, eksperci ds. jakości będą potrzebować wiedzy i szkolenia w zakresie dany</w:t>
      </w:r>
      <w:r w:rsidR="00545618">
        <w:rPr>
          <w:rFonts w:asciiTheme="majorHAnsi" w:hAnsiTheme="majorHAnsi" w:cstheme="majorHAnsi"/>
          <w:sz w:val="20"/>
        </w:rPr>
        <w:t xml:space="preserve">ch i modelowania statystycznego, </w:t>
      </w:r>
      <w:r w:rsidR="0020083D">
        <w:rPr>
          <w:rFonts w:asciiTheme="majorHAnsi" w:hAnsiTheme="majorHAnsi" w:cstheme="majorHAnsi"/>
          <w:sz w:val="20"/>
        </w:rPr>
        <w:t xml:space="preserve">natomiast </w:t>
      </w:r>
      <w:r w:rsidR="00545618">
        <w:rPr>
          <w:rFonts w:asciiTheme="majorHAnsi" w:hAnsiTheme="majorHAnsi" w:cstheme="majorHAnsi"/>
          <w:sz w:val="20"/>
        </w:rPr>
        <w:t>n</w:t>
      </w:r>
      <w:r w:rsidR="00817FD5" w:rsidRPr="00817FD5">
        <w:rPr>
          <w:rFonts w:asciiTheme="majorHAnsi" w:hAnsiTheme="majorHAnsi" w:cstheme="majorHAnsi"/>
          <w:sz w:val="20"/>
        </w:rPr>
        <w:t>arzędzia QA powinny umożliwiać walidację interfejsu użytkownika, wzorców i wizualizacji, a zespoły powinny obejmować zarówno ekspertów QA, jak i zespoły biznesowe.</w:t>
      </w:r>
      <w:r w:rsidR="0020083D">
        <w:rPr>
          <w:rFonts w:asciiTheme="majorHAnsi" w:hAnsiTheme="majorHAnsi" w:cstheme="majorHAnsi"/>
          <w:sz w:val="20"/>
        </w:rPr>
        <w:t xml:space="preserve"> </w:t>
      </w:r>
    </w:p>
    <w:p w14:paraId="435A85EF" w14:textId="77777777" w:rsidR="00817FD5" w:rsidRPr="00E958D6" w:rsidRDefault="00817FD5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7" w14:textId="6F5C023E" w:rsidR="00313CBB" w:rsidRPr="00BE5530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Testy</w:t>
      </w:r>
    </w:p>
    <w:p w14:paraId="00000018" w14:textId="6345C2E7" w:rsidR="00313CBB" w:rsidRPr="004B5A90" w:rsidRDefault="00BE5530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4B5A90">
        <w:rPr>
          <w:rFonts w:asciiTheme="majorHAnsi" w:hAnsiTheme="majorHAnsi" w:cstheme="majorHAnsi"/>
          <w:sz w:val="20"/>
        </w:rPr>
        <w:t>Testowanie jest podstawą silnego, elastycznego planu rozwoju oprogramowania, który wspiera potrzeby i oczekiwania biznesowe</w:t>
      </w:r>
      <w:r w:rsidR="00FC48BF" w:rsidRPr="004B5A90">
        <w:rPr>
          <w:rFonts w:asciiTheme="majorHAnsi" w:hAnsiTheme="majorHAnsi" w:cstheme="majorHAnsi"/>
          <w:sz w:val="20"/>
        </w:rPr>
        <w:t>. O</w:t>
      </w:r>
      <w:r w:rsidRPr="004B5A90">
        <w:rPr>
          <w:rFonts w:asciiTheme="majorHAnsi" w:hAnsiTheme="majorHAnsi" w:cstheme="majorHAnsi"/>
          <w:sz w:val="20"/>
        </w:rPr>
        <w:t>rganizacje muszą</w:t>
      </w:r>
      <w:r w:rsidR="00FC48BF" w:rsidRPr="004B5A90">
        <w:rPr>
          <w:rFonts w:asciiTheme="majorHAnsi" w:hAnsiTheme="majorHAnsi" w:cstheme="majorHAnsi"/>
          <w:sz w:val="20"/>
        </w:rPr>
        <w:t xml:space="preserve"> jednak</w:t>
      </w:r>
      <w:r w:rsidRPr="004B5A90">
        <w:rPr>
          <w:rFonts w:asciiTheme="majorHAnsi" w:hAnsiTheme="majorHAnsi" w:cstheme="majorHAnsi"/>
          <w:sz w:val="20"/>
        </w:rPr>
        <w:t xml:space="preserve"> przejść </w:t>
      </w:r>
      <w:r w:rsidR="003D7417" w:rsidRPr="004B5A90">
        <w:rPr>
          <w:rFonts w:asciiTheme="majorHAnsi" w:hAnsiTheme="majorHAnsi" w:cstheme="majorHAnsi"/>
          <w:sz w:val="20"/>
        </w:rPr>
        <w:t xml:space="preserve">tu </w:t>
      </w:r>
      <w:r w:rsidRPr="004B5A90">
        <w:rPr>
          <w:rFonts w:asciiTheme="majorHAnsi" w:hAnsiTheme="majorHAnsi" w:cstheme="majorHAnsi"/>
          <w:sz w:val="20"/>
        </w:rPr>
        <w:t xml:space="preserve">od tradycyjnego do bardziej nowoczesnego podejścia. Zapewni to efektywny i wydajny program, który </w:t>
      </w:r>
      <w:r w:rsidR="0020083D" w:rsidRPr="004B5A90">
        <w:rPr>
          <w:rFonts w:asciiTheme="majorHAnsi" w:hAnsiTheme="majorHAnsi" w:cstheme="majorHAnsi"/>
          <w:sz w:val="20"/>
        </w:rPr>
        <w:t xml:space="preserve">z kolei </w:t>
      </w:r>
      <w:r w:rsidR="00D83EA5" w:rsidRPr="004B5A90">
        <w:rPr>
          <w:rFonts w:asciiTheme="majorHAnsi" w:hAnsiTheme="majorHAnsi" w:cstheme="majorHAnsi"/>
          <w:sz w:val="20"/>
        </w:rPr>
        <w:t>wpłynie na</w:t>
      </w:r>
      <w:r w:rsidRPr="004B5A90">
        <w:rPr>
          <w:rFonts w:asciiTheme="majorHAnsi" w:hAnsiTheme="majorHAnsi" w:cstheme="majorHAnsi"/>
          <w:sz w:val="20"/>
        </w:rPr>
        <w:t xml:space="preserve"> bezproblemową obsługę klienta i </w:t>
      </w:r>
      <w:r w:rsidR="00D83EA5" w:rsidRPr="004B5A90">
        <w:rPr>
          <w:rFonts w:asciiTheme="majorHAnsi" w:hAnsiTheme="majorHAnsi" w:cstheme="majorHAnsi"/>
          <w:sz w:val="20"/>
        </w:rPr>
        <w:t>pozwoli lepiej zarządzać</w:t>
      </w:r>
      <w:r w:rsidR="0020083D" w:rsidRPr="004B5A90">
        <w:rPr>
          <w:rFonts w:asciiTheme="majorHAnsi" w:hAnsiTheme="majorHAnsi" w:cstheme="majorHAnsi"/>
          <w:sz w:val="20"/>
        </w:rPr>
        <w:t xml:space="preserve"> </w:t>
      </w:r>
      <w:r w:rsidRPr="004B5A90">
        <w:rPr>
          <w:rFonts w:asciiTheme="majorHAnsi" w:hAnsiTheme="majorHAnsi" w:cstheme="majorHAnsi"/>
          <w:sz w:val="20"/>
        </w:rPr>
        <w:t xml:space="preserve">ryzykiem. </w:t>
      </w:r>
      <w:r w:rsidR="00D83EA5" w:rsidRPr="004B5A90">
        <w:rPr>
          <w:rFonts w:asciiTheme="majorHAnsi" w:hAnsiTheme="majorHAnsi" w:cstheme="majorHAnsi"/>
          <w:sz w:val="20"/>
        </w:rPr>
        <w:t>Na rynku istnieją platformy zapewniające</w:t>
      </w:r>
      <w:r w:rsidRPr="004B5A90">
        <w:rPr>
          <w:rFonts w:asciiTheme="majorHAnsi" w:hAnsiTheme="majorHAnsi" w:cstheme="majorHAnsi"/>
          <w:sz w:val="20"/>
        </w:rPr>
        <w:t xml:space="preserve"> holistyczne rozwiązania skoncentrowane na doświadczeniu klienta, któr</w:t>
      </w:r>
      <w:r w:rsidR="00D83EA5" w:rsidRPr="004B5A90">
        <w:rPr>
          <w:rFonts w:asciiTheme="majorHAnsi" w:hAnsiTheme="majorHAnsi" w:cstheme="majorHAnsi"/>
          <w:sz w:val="20"/>
        </w:rPr>
        <w:t>e umożliwiają organizacjom</w:t>
      </w:r>
      <w:r w:rsidRPr="004B5A90">
        <w:rPr>
          <w:rFonts w:asciiTheme="majorHAnsi" w:hAnsiTheme="majorHAnsi" w:cstheme="majorHAnsi"/>
          <w:sz w:val="20"/>
        </w:rPr>
        <w:t xml:space="preserve"> przejście od tradycyjn</w:t>
      </w:r>
      <w:r w:rsidR="004B5A90" w:rsidRPr="004B5A90">
        <w:rPr>
          <w:rFonts w:asciiTheme="majorHAnsi" w:hAnsiTheme="majorHAnsi" w:cstheme="majorHAnsi"/>
          <w:sz w:val="20"/>
        </w:rPr>
        <w:t xml:space="preserve">ych metod </w:t>
      </w:r>
      <w:r w:rsidRPr="004B5A90">
        <w:rPr>
          <w:rFonts w:asciiTheme="majorHAnsi" w:hAnsiTheme="majorHAnsi" w:cstheme="majorHAnsi"/>
          <w:sz w:val="20"/>
        </w:rPr>
        <w:t xml:space="preserve">do nowoczesnej inżynierii jakości. </w:t>
      </w:r>
      <w:r w:rsidR="004B5A90" w:rsidRPr="004B5A90">
        <w:rPr>
          <w:rFonts w:asciiTheme="majorHAnsi" w:hAnsiTheme="majorHAnsi" w:cstheme="majorHAnsi"/>
          <w:sz w:val="20"/>
        </w:rPr>
        <w:t>Firmy</w:t>
      </w:r>
      <w:r w:rsidRPr="004B5A90">
        <w:rPr>
          <w:rFonts w:asciiTheme="majorHAnsi" w:hAnsiTheme="majorHAnsi" w:cstheme="majorHAnsi"/>
          <w:sz w:val="20"/>
        </w:rPr>
        <w:t xml:space="preserve"> powinny również rozważyć przyspieszenie inwestycji w umiejętności i ciągłe testowanie rozwiązań w swoich zespołach Agile i DevO</w:t>
      </w:r>
      <w:r w:rsidR="00D83EA5" w:rsidRPr="004B5A90">
        <w:rPr>
          <w:rFonts w:asciiTheme="majorHAnsi" w:hAnsiTheme="majorHAnsi" w:cstheme="majorHAnsi"/>
          <w:sz w:val="20"/>
        </w:rPr>
        <w:t>ps.</w:t>
      </w:r>
      <w:r w:rsidRPr="004B5A90">
        <w:rPr>
          <w:rFonts w:asciiTheme="majorHAnsi" w:hAnsiTheme="majorHAnsi" w:cstheme="majorHAnsi"/>
          <w:sz w:val="20"/>
        </w:rPr>
        <w:t xml:space="preserve"> Aby to osiągnąć, muszą wyposażyć międzyfunkcyjne zespoły Agile w wystarczającą wiedzę oraz umożliwić automatyzację QA i dostarczanie środowiska testowego. Skuteczne i wydajne zarządzanie środowiskami testowymi z ustrukturyzowaną automatyzacją może przynieść organizacji znaczące korzyści</w:t>
      </w:r>
      <w:r w:rsidR="00D83EA5" w:rsidRPr="004B5A90">
        <w:rPr>
          <w:rFonts w:asciiTheme="majorHAnsi" w:hAnsiTheme="majorHAnsi" w:cstheme="majorHAnsi"/>
          <w:sz w:val="20"/>
        </w:rPr>
        <w:t xml:space="preserve"> i</w:t>
      </w:r>
      <w:r w:rsidRPr="004B5A90">
        <w:rPr>
          <w:rFonts w:asciiTheme="majorHAnsi" w:hAnsiTheme="majorHAnsi" w:cstheme="majorHAnsi"/>
          <w:sz w:val="20"/>
        </w:rPr>
        <w:t xml:space="preserve"> oszczędności.</w:t>
      </w:r>
    </w:p>
    <w:p w14:paraId="73D48BA3" w14:textId="77777777" w:rsidR="00BE5530" w:rsidRPr="00E958D6" w:rsidRDefault="00BE5530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9" w14:textId="12498B5E" w:rsidR="00313CBB" w:rsidRPr="00BE5530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DevSecOps</w:t>
      </w:r>
    </w:p>
    <w:p w14:paraId="52F3D4C6" w14:textId="2529B63B" w:rsidR="00BE5530" w:rsidRPr="00BE5530" w:rsidRDefault="00BE5530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BE5530">
        <w:rPr>
          <w:rFonts w:asciiTheme="majorHAnsi" w:hAnsiTheme="majorHAnsi" w:cstheme="majorHAnsi"/>
          <w:sz w:val="20"/>
        </w:rPr>
        <w:t xml:space="preserve">DevSecOps łączy zespoły ds. rozwoju, bezpieczeństwa i operacji i przyspiesza czas wprowadzania produktów na rynek, stosując technologie umożliwiające ciągły rozwój </w:t>
      </w:r>
      <w:r w:rsidRPr="00AE139C">
        <w:rPr>
          <w:rFonts w:asciiTheme="majorHAnsi" w:hAnsiTheme="majorHAnsi" w:cstheme="majorHAnsi"/>
          <w:sz w:val="20"/>
        </w:rPr>
        <w:t xml:space="preserve">rozwiązań. </w:t>
      </w:r>
      <w:r w:rsidR="0020083D" w:rsidRPr="00AE139C">
        <w:rPr>
          <w:rFonts w:asciiTheme="majorHAnsi" w:hAnsiTheme="majorHAnsi" w:cstheme="majorHAnsi"/>
          <w:sz w:val="20"/>
        </w:rPr>
        <w:t>K</w:t>
      </w:r>
      <w:r w:rsidRPr="00AE139C">
        <w:rPr>
          <w:rFonts w:asciiTheme="majorHAnsi" w:hAnsiTheme="majorHAnsi" w:cstheme="majorHAnsi"/>
          <w:sz w:val="20"/>
        </w:rPr>
        <w:t xml:space="preserve">luczowe zalecenia dotyczące efektywnej realizacji </w:t>
      </w:r>
      <w:r w:rsidR="00AE139C" w:rsidRPr="00AE139C">
        <w:rPr>
          <w:rFonts w:asciiTheme="majorHAnsi" w:hAnsiTheme="majorHAnsi" w:cstheme="majorHAnsi"/>
          <w:sz w:val="20"/>
        </w:rPr>
        <w:t>działań</w:t>
      </w:r>
      <w:r w:rsidRPr="00AE139C">
        <w:rPr>
          <w:rFonts w:asciiTheme="majorHAnsi" w:hAnsiTheme="majorHAnsi" w:cstheme="majorHAnsi"/>
          <w:sz w:val="20"/>
        </w:rPr>
        <w:t xml:space="preserve"> w chmurze</w:t>
      </w:r>
      <w:r w:rsidR="0020083D" w:rsidRPr="00AE139C">
        <w:rPr>
          <w:rFonts w:asciiTheme="majorHAnsi" w:hAnsiTheme="majorHAnsi" w:cstheme="majorHAnsi"/>
          <w:sz w:val="20"/>
        </w:rPr>
        <w:t xml:space="preserve"> obejmują koncentrację</w:t>
      </w:r>
      <w:r w:rsidRPr="00AE139C">
        <w:rPr>
          <w:rFonts w:asciiTheme="majorHAnsi" w:hAnsiTheme="majorHAnsi" w:cstheme="majorHAnsi"/>
          <w:sz w:val="20"/>
        </w:rPr>
        <w:t xml:space="preserve"> na </w:t>
      </w:r>
      <w:r w:rsidR="00AE139C" w:rsidRPr="00AE139C">
        <w:rPr>
          <w:rFonts w:asciiTheme="majorHAnsi" w:hAnsiTheme="majorHAnsi" w:cstheme="majorHAnsi"/>
          <w:sz w:val="20"/>
        </w:rPr>
        <w:t>stałym doskonaleniu</w:t>
      </w:r>
      <w:r w:rsidRPr="00AE139C">
        <w:rPr>
          <w:rFonts w:asciiTheme="majorHAnsi" w:hAnsiTheme="majorHAnsi" w:cstheme="majorHAnsi"/>
          <w:sz w:val="20"/>
        </w:rPr>
        <w:t xml:space="preserve"> środowiska projektów</w:t>
      </w:r>
      <w:r w:rsidR="0056526B">
        <w:rPr>
          <w:rFonts w:asciiTheme="majorHAnsi" w:hAnsiTheme="majorHAnsi" w:cstheme="majorHAnsi"/>
          <w:sz w:val="20"/>
        </w:rPr>
        <w:t xml:space="preserve"> i pla</w:t>
      </w:r>
      <w:r w:rsidR="0002650E">
        <w:rPr>
          <w:rFonts w:asciiTheme="majorHAnsi" w:hAnsiTheme="majorHAnsi" w:cstheme="majorHAnsi"/>
          <w:sz w:val="20"/>
        </w:rPr>
        <w:t>t</w:t>
      </w:r>
      <w:r w:rsidR="0056526B">
        <w:rPr>
          <w:rFonts w:asciiTheme="majorHAnsi" w:hAnsiTheme="majorHAnsi" w:cstheme="majorHAnsi"/>
          <w:sz w:val="20"/>
        </w:rPr>
        <w:t>form</w:t>
      </w:r>
      <w:r w:rsidR="0020083D" w:rsidRPr="00AE139C">
        <w:rPr>
          <w:rFonts w:asciiTheme="majorHAnsi" w:hAnsiTheme="majorHAnsi" w:cstheme="majorHAnsi"/>
          <w:sz w:val="20"/>
        </w:rPr>
        <w:t xml:space="preserve">. </w:t>
      </w:r>
      <w:r w:rsidR="0020083D">
        <w:rPr>
          <w:rFonts w:asciiTheme="majorHAnsi" w:hAnsiTheme="majorHAnsi" w:cstheme="majorHAnsi"/>
          <w:sz w:val="20"/>
        </w:rPr>
        <w:t>S</w:t>
      </w:r>
      <w:r w:rsidRPr="00BE5530">
        <w:rPr>
          <w:rFonts w:asciiTheme="majorHAnsi" w:hAnsiTheme="majorHAnsi" w:cstheme="majorHAnsi"/>
          <w:sz w:val="20"/>
        </w:rPr>
        <w:t xml:space="preserve">konfigurowane potoki Blueprint i DevSecOps </w:t>
      </w:r>
      <w:r w:rsidR="0020083D">
        <w:rPr>
          <w:rFonts w:asciiTheme="majorHAnsi" w:hAnsiTheme="majorHAnsi" w:cstheme="majorHAnsi"/>
          <w:sz w:val="20"/>
        </w:rPr>
        <w:t xml:space="preserve">należy opracować wstępnie </w:t>
      </w:r>
      <w:r w:rsidRPr="00BE5530">
        <w:rPr>
          <w:rFonts w:asciiTheme="majorHAnsi" w:hAnsiTheme="majorHAnsi" w:cstheme="majorHAnsi"/>
          <w:sz w:val="20"/>
        </w:rPr>
        <w:t>na różnych platformach.</w:t>
      </w:r>
      <w:r w:rsidR="0020083D">
        <w:rPr>
          <w:rFonts w:asciiTheme="majorHAnsi" w:hAnsiTheme="majorHAnsi" w:cstheme="majorHAnsi"/>
          <w:sz w:val="20"/>
        </w:rPr>
        <w:t xml:space="preserve"> Wymaga to zdobywania wiedzy </w:t>
      </w:r>
      <w:r w:rsidRPr="00BE5530">
        <w:rPr>
          <w:rFonts w:asciiTheme="majorHAnsi" w:hAnsiTheme="majorHAnsi" w:cstheme="majorHAnsi"/>
          <w:sz w:val="20"/>
        </w:rPr>
        <w:t xml:space="preserve">w zakresie dostosowywania, instalacji i integracji rozwiązań i narzędzi CI/CD, jakości, zarządzania, komunikacji </w:t>
      </w:r>
      <w:r w:rsidR="0020083D">
        <w:rPr>
          <w:rFonts w:asciiTheme="majorHAnsi" w:hAnsiTheme="majorHAnsi" w:cstheme="majorHAnsi"/>
          <w:sz w:val="20"/>
        </w:rPr>
        <w:t>i orkiestracji środowisk</w:t>
      </w:r>
      <w:r w:rsidR="0056526B">
        <w:rPr>
          <w:rFonts w:asciiTheme="majorHAnsi" w:hAnsiTheme="majorHAnsi" w:cstheme="majorHAnsi"/>
          <w:sz w:val="20"/>
        </w:rPr>
        <w:t xml:space="preserve"> </w:t>
      </w:r>
      <w:r w:rsidR="0020083D">
        <w:rPr>
          <w:rFonts w:asciiTheme="majorHAnsi" w:hAnsiTheme="majorHAnsi" w:cstheme="majorHAnsi"/>
          <w:sz w:val="20"/>
        </w:rPr>
        <w:t xml:space="preserve">oraz wdrażania </w:t>
      </w:r>
      <w:r w:rsidRPr="00BE5530">
        <w:rPr>
          <w:rFonts w:asciiTheme="majorHAnsi" w:hAnsiTheme="majorHAnsi" w:cstheme="majorHAnsi"/>
          <w:sz w:val="20"/>
        </w:rPr>
        <w:t>akceleratorów w celu optymalizacji środowiska pracy DevSecOps (RPA, QA</w:t>
      </w:r>
      <w:r w:rsidR="0020083D">
        <w:rPr>
          <w:rFonts w:asciiTheme="majorHAnsi" w:hAnsiTheme="majorHAnsi" w:cstheme="majorHAnsi"/>
          <w:sz w:val="20"/>
        </w:rPr>
        <w:t xml:space="preserve">, </w:t>
      </w:r>
      <w:r w:rsidRPr="00BE5530">
        <w:rPr>
          <w:rFonts w:asciiTheme="majorHAnsi" w:hAnsiTheme="majorHAnsi" w:cstheme="majorHAnsi"/>
          <w:sz w:val="20"/>
        </w:rPr>
        <w:t>dashboardy, Cognitive QA, automatyzacja testów,</w:t>
      </w:r>
      <w:r w:rsidR="0020083D">
        <w:rPr>
          <w:rFonts w:asciiTheme="majorHAnsi" w:hAnsiTheme="majorHAnsi" w:cstheme="majorHAnsi"/>
          <w:sz w:val="20"/>
        </w:rPr>
        <w:t xml:space="preserve"> </w:t>
      </w:r>
      <w:bookmarkStart w:id="0" w:name="_GoBack"/>
      <w:bookmarkEnd w:id="0"/>
      <w:r w:rsidRPr="00BE5530">
        <w:rPr>
          <w:rFonts w:asciiTheme="majorHAnsi" w:hAnsiTheme="majorHAnsi" w:cstheme="majorHAnsi"/>
          <w:sz w:val="20"/>
        </w:rPr>
        <w:t>integracja z chatbotami itp.).</w:t>
      </w:r>
    </w:p>
    <w:p w14:paraId="693EA5A5" w14:textId="77777777" w:rsidR="00BE5530" w:rsidRPr="00E958D6" w:rsidRDefault="00BE5530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C" w14:textId="36A8DD0A" w:rsidR="00313CBB" w:rsidRPr="00BE5530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Ekonomia chmury i FinOps</w:t>
      </w:r>
    </w:p>
    <w:p w14:paraId="31F16F28" w14:textId="410257B4" w:rsidR="00754C1D" w:rsidRDefault="00BE5530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BD068D">
        <w:rPr>
          <w:rFonts w:asciiTheme="majorHAnsi" w:hAnsiTheme="majorHAnsi" w:cstheme="majorHAnsi"/>
          <w:sz w:val="20"/>
        </w:rPr>
        <w:t xml:space="preserve">Zrozumienie ekonomii adopcji </w:t>
      </w:r>
      <w:r w:rsidRPr="00AE139C">
        <w:rPr>
          <w:rFonts w:asciiTheme="majorHAnsi" w:hAnsiTheme="majorHAnsi" w:cstheme="majorHAnsi"/>
          <w:sz w:val="20"/>
        </w:rPr>
        <w:t xml:space="preserve">chmury ma kluczowe znaczenie dla </w:t>
      </w:r>
      <w:r w:rsidR="00AE139C" w:rsidRPr="00AE139C">
        <w:rPr>
          <w:rFonts w:asciiTheme="majorHAnsi" w:hAnsiTheme="majorHAnsi" w:cstheme="majorHAnsi"/>
          <w:sz w:val="20"/>
        </w:rPr>
        <w:t xml:space="preserve">biznesowego </w:t>
      </w:r>
      <w:r w:rsidRPr="00AE139C">
        <w:rPr>
          <w:rFonts w:asciiTheme="majorHAnsi" w:hAnsiTheme="majorHAnsi" w:cstheme="majorHAnsi"/>
          <w:sz w:val="20"/>
        </w:rPr>
        <w:t>uzasadnienia transformacji</w:t>
      </w:r>
      <w:r w:rsidR="00754C1D" w:rsidRPr="00AE139C">
        <w:rPr>
          <w:rFonts w:asciiTheme="majorHAnsi" w:hAnsiTheme="majorHAnsi" w:cstheme="majorHAnsi"/>
          <w:sz w:val="20"/>
        </w:rPr>
        <w:t>,</w:t>
      </w:r>
      <w:r w:rsidRPr="00AE139C">
        <w:rPr>
          <w:rFonts w:asciiTheme="majorHAnsi" w:hAnsiTheme="majorHAnsi" w:cstheme="majorHAnsi"/>
          <w:sz w:val="20"/>
        </w:rPr>
        <w:t xml:space="preserve"> a </w:t>
      </w:r>
      <w:r w:rsidRPr="00BD068D">
        <w:rPr>
          <w:rFonts w:asciiTheme="majorHAnsi" w:hAnsiTheme="majorHAnsi" w:cstheme="majorHAnsi"/>
          <w:sz w:val="20"/>
        </w:rPr>
        <w:t xml:space="preserve">jeszcze bardziej krytyczne dla fazy realizacji. </w:t>
      </w:r>
      <w:r w:rsidRPr="00BE5530">
        <w:rPr>
          <w:rFonts w:asciiTheme="majorHAnsi" w:hAnsiTheme="majorHAnsi" w:cstheme="majorHAnsi"/>
          <w:sz w:val="20"/>
        </w:rPr>
        <w:t>Jednak zarządzanie kosztami w chmurze i osiąganie celów redukcji kosztów to wyzwanie, które wiele organizacji uważa za trudne do osiągnięcia.</w:t>
      </w:r>
      <w:r w:rsidR="0020083D">
        <w:rPr>
          <w:rFonts w:asciiTheme="majorHAnsi" w:hAnsiTheme="majorHAnsi" w:cstheme="majorHAnsi"/>
          <w:sz w:val="20"/>
        </w:rPr>
        <w:t xml:space="preserve"> </w:t>
      </w:r>
      <w:r w:rsidRPr="00BE5530">
        <w:rPr>
          <w:rFonts w:asciiTheme="majorHAnsi" w:hAnsiTheme="majorHAnsi" w:cstheme="majorHAnsi"/>
          <w:sz w:val="20"/>
        </w:rPr>
        <w:t>W rzeczywistości ekonomia chmury powinn</w:t>
      </w:r>
      <w:r w:rsidR="00754C1D">
        <w:rPr>
          <w:rFonts w:asciiTheme="majorHAnsi" w:hAnsiTheme="majorHAnsi" w:cstheme="majorHAnsi"/>
          <w:sz w:val="20"/>
        </w:rPr>
        <w:t>a</w:t>
      </w:r>
      <w:r w:rsidRPr="00BE5530">
        <w:rPr>
          <w:rFonts w:asciiTheme="majorHAnsi" w:hAnsiTheme="majorHAnsi" w:cstheme="majorHAnsi"/>
          <w:sz w:val="20"/>
        </w:rPr>
        <w:t xml:space="preserve"> być integralną częścią wszystkich działań transformacyjnych. W</w:t>
      </w:r>
      <w:r w:rsidR="0020083D">
        <w:rPr>
          <w:rFonts w:asciiTheme="majorHAnsi" w:hAnsiTheme="majorHAnsi" w:cstheme="majorHAnsi"/>
          <w:sz w:val="20"/>
        </w:rPr>
        <w:t xml:space="preserve"> fazie realizacji musi dotyczyć </w:t>
      </w:r>
      <w:r w:rsidR="00754C1D">
        <w:rPr>
          <w:rFonts w:asciiTheme="majorHAnsi" w:hAnsiTheme="majorHAnsi" w:cstheme="majorHAnsi"/>
          <w:sz w:val="20"/>
        </w:rPr>
        <w:t xml:space="preserve">zarządzania FinOps, </w:t>
      </w:r>
      <w:r w:rsidRPr="00BE5530">
        <w:rPr>
          <w:rFonts w:asciiTheme="majorHAnsi" w:hAnsiTheme="majorHAnsi" w:cstheme="majorHAnsi"/>
          <w:sz w:val="20"/>
        </w:rPr>
        <w:t>usług dostawców chmury</w:t>
      </w:r>
      <w:r w:rsidR="00D8446B">
        <w:rPr>
          <w:rFonts w:asciiTheme="majorHAnsi" w:hAnsiTheme="majorHAnsi" w:cstheme="majorHAnsi"/>
          <w:sz w:val="20"/>
        </w:rPr>
        <w:t xml:space="preserve"> oraz</w:t>
      </w:r>
      <w:r w:rsidR="0020083D">
        <w:rPr>
          <w:rFonts w:asciiTheme="majorHAnsi" w:hAnsiTheme="majorHAnsi" w:cstheme="majorHAnsi"/>
          <w:sz w:val="20"/>
        </w:rPr>
        <w:t xml:space="preserve"> analizy i optymalizacji </w:t>
      </w:r>
      <w:r w:rsidRPr="00BE5530">
        <w:rPr>
          <w:rFonts w:asciiTheme="majorHAnsi" w:hAnsiTheme="majorHAnsi" w:cstheme="majorHAnsi"/>
          <w:sz w:val="20"/>
        </w:rPr>
        <w:t>kosztów</w:t>
      </w:r>
      <w:r w:rsidR="00D8446B">
        <w:rPr>
          <w:rFonts w:asciiTheme="majorHAnsi" w:hAnsiTheme="majorHAnsi" w:cstheme="majorHAnsi"/>
          <w:sz w:val="20"/>
        </w:rPr>
        <w:t>.</w:t>
      </w:r>
    </w:p>
    <w:p w14:paraId="02365C52" w14:textId="77777777" w:rsidR="00754C1D" w:rsidRDefault="00754C1D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</w:p>
    <w:p w14:paraId="0734A194" w14:textId="78093F3B" w:rsidR="00BE5530" w:rsidRPr="00754C1D" w:rsidRDefault="00BE5530" w:rsidP="00761D80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754C1D">
        <w:rPr>
          <w:rFonts w:asciiTheme="majorHAnsi" w:hAnsiTheme="majorHAnsi" w:cstheme="majorHAnsi"/>
          <w:sz w:val="20"/>
        </w:rPr>
        <w:t xml:space="preserve">Podejście do zarządzania kosztami powinno obejmować coś więcej niż posiadanie dźwigni do uruchomienia działań kontrolnych lub optymalizacyjnych. </w:t>
      </w:r>
      <w:r w:rsidRPr="00AE139C">
        <w:rPr>
          <w:rFonts w:asciiTheme="majorHAnsi" w:hAnsiTheme="majorHAnsi" w:cstheme="majorHAnsi"/>
          <w:sz w:val="20"/>
        </w:rPr>
        <w:t>Ważne jest, aby stworzyć pod</w:t>
      </w:r>
      <w:r w:rsidR="00042066" w:rsidRPr="00AE139C">
        <w:rPr>
          <w:rFonts w:asciiTheme="majorHAnsi" w:hAnsiTheme="majorHAnsi" w:cstheme="majorHAnsi"/>
          <w:sz w:val="20"/>
        </w:rPr>
        <w:t xml:space="preserve">stawy zarządzania FinOps usprawniające </w:t>
      </w:r>
      <w:r w:rsidR="00D8446B" w:rsidRPr="00AE139C">
        <w:rPr>
          <w:rFonts w:asciiTheme="majorHAnsi" w:hAnsiTheme="majorHAnsi" w:cstheme="majorHAnsi"/>
          <w:sz w:val="20"/>
        </w:rPr>
        <w:t xml:space="preserve">działalność </w:t>
      </w:r>
      <w:r w:rsidR="00042066" w:rsidRPr="00AE139C">
        <w:rPr>
          <w:rFonts w:asciiTheme="majorHAnsi" w:hAnsiTheme="majorHAnsi" w:cstheme="majorHAnsi"/>
          <w:sz w:val="20"/>
        </w:rPr>
        <w:t>organizacj</w:t>
      </w:r>
      <w:r w:rsidR="00D8446B" w:rsidRPr="00AE139C">
        <w:rPr>
          <w:rFonts w:asciiTheme="majorHAnsi" w:hAnsiTheme="majorHAnsi" w:cstheme="majorHAnsi"/>
          <w:sz w:val="20"/>
        </w:rPr>
        <w:t>i</w:t>
      </w:r>
      <w:r w:rsidR="00AE139C" w:rsidRPr="00AE139C">
        <w:rPr>
          <w:rFonts w:asciiTheme="majorHAnsi" w:hAnsiTheme="majorHAnsi" w:cstheme="majorHAnsi"/>
          <w:sz w:val="20"/>
        </w:rPr>
        <w:t xml:space="preserve">. To wymaga połączenia profili technicznych </w:t>
      </w:r>
      <w:r w:rsidRPr="00AE139C">
        <w:rPr>
          <w:rFonts w:asciiTheme="majorHAnsi" w:hAnsiTheme="majorHAnsi" w:cstheme="majorHAnsi"/>
          <w:sz w:val="20"/>
        </w:rPr>
        <w:t xml:space="preserve">i </w:t>
      </w:r>
      <w:r w:rsidR="0056526B">
        <w:rPr>
          <w:rFonts w:asciiTheme="majorHAnsi" w:hAnsiTheme="majorHAnsi" w:cstheme="majorHAnsi"/>
          <w:sz w:val="20"/>
        </w:rPr>
        <w:t xml:space="preserve">biznesowych oraz </w:t>
      </w:r>
      <w:r w:rsidRPr="00AE139C">
        <w:rPr>
          <w:rFonts w:asciiTheme="majorHAnsi" w:hAnsiTheme="majorHAnsi" w:cstheme="majorHAnsi"/>
          <w:sz w:val="20"/>
        </w:rPr>
        <w:t>umiejętności identyfikowania obszarów do optym</w:t>
      </w:r>
      <w:r w:rsidR="00754C1D" w:rsidRPr="00AE139C">
        <w:rPr>
          <w:rFonts w:asciiTheme="majorHAnsi" w:hAnsiTheme="majorHAnsi" w:cstheme="majorHAnsi"/>
          <w:sz w:val="20"/>
        </w:rPr>
        <w:t xml:space="preserve">alizacji </w:t>
      </w:r>
      <w:r w:rsidR="0056526B">
        <w:rPr>
          <w:rFonts w:asciiTheme="majorHAnsi" w:hAnsiTheme="majorHAnsi" w:cstheme="majorHAnsi"/>
          <w:sz w:val="20"/>
        </w:rPr>
        <w:t>i</w:t>
      </w:r>
      <w:r w:rsidR="0056526B" w:rsidRPr="00AE139C">
        <w:rPr>
          <w:rFonts w:asciiTheme="majorHAnsi" w:hAnsiTheme="majorHAnsi" w:cstheme="majorHAnsi"/>
          <w:sz w:val="20"/>
        </w:rPr>
        <w:t xml:space="preserve"> </w:t>
      </w:r>
      <w:r w:rsidRPr="00AE139C">
        <w:rPr>
          <w:rFonts w:asciiTheme="majorHAnsi" w:hAnsiTheme="majorHAnsi" w:cstheme="majorHAnsi"/>
          <w:sz w:val="20"/>
        </w:rPr>
        <w:t>podejmowania decyzji zapewniających osiągnięcie celów ekonomicznych</w:t>
      </w:r>
      <w:r w:rsidR="00042066" w:rsidRPr="00AE139C">
        <w:rPr>
          <w:rFonts w:asciiTheme="majorHAnsi" w:hAnsiTheme="majorHAnsi" w:cstheme="majorHAnsi"/>
          <w:sz w:val="20"/>
        </w:rPr>
        <w:t xml:space="preserve">. </w:t>
      </w:r>
      <w:r w:rsidR="00AE139C">
        <w:rPr>
          <w:rFonts w:asciiTheme="majorHAnsi" w:hAnsiTheme="majorHAnsi" w:cstheme="majorHAnsi"/>
          <w:sz w:val="20"/>
        </w:rPr>
        <w:t>Istotne</w:t>
      </w:r>
      <w:r w:rsidR="00042066" w:rsidRPr="00754C1D">
        <w:rPr>
          <w:rFonts w:asciiTheme="majorHAnsi" w:hAnsiTheme="majorHAnsi" w:cstheme="majorHAnsi"/>
          <w:sz w:val="20"/>
        </w:rPr>
        <w:t xml:space="preserve"> jest d</w:t>
      </w:r>
      <w:r w:rsidRPr="00754C1D">
        <w:rPr>
          <w:rFonts w:asciiTheme="majorHAnsi" w:hAnsiTheme="majorHAnsi" w:cstheme="majorHAnsi"/>
          <w:sz w:val="20"/>
        </w:rPr>
        <w:t xml:space="preserve">ostosowanie do procesów biznesowych w celu zachowania elastyczności oferowanej przez rozwiązania chmurowe przy </w:t>
      </w:r>
      <w:r w:rsidRPr="00754C1D">
        <w:rPr>
          <w:rFonts w:asciiTheme="majorHAnsi" w:hAnsiTheme="majorHAnsi" w:cstheme="majorHAnsi"/>
          <w:sz w:val="20"/>
        </w:rPr>
        <w:lastRenderedPageBreak/>
        <w:t>jednoczesnym zapewnieniu spójności w korzystaniu z usług i</w:t>
      </w:r>
      <w:r w:rsidR="00042066" w:rsidRPr="00754C1D">
        <w:rPr>
          <w:rFonts w:asciiTheme="majorHAnsi" w:hAnsiTheme="majorHAnsi" w:cstheme="majorHAnsi"/>
          <w:sz w:val="20"/>
        </w:rPr>
        <w:t xml:space="preserve"> </w:t>
      </w:r>
      <w:r w:rsidRPr="00754C1D">
        <w:rPr>
          <w:rFonts w:asciiTheme="majorHAnsi" w:hAnsiTheme="majorHAnsi" w:cstheme="majorHAnsi"/>
          <w:sz w:val="20"/>
        </w:rPr>
        <w:t>ich wpływ</w:t>
      </w:r>
      <w:r w:rsidR="00754C1D">
        <w:rPr>
          <w:rFonts w:asciiTheme="majorHAnsi" w:hAnsiTheme="majorHAnsi" w:cstheme="majorHAnsi"/>
          <w:sz w:val="20"/>
        </w:rPr>
        <w:t>u</w:t>
      </w:r>
      <w:r w:rsidRPr="00754C1D">
        <w:rPr>
          <w:rFonts w:asciiTheme="majorHAnsi" w:hAnsiTheme="majorHAnsi" w:cstheme="majorHAnsi"/>
          <w:sz w:val="20"/>
        </w:rPr>
        <w:t xml:space="preserve"> ekonomiczn</w:t>
      </w:r>
      <w:r w:rsidR="00754C1D">
        <w:rPr>
          <w:rFonts w:asciiTheme="majorHAnsi" w:hAnsiTheme="majorHAnsi" w:cstheme="majorHAnsi"/>
          <w:sz w:val="20"/>
        </w:rPr>
        <w:t xml:space="preserve">ego – komentuje </w:t>
      </w:r>
      <w:r w:rsidR="00963493" w:rsidRPr="003D7417">
        <w:rPr>
          <w:rFonts w:asciiTheme="majorHAnsi" w:hAnsiTheme="majorHAnsi" w:cstheme="majorHAnsi"/>
          <w:b/>
          <w:sz w:val="20"/>
          <w:lang w:val="pl-PL"/>
        </w:rPr>
        <w:t xml:space="preserve">Artur Kmiecik, </w:t>
      </w:r>
      <w:r w:rsidR="00963493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Head of </w:t>
      </w:r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Cloud and </w:t>
      </w:r>
      <w:r w:rsidR="00963493" w:rsidRPr="003D7417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>Data Services</w:t>
      </w:r>
      <w:r w:rsidR="00963493">
        <w:rPr>
          <w:rFonts w:ascii="Segoe UI" w:hAnsi="Segoe UI" w:cs="Segoe UI"/>
          <w:b/>
          <w:bCs/>
          <w:sz w:val="18"/>
          <w:szCs w:val="18"/>
          <w:shd w:val="clear" w:color="auto" w:fill="FFFFFF"/>
          <w:lang w:val="pl-PL"/>
        </w:rPr>
        <w:t xml:space="preserve"> CIS</w:t>
      </w:r>
      <w:r w:rsidR="00963493" w:rsidRPr="003D7417">
        <w:rPr>
          <w:rFonts w:ascii="Segoe UI" w:hAnsi="Segoe UI" w:cs="Segoe UI"/>
          <w:sz w:val="18"/>
          <w:szCs w:val="18"/>
          <w:shd w:val="clear" w:color="auto" w:fill="FFFFFF"/>
          <w:lang w:val="pl-PL"/>
        </w:rPr>
        <w:t xml:space="preserve"> </w:t>
      </w:r>
      <w:r w:rsidR="00963493" w:rsidRPr="003D7417">
        <w:rPr>
          <w:rFonts w:asciiTheme="majorHAnsi" w:hAnsiTheme="majorHAnsi" w:cstheme="majorHAnsi"/>
          <w:b/>
          <w:sz w:val="20"/>
          <w:lang w:val="pl-PL"/>
        </w:rPr>
        <w:t>w Capgemini Polska.</w:t>
      </w:r>
    </w:p>
    <w:p w14:paraId="33DD3436" w14:textId="77777777" w:rsidR="00BE5530" w:rsidRPr="00E958D6" w:rsidRDefault="00BE5530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D" w14:textId="61D06B10" w:rsidR="00313CBB" w:rsidRPr="00BE5530" w:rsidRDefault="00BE5530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Z</w:t>
      </w:r>
      <w:r w:rsidR="0097458D" w:rsidRPr="00BE5530">
        <w:rPr>
          <w:rFonts w:asciiTheme="majorHAnsi" w:hAnsiTheme="majorHAnsi" w:cstheme="majorHAnsi"/>
          <w:b/>
          <w:sz w:val="20"/>
        </w:rPr>
        <w:t>arządzanie</w:t>
      </w:r>
    </w:p>
    <w:p w14:paraId="13A82759" w14:textId="23FDEE23" w:rsidR="00BE5530" w:rsidRPr="00E958D6" w:rsidRDefault="00042066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042066">
        <w:rPr>
          <w:rFonts w:asciiTheme="majorHAnsi" w:hAnsiTheme="majorHAnsi" w:cstheme="majorHAnsi"/>
          <w:sz w:val="20"/>
        </w:rPr>
        <w:t xml:space="preserve">Wdrożenie chmury </w:t>
      </w:r>
      <w:r w:rsidR="00754C1D">
        <w:rPr>
          <w:rFonts w:asciiTheme="majorHAnsi" w:hAnsiTheme="majorHAnsi" w:cstheme="majorHAnsi"/>
          <w:sz w:val="20"/>
        </w:rPr>
        <w:t>to złożony proces, co wynika</w:t>
      </w:r>
      <w:r w:rsidRPr="00042066">
        <w:rPr>
          <w:rFonts w:asciiTheme="majorHAnsi" w:hAnsiTheme="majorHAnsi" w:cstheme="majorHAnsi"/>
          <w:sz w:val="20"/>
        </w:rPr>
        <w:t xml:space="preserve"> </w:t>
      </w:r>
      <w:r w:rsidR="00754C1D">
        <w:rPr>
          <w:rFonts w:asciiTheme="majorHAnsi" w:hAnsiTheme="majorHAnsi" w:cstheme="majorHAnsi"/>
          <w:sz w:val="20"/>
        </w:rPr>
        <w:t xml:space="preserve">m.in. z mnogości </w:t>
      </w:r>
      <w:r w:rsidRPr="00042066">
        <w:rPr>
          <w:rFonts w:asciiTheme="majorHAnsi" w:hAnsiTheme="majorHAnsi" w:cstheme="majorHAnsi"/>
          <w:sz w:val="20"/>
        </w:rPr>
        <w:t>dostawców i usług, wyzwa</w:t>
      </w:r>
      <w:r w:rsidR="00754C1D">
        <w:rPr>
          <w:rFonts w:asciiTheme="majorHAnsi" w:hAnsiTheme="majorHAnsi" w:cstheme="majorHAnsi"/>
          <w:sz w:val="20"/>
        </w:rPr>
        <w:t>ń związanych z bezpieczeństwem</w:t>
      </w:r>
      <w:r w:rsidRPr="00042066">
        <w:rPr>
          <w:rFonts w:asciiTheme="majorHAnsi" w:hAnsiTheme="majorHAnsi" w:cstheme="majorHAnsi"/>
          <w:sz w:val="20"/>
        </w:rPr>
        <w:t xml:space="preserve">, </w:t>
      </w:r>
      <w:r w:rsidR="00754C1D">
        <w:rPr>
          <w:rFonts w:asciiTheme="majorHAnsi" w:hAnsiTheme="majorHAnsi" w:cstheme="majorHAnsi"/>
          <w:sz w:val="20"/>
        </w:rPr>
        <w:t xml:space="preserve">czy </w:t>
      </w:r>
      <w:r w:rsidRPr="00042066">
        <w:rPr>
          <w:rFonts w:asciiTheme="majorHAnsi" w:hAnsiTheme="majorHAnsi" w:cstheme="majorHAnsi"/>
          <w:sz w:val="20"/>
        </w:rPr>
        <w:t xml:space="preserve">czynników zewnętrznych, takich jak </w:t>
      </w:r>
      <w:r w:rsidR="00754C1D">
        <w:rPr>
          <w:rFonts w:asciiTheme="majorHAnsi" w:hAnsiTheme="majorHAnsi" w:cstheme="majorHAnsi"/>
          <w:sz w:val="20"/>
        </w:rPr>
        <w:t>obowiązujące regulacje.</w:t>
      </w:r>
      <w:r w:rsidRPr="00042066">
        <w:rPr>
          <w:rFonts w:asciiTheme="majorHAnsi" w:hAnsiTheme="majorHAnsi" w:cstheme="majorHAnsi"/>
          <w:sz w:val="20"/>
        </w:rPr>
        <w:t xml:space="preserve"> Aby sprostać tym wyzwaniom, </w:t>
      </w:r>
      <w:r w:rsidR="00754C1D">
        <w:rPr>
          <w:rFonts w:asciiTheme="majorHAnsi" w:hAnsiTheme="majorHAnsi" w:cstheme="majorHAnsi"/>
          <w:sz w:val="20"/>
        </w:rPr>
        <w:t>kluczowy jest odpowiedni</w:t>
      </w:r>
      <w:r w:rsidRPr="00042066">
        <w:rPr>
          <w:rFonts w:asciiTheme="majorHAnsi" w:hAnsiTheme="majorHAnsi" w:cstheme="majorHAnsi"/>
          <w:sz w:val="20"/>
        </w:rPr>
        <w:t xml:space="preserve"> model zarządzania.</w:t>
      </w:r>
      <w:r>
        <w:rPr>
          <w:rFonts w:asciiTheme="majorHAnsi" w:hAnsiTheme="majorHAnsi" w:cstheme="majorHAnsi"/>
          <w:sz w:val="20"/>
        </w:rPr>
        <w:t xml:space="preserve"> </w:t>
      </w:r>
      <w:r w:rsidR="00BE5530" w:rsidRPr="00BE5530">
        <w:rPr>
          <w:rFonts w:asciiTheme="majorHAnsi" w:hAnsiTheme="majorHAnsi" w:cstheme="majorHAnsi"/>
          <w:sz w:val="20"/>
        </w:rPr>
        <w:t>Brak nadzoru może generować dodatkowe koszty i odstępstwa od dobrych praktyk zarządzania chmurą,</w:t>
      </w:r>
      <w:r w:rsidR="00754C1D">
        <w:rPr>
          <w:rFonts w:asciiTheme="majorHAnsi" w:hAnsiTheme="majorHAnsi" w:cstheme="majorHAnsi"/>
          <w:sz w:val="20"/>
        </w:rPr>
        <w:t xml:space="preserve"> a działania naprawcze mogą być żmudne i kosztowne. </w:t>
      </w:r>
      <w:r w:rsidR="00BE5530" w:rsidRPr="00BE5530">
        <w:rPr>
          <w:rFonts w:asciiTheme="majorHAnsi" w:hAnsiTheme="majorHAnsi" w:cstheme="majorHAnsi"/>
          <w:sz w:val="20"/>
        </w:rPr>
        <w:t xml:space="preserve">Zarządzanie musi koncentrować się na wszystkich aspektach </w:t>
      </w:r>
      <w:r w:rsidR="00B83A48">
        <w:rPr>
          <w:rFonts w:asciiTheme="majorHAnsi" w:hAnsiTheme="majorHAnsi" w:cstheme="majorHAnsi"/>
          <w:sz w:val="20"/>
        </w:rPr>
        <w:t>migracji</w:t>
      </w:r>
      <w:r w:rsidR="00D8446B">
        <w:rPr>
          <w:rFonts w:asciiTheme="majorHAnsi" w:hAnsiTheme="majorHAnsi" w:cstheme="majorHAnsi"/>
          <w:sz w:val="20"/>
        </w:rPr>
        <w:t xml:space="preserve"> i powinno</w:t>
      </w:r>
      <w:r w:rsidR="00BE5530" w:rsidRPr="00BE5530">
        <w:rPr>
          <w:rFonts w:asciiTheme="majorHAnsi" w:hAnsiTheme="majorHAnsi" w:cstheme="majorHAnsi"/>
          <w:sz w:val="20"/>
        </w:rPr>
        <w:t xml:space="preserve"> obejmować wszystkich interesariuszy</w:t>
      </w:r>
      <w:r w:rsidR="00B83A48">
        <w:rPr>
          <w:rFonts w:asciiTheme="majorHAnsi" w:hAnsiTheme="majorHAnsi" w:cstheme="majorHAnsi"/>
          <w:sz w:val="20"/>
        </w:rPr>
        <w:t xml:space="preserve"> </w:t>
      </w:r>
      <w:r w:rsidR="00D8446B">
        <w:rPr>
          <w:rFonts w:asciiTheme="majorHAnsi" w:hAnsiTheme="majorHAnsi" w:cstheme="majorHAnsi"/>
          <w:sz w:val="20"/>
        </w:rPr>
        <w:t>oraz</w:t>
      </w:r>
      <w:r w:rsidR="00BE5530" w:rsidRPr="00BE5530">
        <w:rPr>
          <w:rFonts w:asciiTheme="majorHAnsi" w:hAnsiTheme="majorHAnsi" w:cstheme="majorHAnsi"/>
          <w:sz w:val="20"/>
        </w:rPr>
        <w:t xml:space="preserve"> zapewni</w:t>
      </w:r>
      <w:r w:rsidR="00B83A48">
        <w:rPr>
          <w:rFonts w:asciiTheme="majorHAnsi" w:hAnsiTheme="majorHAnsi" w:cstheme="majorHAnsi"/>
          <w:sz w:val="20"/>
        </w:rPr>
        <w:t>a</w:t>
      </w:r>
      <w:r w:rsidR="00BE5530" w:rsidRPr="00BE5530">
        <w:rPr>
          <w:rFonts w:asciiTheme="majorHAnsi" w:hAnsiTheme="majorHAnsi" w:cstheme="majorHAnsi"/>
          <w:sz w:val="20"/>
        </w:rPr>
        <w:t xml:space="preserve">ć wsparcie wykonawcze dla przyjęcia chmury. Mechanizm zarządzania </w:t>
      </w:r>
      <w:r w:rsidR="00D8446B">
        <w:rPr>
          <w:rFonts w:asciiTheme="majorHAnsi" w:hAnsiTheme="majorHAnsi" w:cstheme="majorHAnsi"/>
          <w:sz w:val="20"/>
        </w:rPr>
        <w:t>musi</w:t>
      </w:r>
      <w:r w:rsidR="00BE5530" w:rsidRPr="00BE5530">
        <w:rPr>
          <w:rFonts w:asciiTheme="majorHAnsi" w:hAnsiTheme="majorHAnsi" w:cstheme="majorHAnsi"/>
          <w:sz w:val="20"/>
        </w:rPr>
        <w:t xml:space="preserve"> </w:t>
      </w:r>
      <w:r w:rsidR="00B83A48">
        <w:rPr>
          <w:rFonts w:asciiTheme="majorHAnsi" w:hAnsiTheme="majorHAnsi" w:cstheme="majorHAnsi"/>
          <w:sz w:val="20"/>
        </w:rPr>
        <w:t>obejmować system</w:t>
      </w:r>
      <w:r w:rsidR="00BE5530" w:rsidRPr="00BE5530">
        <w:rPr>
          <w:rFonts w:asciiTheme="majorHAnsi" w:hAnsiTheme="majorHAnsi" w:cstheme="majorHAnsi"/>
          <w:sz w:val="20"/>
        </w:rPr>
        <w:t xml:space="preserve"> oceny i kontroli, który pomoże </w:t>
      </w:r>
      <w:r w:rsidR="00B83A48">
        <w:rPr>
          <w:rFonts w:asciiTheme="majorHAnsi" w:hAnsiTheme="majorHAnsi" w:cstheme="majorHAnsi"/>
          <w:sz w:val="20"/>
        </w:rPr>
        <w:t>sprawnie przeprowadzić cały proces oraz</w:t>
      </w:r>
      <w:r w:rsidR="00BE5530" w:rsidRPr="00BE5530">
        <w:rPr>
          <w:rFonts w:asciiTheme="majorHAnsi" w:hAnsiTheme="majorHAnsi" w:cstheme="majorHAnsi"/>
          <w:sz w:val="20"/>
        </w:rPr>
        <w:t xml:space="preserve"> </w:t>
      </w:r>
      <w:r w:rsidR="00A2253C">
        <w:rPr>
          <w:rFonts w:asciiTheme="majorHAnsi" w:hAnsiTheme="majorHAnsi" w:cstheme="majorHAnsi"/>
          <w:sz w:val="20"/>
        </w:rPr>
        <w:t>s</w:t>
      </w:r>
      <w:r w:rsidR="00BE5530" w:rsidRPr="00BE5530">
        <w:rPr>
          <w:rFonts w:asciiTheme="majorHAnsi" w:hAnsiTheme="majorHAnsi" w:cstheme="majorHAnsi"/>
          <w:sz w:val="20"/>
        </w:rPr>
        <w:t>koncentrować się na mierzeniu efektywności i biznesowej wartości dodanej</w:t>
      </w:r>
      <w:r w:rsidR="00B83A48">
        <w:rPr>
          <w:rFonts w:asciiTheme="majorHAnsi" w:hAnsiTheme="majorHAnsi" w:cstheme="majorHAnsi"/>
          <w:sz w:val="20"/>
        </w:rPr>
        <w:t xml:space="preserve">, a także </w:t>
      </w:r>
      <w:r w:rsidR="00BE5530" w:rsidRPr="00BE5530">
        <w:rPr>
          <w:rFonts w:asciiTheme="majorHAnsi" w:hAnsiTheme="majorHAnsi" w:cstheme="majorHAnsi"/>
          <w:sz w:val="20"/>
        </w:rPr>
        <w:t>definiować pro</w:t>
      </w:r>
      <w:r w:rsidR="00B83A48">
        <w:rPr>
          <w:rFonts w:asciiTheme="majorHAnsi" w:hAnsiTheme="majorHAnsi" w:cstheme="majorHAnsi"/>
          <w:sz w:val="20"/>
        </w:rPr>
        <w:t>cesy pomiaru korzyści w chmurze</w:t>
      </w:r>
      <w:r w:rsidR="00BE5530" w:rsidRPr="00BE5530">
        <w:rPr>
          <w:rFonts w:asciiTheme="majorHAnsi" w:hAnsiTheme="majorHAnsi" w:cstheme="majorHAnsi"/>
          <w:sz w:val="20"/>
        </w:rPr>
        <w:t>.</w:t>
      </w:r>
    </w:p>
    <w:p w14:paraId="0000001E" w14:textId="77777777" w:rsidR="00313CBB" w:rsidRPr="00E958D6" w:rsidRDefault="00313CBB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1F" w14:textId="26570416" w:rsidR="00313CBB" w:rsidRPr="00BE5530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Zautomatyzowane operacje IT</w:t>
      </w:r>
    </w:p>
    <w:p w14:paraId="00000020" w14:textId="3798C1C6" w:rsidR="00313CBB" w:rsidRDefault="001158D1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 w:rsidRPr="001158D1">
        <w:rPr>
          <w:rFonts w:asciiTheme="majorHAnsi" w:hAnsiTheme="majorHAnsi" w:cstheme="majorHAnsi"/>
          <w:sz w:val="20"/>
        </w:rPr>
        <w:t>W pełni zautomatyzowane</w:t>
      </w:r>
      <w:r w:rsidR="00D8446B">
        <w:rPr>
          <w:rFonts w:asciiTheme="majorHAnsi" w:hAnsiTheme="majorHAnsi" w:cstheme="majorHAnsi"/>
          <w:sz w:val="20"/>
        </w:rPr>
        <w:t xml:space="preserve"> operacje IT oparte na chmurze</w:t>
      </w:r>
      <w:r w:rsidRPr="001158D1">
        <w:rPr>
          <w:rFonts w:asciiTheme="majorHAnsi" w:hAnsiTheme="majorHAnsi" w:cstheme="majorHAnsi"/>
          <w:sz w:val="20"/>
        </w:rPr>
        <w:t xml:space="preserve">, to </w:t>
      </w:r>
      <w:r w:rsidR="00B83A48">
        <w:rPr>
          <w:rFonts w:asciiTheme="majorHAnsi" w:hAnsiTheme="majorHAnsi" w:cstheme="majorHAnsi"/>
          <w:sz w:val="20"/>
        </w:rPr>
        <w:t xml:space="preserve">kierunek, </w:t>
      </w:r>
      <w:r w:rsidR="00BD068D">
        <w:rPr>
          <w:rFonts w:asciiTheme="majorHAnsi" w:hAnsiTheme="majorHAnsi" w:cstheme="majorHAnsi"/>
          <w:sz w:val="20"/>
        </w:rPr>
        <w:t>do jakiego</w:t>
      </w:r>
      <w:r w:rsidR="00B83A48">
        <w:rPr>
          <w:rFonts w:asciiTheme="majorHAnsi" w:hAnsiTheme="majorHAnsi" w:cstheme="majorHAnsi"/>
          <w:sz w:val="20"/>
        </w:rPr>
        <w:t xml:space="preserve"> dąży branża IT</w:t>
      </w:r>
      <w:r w:rsidRPr="001158D1">
        <w:rPr>
          <w:rFonts w:asciiTheme="majorHAnsi" w:hAnsiTheme="majorHAnsi" w:cstheme="majorHAnsi"/>
          <w:sz w:val="20"/>
        </w:rPr>
        <w:t xml:space="preserve">, </w:t>
      </w:r>
      <w:r w:rsidR="00B83A48">
        <w:rPr>
          <w:rFonts w:asciiTheme="majorHAnsi" w:hAnsiTheme="majorHAnsi" w:cstheme="majorHAnsi"/>
          <w:sz w:val="20"/>
        </w:rPr>
        <w:t>by</w:t>
      </w:r>
      <w:r w:rsidRPr="001158D1">
        <w:rPr>
          <w:rFonts w:asciiTheme="majorHAnsi" w:hAnsiTheme="majorHAnsi" w:cstheme="majorHAnsi"/>
          <w:sz w:val="20"/>
        </w:rPr>
        <w:t xml:space="preserve"> wspierać organizacje </w:t>
      </w:r>
      <w:r w:rsidR="00B83A48">
        <w:rPr>
          <w:rFonts w:asciiTheme="majorHAnsi" w:hAnsiTheme="majorHAnsi" w:cstheme="majorHAnsi"/>
          <w:sz w:val="20"/>
        </w:rPr>
        <w:t>na drodze</w:t>
      </w:r>
      <w:r w:rsidRPr="001158D1">
        <w:rPr>
          <w:rFonts w:asciiTheme="majorHAnsi" w:hAnsiTheme="majorHAnsi" w:cstheme="majorHAnsi"/>
          <w:sz w:val="20"/>
        </w:rPr>
        <w:t xml:space="preserve"> cyfrowej. Model </w:t>
      </w:r>
      <w:r w:rsidR="00B83A48">
        <w:rPr>
          <w:rFonts w:asciiTheme="majorHAnsi" w:hAnsiTheme="majorHAnsi" w:cstheme="majorHAnsi"/>
          <w:sz w:val="20"/>
        </w:rPr>
        <w:t>produktowy</w:t>
      </w:r>
      <w:r w:rsidRPr="001158D1">
        <w:rPr>
          <w:rFonts w:asciiTheme="majorHAnsi" w:hAnsiTheme="majorHAnsi" w:cstheme="majorHAnsi"/>
          <w:sz w:val="20"/>
        </w:rPr>
        <w:t xml:space="preserve"> jest skoncentrowany na wynikach, a wskaźniki KPI są </w:t>
      </w:r>
      <w:r w:rsidR="00B83A48">
        <w:rPr>
          <w:rFonts w:asciiTheme="majorHAnsi" w:hAnsiTheme="majorHAnsi" w:cstheme="majorHAnsi"/>
          <w:sz w:val="20"/>
        </w:rPr>
        <w:t xml:space="preserve">zawsze </w:t>
      </w:r>
      <w:r w:rsidRPr="001158D1">
        <w:rPr>
          <w:rFonts w:asciiTheme="majorHAnsi" w:hAnsiTheme="majorHAnsi" w:cstheme="majorHAnsi"/>
          <w:sz w:val="20"/>
        </w:rPr>
        <w:t>powiązane z wynikami biznesowymi</w:t>
      </w:r>
      <w:r w:rsidRPr="00761D80">
        <w:rPr>
          <w:rFonts w:asciiTheme="majorHAnsi" w:hAnsiTheme="majorHAnsi" w:cstheme="majorHAnsi"/>
          <w:sz w:val="20"/>
        </w:rPr>
        <w:t xml:space="preserve">. </w:t>
      </w:r>
      <w:r w:rsidR="00D8446B" w:rsidRPr="00761D80">
        <w:rPr>
          <w:rFonts w:asciiTheme="majorHAnsi" w:hAnsiTheme="majorHAnsi" w:cstheme="majorHAnsi"/>
          <w:sz w:val="20"/>
        </w:rPr>
        <w:t>Z</w:t>
      </w:r>
      <w:r w:rsidRPr="00761D80">
        <w:rPr>
          <w:rFonts w:asciiTheme="majorHAnsi" w:hAnsiTheme="majorHAnsi" w:cstheme="majorHAnsi"/>
          <w:sz w:val="20"/>
        </w:rPr>
        <w:t xml:space="preserve">espół </w:t>
      </w:r>
      <w:r w:rsidR="00761D80" w:rsidRPr="00761D80">
        <w:rPr>
          <w:rFonts w:asciiTheme="majorHAnsi" w:hAnsiTheme="majorHAnsi" w:cstheme="majorHAnsi"/>
          <w:sz w:val="20"/>
        </w:rPr>
        <w:t xml:space="preserve">produktowy powinien składać się z </w:t>
      </w:r>
      <w:r w:rsidRPr="00761D80">
        <w:rPr>
          <w:rFonts w:asciiTheme="majorHAnsi" w:hAnsiTheme="majorHAnsi" w:cstheme="majorHAnsi"/>
          <w:sz w:val="20"/>
        </w:rPr>
        <w:t>osób o różnych umiejętnościach</w:t>
      </w:r>
      <w:r w:rsidR="00042066" w:rsidRPr="00761D80">
        <w:rPr>
          <w:rFonts w:asciiTheme="majorHAnsi" w:hAnsiTheme="majorHAnsi" w:cstheme="majorHAnsi"/>
          <w:sz w:val="20"/>
        </w:rPr>
        <w:t xml:space="preserve"> </w:t>
      </w:r>
      <w:r w:rsidR="00761D80" w:rsidRPr="00761D80">
        <w:rPr>
          <w:rFonts w:asciiTheme="majorHAnsi" w:hAnsiTheme="majorHAnsi" w:cstheme="majorHAnsi"/>
          <w:sz w:val="20"/>
        </w:rPr>
        <w:t xml:space="preserve">i </w:t>
      </w:r>
      <w:r w:rsidRPr="00761D80">
        <w:rPr>
          <w:rFonts w:asciiTheme="majorHAnsi" w:hAnsiTheme="majorHAnsi" w:cstheme="majorHAnsi"/>
          <w:sz w:val="20"/>
        </w:rPr>
        <w:t>ściśle współpracować we wszystkich aspektach rozwoju, aby zapewnić optymalne wyniki, od dostarczania po prowadzenie zespołu SCRUM do</w:t>
      </w:r>
      <w:r w:rsidR="00042066" w:rsidRPr="00761D80">
        <w:rPr>
          <w:rFonts w:asciiTheme="majorHAnsi" w:hAnsiTheme="majorHAnsi" w:cstheme="majorHAnsi"/>
          <w:sz w:val="20"/>
        </w:rPr>
        <w:t xml:space="preserve"> </w:t>
      </w:r>
      <w:r w:rsidRPr="00761D80">
        <w:rPr>
          <w:rFonts w:asciiTheme="majorHAnsi" w:hAnsiTheme="majorHAnsi" w:cstheme="majorHAnsi"/>
          <w:sz w:val="20"/>
        </w:rPr>
        <w:t>rozw</w:t>
      </w:r>
      <w:r w:rsidR="00761D80" w:rsidRPr="00761D80">
        <w:rPr>
          <w:rFonts w:asciiTheme="majorHAnsi" w:hAnsiTheme="majorHAnsi" w:cstheme="majorHAnsi"/>
          <w:sz w:val="20"/>
        </w:rPr>
        <w:t>oju</w:t>
      </w:r>
      <w:r w:rsidRPr="00761D80">
        <w:rPr>
          <w:rFonts w:asciiTheme="majorHAnsi" w:hAnsiTheme="majorHAnsi" w:cstheme="majorHAnsi"/>
          <w:sz w:val="20"/>
        </w:rPr>
        <w:t xml:space="preserve">, </w:t>
      </w:r>
      <w:r w:rsidR="00761D80" w:rsidRPr="00761D80">
        <w:rPr>
          <w:rFonts w:asciiTheme="majorHAnsi" w:hAnsiTheme="majorHAnsi" w:cstheme="majorHAnsi"/>
          <w:sz w:val="20"/>
        </w:rPr>
        <w:t xml:space="preserve">przez </w:t>
      </w:r>
      <w:r w:rsidRPr="00761D80">
        <w:rPr>
          <w:rFonts w:asciiTheme="majorHAnsi" w:hAnsiTheme="majorHAnsi" w:cstheme="majorHAnsi"/>
          <w:sz w:val="20"/>
        </w:rPr>
        <w:t xml:space="preserve">potok CI/CD i </w:t>
      </w:r>
      <w:r w:rsidR="00761D80" w:rsidRPr="00761D80">
        <w:rPr>
          <w:rFonts w:asciiTheme="majorHAnsi" w:hAnsiTheme="majorHAnsi" w:cstheme="majorHAnsi"/>
          <w:sz w:val="20"/>
        </w:rPr>
        <w:t xml:space="preserve">ostatecznie – </w:t>
      </w:r>
      <w:r w:rsidRPr="00761D80">
        <w:rPr>
          <w:rFonts w:asciiTheme="majorHAnsi" w:hAnsiTheme="majorHAnsi" w:cstheme="majorHAnsi"/>
          <w:sz w:val="20"/>
        </w:rPr>
        <w:t>wydanie produktu. Jest to model, w którym wszyscy dzielą odpowiedzialność za maksym</w:t>
      </w:r>
      <w:r w:rsidR="00042066" w:rsidRPr="00761D80">
        <w:rPr>
          <w:rFonts w:asciiTheme="majorHAnsi" w:hAnsiTheme="majorHAnsi" w:cstheme="majorHAnsi"/>
          <w:sz w:val="20"/>
        </w:rPr>
        <w:t>alizację szybkości i zwinności.</w:t>
      </w:r>
    </w:p>
    <w:p w14:paraId="343A8EE9" w14:textId="77777777" w:rsidR="00BE5530" w:rsidRPr="00E958D6" w:rsidRDefault="00BE5530" w:rsidP="00761D80">
      <w:pPr>
        <w:spacing w:line="252" w:lineRule="auto"/>
        <w:rPr>
          <w:rFonts w:asciiTheme="majorHAnsi" w:hAnsiTheme="majorHAnsi" w:cstheme="majorHAnsi"/>
          <w:sz w:val="20"/>
        </w:rPr>
      </w:pPr>
    </w:p>
    <w:p w14:paraId="00000022" w14:textId="0C642634" w:rsidR="00313CBB" w:rsidRPr="00042066" w:rsidRDefault="0097458D" w:rsidP="00761D80">
      <w:pPr>
        <w:spacing w:line="252" w:lineRule="auto"/>
        <w:rPr>
          <w:rFonts w:asciiTheme="majorHAnsi" w:hAnsiTheme="majorHAnsi" w:cstheme="majorHAnsi"/>
          <w:b/>
          <w:sz w:val="20"/>
        </w:rPr>
      </w:pPr>
      <w:r w:rsidRPr="00BE5530">
        <w:rPr>
          <w:rFonts w:asciiTheme="majorHAnsi" w:hAnsiTheme="majorHAnsi" w:cstheme="majorHAnsi"/>
          <w:b/>
          <w:sz w:val="20"/>
        </w:rPr>
        <w:t>Zrównoważony rozwój</w:t>
      </w:r>
    </w:p>
    <w:p w14:paraId="76E47EFA" w14:textId="2C0A940F" w:rsidR="00B83A48" w:rsidRDefault="00B83A48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Odpowiedzialność</w:t>
      </w:r>
      <w:r w:rsidR="001158D1" w:rsidRPr="001158D1">
        <w:rPr>
          <w:rFonts w:asciiTheme="majorHAnsi" w:hAnsiTheme="majorHAnsi" w:cstheme="majorHAnsi"/>
          <w:sz w:val="20"/>
        </w:rPr>
        <w:t xml:space="preserve"> za zmiany klimatyczne i redukcję emisji dwutlenku </w:t>
      </w:r>
      <w:r>
        <w:rPr>
          <w:rFonts w:asciiTheme="majorHAnsi" w:hAnsiTheme="majorHAnsi" w:cstheme="majorHAnsi"/>
          <w:sz w:val="20"/>
        </w:rPr>
        <w:t>oraz</w:t>
      </w:r>
      <w:r w:rsidR="001158D1" w:rsidRPr="001158D1">
        <w:rPr>
          <w:rFonts w:asciiTheme="majorHAnsi" w:hAnsiTheme="majorHAnsi" w:cstheme="majorHAnsi"/>
          <w:sz w:val="20"/>
        </w:rPr>
        <w:t xml:space="preserve"> zrównoważony rozwój </w:t>
      </w:r>
      <w:r>
        <w:rPr>
          <w:rFonts w:asciiTheme="majorHAnsi" w:hAnsiTheme="majorHAnsi" w:cstheme="majorHAnsi"/>
          <w:sz w:val="20"/>
        </w:rPr>
        <w:t>to</w:t>
      </w:r>
      <w:r w:rsidR="001158D1" w:rsidRPr="001158D1">
        <w:rPr>
          <w:rFonts w:asciiTheme="majorHAnsi" w:hAnsiTheme="majorHAnsi" w:cstheme="majorHAnsi"/>
          <w:sz w:val="20"/>
        </w:rPr>
        <w:t xml:space="preserve"> kluczow</w:t>
      </w:r>
      <w:r>
        <w:rPr>
          <w:rFonts w:asciiTheme="majorHAnsi" w:hAnsiTheme="majorHAnsi" w:cstheme="majorHAnsi"/>
          <w:sz w:val="20"/>
        </w:rPr>
        <w:t xml:space="preserve">e czynniki w realizacji odpowiedzialnej </w:t>
      </w:r>
      <w:r w:rsidR="00042066">
        <w:rPr>
          <w:rFonts w:asciiTheme="majorHAnsi" w:hAnsiTheme="majorHAnsi" w:cstheme="majorHAnsi"/>
          <w:sz w:val="20"/>
        </w:rPr>
        <w:t xml:space="preserve">transformacji w chmurze. </w:t>
      </w:r>
      <w:r>
        <w:rPr>
          <w:rFonts w:asciiTheme="majorHAnsi" w:hAnsiTheme="majorHAnsi" w:cstheme="majorHAnsi"/>
          <w:sz w:val="20"/>
        </w:rPr>
        <w:t xml:space="preserve">Taka transformacja powinna być </w:t>
      </w:r>
      <w:r w:rsidR="001158D1" w:rsidRPr="001158D1">
        <w:rPr>
          <w:rFonts w:asciiTheme="majorHAnsi" w:hAnsiTheme="majorHAnsi" w:cstheme="majorHAnsi"/>
          <w:sz w:val="20"/>
        </w:rPr>
        <w:t>zaplanowan</w:t>
      </w:r>
      <w:r>
        <w:rPr>
          <w:rFonts w:asciiTheme="majorHAnsi" w:hAnsiTheme="majorHAnsi" w:cstheme="majorHAnsi"/>
          <w:sz w:val="20"/>
        </w:rPr>
        <w:t>a</w:t>
      </w:r>
      <w:r w:rsidR="001158D1" w:rsidRPr="001158D1">
        <w:rPr>
          <w:rFonts w:asciiTheme="majorHAnsi" w:hAnsiTheme="majorHAnsi" w:cstheme="majorHAnsi"/>
          <w:sz w:val="20"/>
        </w:rPr>
        <w:t xml:space="preserve"> z wyprzedzeniem</w:t>
      </w:r>
      <w:r>
        <w:rPr>
          <w:rFonts w:asciiTheme="majorHAnsi" w:hAnsiTheme="majorHAnsi" w:cstheme="majorHAnsi"/>
          <w:sz w:val="20"/>
        </w:rPr>
        <w:t xml:space="preserve">, </w:t>
      </w:r>
      <w:r w:rsidR="00761D80">
        <w:rPr>
          <w:rFonts w:asciiTheme="majorHAnsi" w:hAnsiTheme="majorHAnsi" w:cstheme="majorHAnsi"/>
          <w:sz w:val="20"/>
        </w:rPr>
        <w:t xml:space="preserve">a </w:t>
      </w:r>
      <w:r>
        <w:rPr>
          <w:rFonts w:asciiTheme="majorHAnsi" w:hAnsiTheme="majorHAnsi" w:cstheme="majorHAnsi"/>
          <w:sz w:val="20"/>
        </w:rPr>
        <w:t xml:space="preserve">w całym procesie </w:t>
      </w:r>
      <w:r w:rsidR="001158D1" w:rsidRPr="001158D1">
        <w:rPr>
          <w:rFonts w:asciiTheme="majorHAnsi" w:hAnsiTheme="majorHAnsi" w:cstheme="majorHAnsi"/>
          <w:sz w:val="20"/>
        </w:rPr>
        <w:t>należy pamię</w:t>
      </w:r>
      <w:r w:rsidR="007C43BA">
        <w:rPr>
          <w:rFonts w:asciiTheme="majorHAnsi" w:hAnsiTheme="majorHAnsi" w:cstheme="majorHAnsi"/>
          <w:sz w:val="20"/>
        </w:rPr>
        <w:t>tać o działaniach takich, jak w</w:t>
      </w:r>
      <w:r w:rsidR="001158D1" w:rsidRPr="001158D1">
        <w:rPr>
          <w:rFonts w:asciiTheme="majorHAnsi" w:hAnsiTheme="majorHAnsi" w:cstheme="majorHAnsi"/>
          <w:sz w:val="20"/>
        </w:rPr>
        <w:t>yznacz</w:t>
      </w:r>
      <w:r w:rsidR="007C43BA">
        <w:rPr>
          <w:rFonts w:asciiTheme="majorHAnsi" w:hAnsiTheme="majorHAnsi" w:cstheme="majorHAnsi"/>
          <w:sz w:val="20"/>
        </w:rPr>
        <w:t xml:space="preserve">enie </w:t>
      </w:r>
      <w:r>
        <w:rPr>
          <w:rFonts w:asciiTheme="majorHAnsi" w:hAnsiTheme="majorHAnsi" w:cstheme="majorHAnsi"/>
          <w:sz w:val="20"/>
        </w:rPr>
        <w:t>osób odpowiedzialnych</w:t>
      </w:r>
      <w:r w:rsidR="001158D1" w:rsidRPr="001158D1">
        <w:rPr>
          <w:rFonts w:asciiTheme="majorHAnsi" w:hAnsiTheme="majorHAnsi" w:cstheme="majorHAnsi"/>
          <w:sz w:val="20"/>
        </w:rPr>
        <w:t xml:space="preserve"> za zarządzanie energią. </w:t>
      </w:r>
      <w:r w:rsidR="00761D80">
        <w:rPr>
          <w:rFonts w:asciiTheme="majorHAnsi" w:hAnsiTheme="majorHAnsi" w:cstheme="majorHAnsi"/>
          <w:sz w:val="20"/>
        </w:rPr>
        <w:t>Te</w:t>
      </w:r>
      <w:r>
        <w:rPr>
          <w:rFonts w:asciiTheme="majorHAnsi" w:hAnsiTheme="majorHAnsi" w:cstheme="majorHAnsi"/>
          <w:sz w:val="20"/>
        </w:rPr>
        <w:t xml:space="preserve"> osoby powinny</w:t>
      </w:r>
      <w:r w:rsidR="001158D1" w:rsidRPr="001158D1">
        <w:rPr>
          <w:rFonts w:asciiTheme="majorHAnsi" w:hAnsiTheme="majorHAnsi" w:cstheme="majorHAnsi"/>
          <w:sz w:val="20"/>
        </w:rPr>
        <w:t xml:space="preserve"> stale kwestionować planowanie wszystkich jednostek operacyjnych, zaszczepiając nastawienie polegające na monitorowaniu zużycia energii i próbach optymaliza</w:t>
      </w:r>
      <w:r w:rsidR="007C43BA">
        <w:rPr>
          <w:rFonts w:asciiTheme="majorHAnsi" w:hAnsiTheme="majorHAnsi" w:cstheme="majorHAnsi"/>
          <w:sz w:val="20"/>
        </w:rPr>
        <w:t>cji. Obejmuje to wewnętrzne</w:t>
      </w:r>
      <w:r>
        <w:rPr>
          <w:rFonts w:asciiTheme="majorHAnsi" w:hAnsiTheme="majorHAnsi" w:cstheme="majorHAnsi"/>
          <w:sz w:val="20"/>
        </w:rPr>
        <w:t xml:space="preserve"> i</w:t>
      </w:r>
      <w:r w:rsidR="001158D1" w:rsidRPr="001158D1">
        <w:rPr>
          <w:rFonts w:asciiTheme="majorHAnsi" w:hAnsiTheme="majorHAnsi" w:cstheme="majorHAnsi"/>
          <w:sz w:val="20"/>
        </w:rPr>
        <w:t xml:space="preserve"> zewnętrzne zużycie energii dla wszystkich części ogólnej konfiguracji IT i stanu docelowego.</w:t>
      </w:r>
      <w:r w:rsidR="007C43BA">
        <w:rPr>
          <w:rFonts w:asciiTheme="majorHAnsi" w:hAnsiTheme="majorHAnsi" w:cstheme="majorHAnsi"/>
          <w:sz w:val="20"/>
        </w:rPr>
        <w:t xml:space="preserve"> </w:t>
      </w:r>
    </w:p>
    <w:p w14:paraId="0599AB05" w14:textId="77777777" w:rsidR="00B83A48" w:rsidRDefault="00B83A48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</w:p>
    <w:p w14:paraId="4C5455F5" w14:textId="78A33517" w:rsidR="00E958D6" w:rsidRPr="0022051E" w:rsidRDefault="0022051E" w:rsidP="00761D80">
      <w:pPr>
        <w:spacing w:line="252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Capgemini rekomenduje organizacjom mierzenie i monitorowanie zużycia energii przez aplikacje oraz stałą ocenę </w:t>
      </w:r>
      <w:r w:rsidR="001158D1" w:rsidRPr="0022051E">
        <w:rPr>
          <w:rFonts w:asciiTheme="majorHAnsi" w:hAnsiTheme="majorHAnsi" w:cstheme="majorHAnsi"/>
          <w:sz w:val="20"/>
        </w:rPr>
        <w:t>wpływ</w:t>
      </w:r>
      <w:r>
        <w:rPr>
          <w:rFonts w:asciiTheme="majorHAnsi" w:hAnsiTheme="majorHAnsi" w:cstheme="majorHAnsi"/>
          <w:sz w:val="20"/>
        </w:rPr>
        <w:t>u</w:t>
      </w:r>
      <w:r w:rsidR="001158D1" w:rsidRPr="0022051E">
        <w:rPr>
          <w:rFonts w:asciiTheme="majorHAnsi" w:hAnsiTheme="majorHAnsi" w:cstheme="majorHAnsi"/>
          <w:sz w:val="20"/>
        </w:rPr>
        <w:t xml:space="preserve"> dział</w:t>
      </w:r>
      <w:r>
        <w:rPr>
          <w:rFonts w:asciiTheme="majorHAnsi" w:hAnsiTheme="majorHAnsi" w:cstheme="majorHAnsi"/>
          <w:sz w:val="20"/>
        </w:rPr>
        <w:t xml:space="preserve">ów </w:t>
      </w:r>
      <w:r w:rsidR="007C43BA" w:rsidRPr="0022051E">
        <w:rPr>
          <w:rFonts w:asciiTheme="majorHAnsi" w:hAnsiTheme="majorHAnsi" w:cstheme="majorHAnsi"/>
          <w:sz w:val="20"/>
        </w:rPr>
        <w:t xml:space="preserve">IT na środowisko. </w:t>
      </w:r>
      <w:r>
        <w:rPr>
          <w:rFonts w:asciiTheme="majorHAnsi" w:hAnsiTheme="majorHAnsi" w:cstheme="majorHAnsi"/>
          <w:sz w:val="20"/>
        </w:rPr>
        <w:t xml:space="preserve">Firmy powinny mieć </w:t>
      </w:r>
      <w:r w:rsidR="001158D1" w:rsidRPr="0022051E">
        <w:rPr>
          <w:rFonts w:asciiTheme="majorHAnsi" w:hAnsiTheme="majorHAnsi" w:cstheme="majorHAnsi"/>
          <w:sz w:val="20"/>
        </w:rPr>
        <w:t>wgląd w redukcję emisji CO2 poprzez strategie transformacji, takie jak konsolidacja, migracja do chm</w:t>
      </w:r>
      <w:r w:rsidRPr="0022051E">
        <w:rPr>
          <w:rFonts w:asciiTheme="majorHAnsi" w:hAnsiTheme="majorHAnsi" w:cstheme="majorHAnsi"/>
          <w:sz w:val="20"/>
        </w:rPr>
        <w:t>ury i/lub wycofywanie aplikacji</w:t>
      </w:r>
      <w:r w:rsidR="001158D1" w:rsidRPr="0022051E">
        <w:rPr>
          <w:rFonts w:asciiTheme="majorHAnsi" w:hAnsiTheme="majorHAnsi" w:cstheme="majorHAnsi"/>
          <w:sz w:val="20"/>
        </w:rPr>
        <w:t xml:space="preserve">. </w:t>
      </w:r>
      <w:r>
        <w:rPr>
          <w:rFonts w:asciiTheme="majorHAnsi" w:hAnsiTheme="majorHAnsi" w:cstheme="majorHAnsi"/>
          <w:sz w:val="20"/>
        </w:rPr>
        <w:t>Stawianie na „zielone rozwiązania” wszędzie tam, gdzie to możliwe, pozwoli na wdrożenie zrównoważonej transformacji cyfrowej – a tylko taka dziś powinna mieć miejsce.</w:t>
      </w:r>
    </w:p>
    <w:p w14:paraId="5A727F8E" w14:textId="77777777" w:rsidR="00E958D6" w:rsidRDefault="00E958D6" w:rsidP="00FC48BF">
      <w:pPr>
        <w:spacing w:line="240" w:lineRule="auto"/>
        <w:rPr>
          <w:rFonts w:asciiTheme="majorHAnsi" w:hAnsiTheme="majorHAnsi" w:cstheme="majorHAnsi"/>
          <w:sz w:val="20"/>
        </w:rPr>
      </w:pPr>
    </w:p>
    <w:p w14:paraId="55FF5957" w14:textId="77777777" w:rsidR="00B83A48" w:rsidRDefault="00B83A48">
      <w:pPr>
        <w:rPr>
          <w:rFonts w:asciiTheme="majorHAnsi" w:hAnsiTheme="majorHAnsi" w:cstheme="majorHAnsi"/>
          <w:sz w:val="20"/>
        </w:rPr>
      </w:pPr>
    </w:p>
    <w:p w14:paraId="543A1975" w14:textId="77777777" w:rsidR="00E958D6" w:rsidRPr="00595066" w:rsidRDefault="00E958D6" w:rsidP="00E958D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595066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3EF89ED" w14:textId="77777777" w:rsidR="00E958D6" w:rsidRPr="00406E1A" w:rsidRDefault="00E958D6" w:rsidP="00E958D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406E1A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300 000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278B1C92" w14:textId="77777777" w:rsidR="00E958D6" w:rsidRPr="00406E1A" w:rsidRDefault="00E958D6" w:rsidP="00E958D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5944579" w14:textId="6B92E222" w:rsidR="00E958D6" w:rsidRPr="00406E1A" w:rsidRDefault="00E958D6" w:rsidP="00D8446B">
      <w:pPr>
        <w:pStyle w:val="null"/>
        <w:spacing w:before="0" w:beforeAutospacing="0" w:after="0" w:afterAutospacing="0"/>
        <w:jc w:val="both"/>
        <w:rPr>
          <w:rFonts w:ascii="Verdana" w:hAnsi="Verdana"/>
          <w:color w:val="0000FF"/>
          <w:sz w:val="16"/>
          <w:szCs w:val="18"/>
        </w:rPr>
      </w:pPr>
      <w:r w:rsidRPr="00406E1A">
        <w:rPr>
          <w:rStyle w:val="null1"/>
          <w:rFonts w:ascii="Verdana" w:hAnsi="Verdana"/>
          <w:sz w:val="16"/>
          <w:szCs w:val="18"/>
        </w:rPr>
        <w:t>Get The Future You Want | </w:t>
      </w:r>
      <w:hyperlink r:id="rId10" w:anchor="_blank" w:history="1">
        <w:r w:rsidRPr="00406E1A">
          <w:rPr>
            <w:rStyle w:val="null1"/>
            <w:rFonts w:ascii="Verdana" w:hAnsi="Verdana"/>
            <w:color w:val="0000FF"/>
            <w:sz w:val="16"/>
            <w:szCs w:val="18"/>
          </w:rPr>
          <w:t>www.capgemini.com</w:t>
        </w:r>
      </w:hyperlink>
    </w:p>
    <w:sectPr w:rsidR="00E958D6" w:rsidRPr="00406E1A" w:rsidSect="00FC48BF">
      <w:headerReference w:type="default" r:id="rId11"/>
      <w:footerReference w:type="default" r:id="rId12"/>
      <w:pgSz w:w="11909" w:h="16834"/>
      <w:pgMar w:top="152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2A5E" w14:textId="77777777" w:rsidR="009C7A28" w:rsidRDefault="009C7A28" w:rsidP="00E958D6">
      <w:pPr>
        <w:spacing w:line="240" w:lineRule="auto"/>
      </w:pPr>
      <w:r>
        <w:separator/>
      </w:r>
    </w:p>
  </w:endnote>
  <w:endnote w:type="continuationSeparator" w:id="0">
    <w:p w14:paraId="2B840708" w14:textId="77777777" w:rsidR="009C7A28" w:rsidRDefault="009C7A28" w:rsidP="00E9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AE39" w14:textId="7D1B44E4" w:rsidR="0070694B" w:rsidRPr="00391164" w:rsidRDefault="0070694B" w:rsidP="00E958D6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Komentarz ekspercki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EA27" w14:textId="77777777" w:rsidR="009C7A28" w:rsidRDefault="009C7A28" w:rsidP="00E958D6">
      <w:pPr>
        <w:spacing w:line="240" w:lineRule="auto"/>
      </w:pPr>
      <w:r>
        <w:separator/>
      </w:r>
    </w:p>
  </w:footnote>
  <w:footnote w:type="continuationSeparator" w:id="0">
    <w:p w14:paraId="2E3CC5C3" w14:textId="77777777" w:rsidR="009C7A28" w:rsidRDefault="009C7A28" w:rsidP="00E9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2414" w14:textId="151510B9" w:rsidR="0070694B" w:rsidRDefault="0070694B">
    <w:pPr>
      <w:pStyle w:val="Nagwek"/>
    </w:pPr>
    <w:r>
      <w:rPr>
        <w:noProof/>
        <w:lang w:val="pl-PL"/>
      </w:rPr>
      <w:drawing>
        <wp:inline distT="0" distB="0" distL="0" distR="0" wp14:anchorId="642F5721" wp14:editId="072E8999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1CB2"/>
    <w:multiLevelType w:val="hybridMultilevel"/>
    <w:tmpl w:val="DAC4138C"/>
    <w:lvl w:ilvl="0" w:tplc="F9EECE1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3FEE"/>
    <w:multiLevelType w:val="hybridMultilevel"/>
    <w:tmpl w:val="D0C253AE"/>
    <w:lvl w:ilvl="0" w:tplc="55889CF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miecik, Artur">
    <w15:presenceInfo w15:providerId="AD" w15:userId="S::artur.kmiecik@capgemini.com::ef638233-2b16-4037-9a49-8d79d7d35c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CBB"/>
    <w:rsid w:val="0002650E"/>
    <w:rsid w:val="00042066"/>
    <w:rsid w:val="000510C1"/>
    <w:rsid w:val="00077102"/>
    <w:rsid w:val="000911BC"/>
    <w:rsid w:val="000B0640"/>
    <w:rsid w:val="001158D1"/>
    <w:rsid w:val="00191670"/>
    <w:rsid w:val="0020083D"/>
    <w:rsid w:val="0022051E"/>
    <w:rsid w:val="00246E2B"/>
    <w:rsid w:val="002820D4"/>
    <w:rsid w:val="00296909"/>
    <w:rsid w:val="00313CBB"/>
    <w:rsid w:val="003D7417"/>
    <w:rsid w:val="00406E1A"/>
    <w:rsid w:val="004B5A90"/>
    <w:rsid w:val="004D15F3"/>
    <w:rsid w:val="004D61C0"/>
    <w:rsid w:val="00531793"/>
    <w:rsid w:val="00545618"/>
    <w:rsid w:val="0056526B"/>
    <w:rsid w:val="005B59BB"/>
    <w:rsid w:val="0061516C"/>
    <w:rsid w:val="006D7FEB"/>
    <w:rsid w:val="0070694B"/>
    <w:rsid w:val="00713EF0"/>
    <w:rsid w:val="00754C1D"/>
    <w:rsid w:val="00761D80"/>
    <w:rsid w:val="007C43BA"/>
    <w:rsid w:val="007E4BC8"/>
    <w:rsid w:val="00817FD5"/>
    <w:rsid w:val="008470CD"/>
    <w:rsid w:val="008D044D"/>
    <w:rsid w:val="00963493"/>
    <w:rsid w:val="0097458D"/>
    <w:rsid w:val="00986055"/>
    <w:rsid w:val="009909F0"/>
    <w:rsid w:val="009C7A28"/>
    <w:rsid w:val="00A21159"/>
    <w:rsid w:val="00A2253C"/>
    <w:rsid w:val="00AE0057"/>
    <w:rsid w:val="00AE139C"/>
    <w:rsid w:val="00AF6039"/>
    <w:rsid w:val="00B47CF9"/>
    <w:rsid w:val="00B83A48"/>
    <w:rsid w:val="00BD068D"/>
    <w:rsid w:val="00BE5530"/>
    <w:rsid w:val="00C0780D"/>
    <w:rsid w:val="00C3056E"/>
    <w:rsid w:val="00C90091"/>
    <w:rsid w:val="00CF3356"/>
    <w:rsid w:val="00D83EA5"/>
    <w:rsid w:val="00D8446B"/>
    <w:rsid w:val="00D9421E"/>
    <w:rsid w:val="00DD4F19"/>
    <w:rsid w:val="00E366F2"/>
    <w:rsid w:val="00E45270"/>
    <w:rsid w:val="00E958D6"/>
    <w:rsid w:val="00FB0F5F"/>
    <w:rsid w:val="00FC48BF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9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D6"/>
  </w:style>
  <w:style w:type="paragraph" w:styleId="Stopka">
    <w:name w:val="footer"/>
    <w:basedOn w:val="Normalny"/>
    <w:link w:val="StopkaZnak"/>
    <w:uiPriority w:val="99"/>
    <w:unhideWhenUsed/>
    <w:rsid w:val="00E9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D6"/>
  </w:style>
  <w:style w:type="paragraph" w:styleId="Tekstdymka">
    <w:name w:val="Balloon Text"/>
    <w:basedOn w:val="Normalny"/>
    <w:link w:val="TekstdymkaZnak"/>
    <w:uiPriority w:val="99"/>
    <w:semiHidden/>
    <w:unhideWhenUsed/>
    <w:rsid w:val="00E9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8D6"/>
    <w:rPr>
      <w:color w:val="0000FF"/>
      <w:u w:val="single"/>
    </w:rPr>
  </w:style>
  <w:style w:type="paragraph" w:customStyle="1" w:styleId="null">
    <w:name w:val="null"/>
    <w:basedOn w:val="Normalny"/>
    <w:rsid w:val="00E958D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E958D6"/>
  </w:style>
  <w:style w:type="paragraph" w:styleId="Akapitzlist">
    <w:name w:val="List Paragraph"/>
    <w:basedOn w:val="Normalny"/>
    <w:uiPriority w:val="34"/>
    <w:qFormat/>
    <w:rsid w:val="007E4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70"/>
    <w:rPr>
      <w:b/>
      <w:bCs/>
      <w:sz w:val="20"/>
      <w:szCs w:val="20"/>
    </w:rPr>
  </w:style>
  <w:style w:type="character" w:customStyle="1" w:styleId="go">
    <w:name w:val="go"/>
    <w:basedOn w:val="Domylnaczcionkaakapitu"/>
    <w:rsid w:val="003D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9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D6"/>
  </w:style>
  <w:style w:type="paragraph" w:styleId="Stopka">
    <w:name w:val="footer"/>
    <w:basedOn w:val="Normalny"/>
    <w:link w:val="StopkaZnak"/>
    <w:uiPriority w:val="99"/>
    <w:unhideWhenUsed/>
    <w:rsid w:val="00E9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D6"/>
  </w:style>
  <w:style w:type="paragraph" w:styleId="Tekstdymka">
    <w:name w:val="Balloon Text"/>
    <w:basedOn w:val="Normalny"/>
    <w:link w:val="TekstdymkaZnak"/>
    <w:uiPriority w:val="99"/>
    <w:semiHidden/>
    <w:unhideWhenUsed/>
    <w:rsid w:val="00E9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8D6"/>
    <w:rPr>
      <w:color w:val="0000FF"/>
      <w:u w:val="single"/>
    </w:rPr>
  </w:style>
  <w:style w:type="paragraph" w:customStyle="1" w:styleId="null">
    <w:name w:val="null"/>
    <w:basedOn w:val="Normalny"/>
    <w:rsid w:val="00E958D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E958D6"/>
  </w:style>
  <w:style w:type="paragraph" w:styleId="Akapitzlist">
    <w:name w:val="List Paragraph"/>
    <w:basedOn w:val="Normalny"/>
    <w:uiPriority w:val="34"/>
    <w:qFormat/>
    <w:rsid w:val="007E4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70"/>
    <w:rPr>
      <w:b/>
      <w:bCs/>
      <w:sz w:val="20"/>
      <w:szCs w:val="20"/>
    </w:rPr>
  </w:style>
  <w:style w:type="character" w:customStyle="1" w:styleId="go">
    <w:name w:val="go"/>
    <w:basedOn w:val="Domylnaczcionkaakapitu"/>
    <w:rsid w:val="003D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miecik\AppData\Local\Microsoft\Windows\INetCache\Content.Outlook\EP33X1N0\agnieszka.juraszczyk@capgemin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2022-01-28T10:49:00Z</dcterms:created>
  <dcterms:modified xsi:type="dcterms:W3CDTF">2022-02-03T08:49:00Z</dcterms:modified>
</cp:coreProperties>
</file>