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9EA96" w14:textId="056074AA" w:rsidR="00826D11" w:rsidRPr="00FF283A" w:rsidRDefault="00826D11" w:rsidP="00DE1470">
      <w:pPr>
        <w:pStyle w:val="Normalny1"/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</w:pPr>
      <w:r w:rsidRPr="00AC157B">
        <w:rPr>
          <w:rFonts w:ascii="Calibri" w:hAnsi="Calibri" w:cs="Arial"/>
          <w:b/>
          <w:color w:val="165F5F"/>
          <w:sz w:val="24"/>
          <w:szCs w:val="24"/>
          <w:lang w:val="pl-PL"/>
        </w:rPr>
        <w:t>Informacja prasowa</w:t>
      </w:r>
      <w:r w:rsidRPr="00AC157B"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  <w:tab/>
      </w:r>
      <w:r w:rsidRPr="00AC157B"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  <w:tab/>
      </w:r>
      <w:r w:rsidRPr="00AC157B"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  <w:tab/>
      </w:r>
      <w:r w:rsidRPr="00AC157B"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  <w:tab/>
      </w:r>
      <w:r w:rsidRPr="00AC157B"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  <w:tab/>
      </w:r>
      <w:r w:rsidRPr="00AC157B">
        <w:rPr>
          <w:rFonts w:ascii="Calibri" w:hAnsi="Calibri" w:cs="Arial"/>
          <w:b/>
          <w:color w:val="165F5F"/>
          <w:sz w:val="24"/>
          <w:szCs w:val="24"/>
          <w:u w:color="000000"/>
          <w:lang w:val="pl-PL"/>
        </w:rPr>
        <w:tab/>
        <w:t xml:space="preserve">  </w:t>
      </w:r>
    </w:p>
    <w:p w14:paraId="5981401E" w14:textId="23122098" w:rsidR="007D683D" w:rsidRDefault="002047F1" w:rsidP="00EB7909">
      <w:pPr>
        <w:pStyle w:val="Normalny1"/>
        <w:jc w:val="both"/>
        <w:rPr>
          <w:rFonts w:ascii="Calibri" w:hAnsi="Calibri" w:cs="Arial"/>
          <w:color w:val="165F5F"/>
          <w:szCs w:val="22"/>
          <w:u w:color="000000"/>
          <w:lang w:val="pl-PL"/>
        </w:rPr>
      </w:pPr>
      <w:r w:rsidRPr="00AC157B">
        <w:rPr>
          <w:rFonts w:ascii="Calibri" w:hAnsi="Calibri" w:cs="Arial"/>
          <w:color w:val="165F5F"/>
          <w:szCs w:val="22"/>
          <w:u w:color="000000"/>
          <w:lang w:val="pl-PL"/>
        </w:rPr>
        <w:t>Warszawa,</w:t>
      </w:r>
      <w:r w:rsidR="00F94455">
        <w:rPr>
          <w:rFonts w:ascii="Calibri" w:hAnsi="Calibri" w:cs="Arial"/>
          <w:color w:val="165F5F"/>
          <w:szCs w:val="22"/>
          <w:u w:color="000000"/>
          <w:lang w:val="pl-PL"/>
        </w:rPr>
        <w:t xml:space="preserve"> 18</w:t>
      </w:r>
      <w:r w:rsidR="007D683D">
        <w:rPr>
          <w:rFonts w:ascii="Calibri" w:hAnsi="Calibri" w:cs="Arial"/>
          <w:color w:val="165F5F"/>
          <w:szCs w:val="22"/>
          <w:u w:color="000000"/>
          <w:lang w:val="pl-PL"/>
        </w:rPr>
        <w:t xml:space="preserve"> października</w:t>
      </w:r>
      <w:r w:rsidR="00826D11" w:rsidRPr="00AC157B">
        <w:rPr>
          <w:rFonts w:ascii="Calibri" w:hAnsi="Calibri" w:cs="Arial"/>
          <w:color w:val="165F5F"/>
          <w:szCs w:val="22"/>
          <w:u w:color="000000"/>
          <w:lang w:val="pl-PL"/>
        </w:rPr>
        <w:t xml:space="preserve"> 201</w:t>
      </w:r>
      <w:r w:rsidR="00FA7F1A">
        <w:rPr>
          <w:rFonts w:ascii="Calibri" w:hAnsi="Calibri" w:cs="Arial"/>
          <w:color w:val="165F5F"/>
          <w:szCs w:val="22"/>
          <w:u w:color="000000"/>
          <w:lang w:val="pl-PL"/>
        </w:rPr>
        <w:t>6</w:t>
      </w:r>
      <w:r w:rsidR="00826D11" w:rsidRPr="00AC157B">
        <w:rPr>
          <w:rFonts w:ascii="Calibri" w:hAnsi="Calibri" w:cs="Arial"/>
          <w:color w:val="165F5F"/>
          <w:szCs w:val="22"/>
          <w:u w:color="000000"/>
          <w:lang w:val="pl-PL"/>
        </w:rPr>
        <w:t xml:space="preserve"> r.</w:t>
      </w:r>
      <w:r w:rsidR="00826D11" w:rsidRPr="00AC157B">
        <w:rPr>
          <w:rFonts w:ascii="Calibri" w:hAnsi="Calibri" w:cs="Arial"/>
          <w:color w:val="165F5F"/>
          <w:szCs w:val="22"/>
          <w:u w:color="000000"/>
          <w:lang w:val="pl-PL"/>
        </w:rPr>
        <w:cr/>
      </w:r>
      <w:r w:rsidR="00C24D53">
        <w:rPr>
          <w:rFonts w:ascii="Calibri" w:hAnsi="Calibri" w:cs="Arial"/>
          <w:color w:val="165F5F"/>
          <w:szCs w:val="22"/>
          <w:u w:color="000000"/>
          <w:lang w:val="pl-PL"/>
        </w:rPr>
        <w:t>Umowa o wolnym handlu między UE a USA – czy pomoże polskiej branży farmaceutycznej?</w:t>
      </w:r>
    </w:p>
    <w:p w14:paraId="325A463E" w14:textId="77777777" w:rsidR="00C24D53" w:rsidRPr="00B31CA4" w:rsidRDefault="00C24D53" w:rsidP="00EB7909">
      <w:pPr>
        <w:pStyle w:val="Normalny1"/>
        <w:jc w:val="both"/>
        <w:rPr>
          <w:rFonts w:asciiTheme="minorHAnsi" w:hAnsiTheme="minorHAnsi" w:cs="Arial"/>
          <w:color w:val="165F5F"/>
          <w:szCs w:val="22"/>
          <w:u w:color="000000"/>
          <w:lang w:val="pl-PL"/>
        </w:rPr>
      </w:pPr>
    </w:p>
    <w:p w14:paraId="6F697125" w14:textId="322EC5AA" w:rsidR="00C40045" w:rsidRPr="00023DEB" w:rsidRDefault="00C40045" w:rsidP="00023DEB">
      <w:pPr>
        <w:pStyle w:val="NormalnyWeb"/>
        <w:jc w:val="both"/>
        <w:rPr>
          <w:rFonts w:asciiTheme="minorHAnsi" w:hAnsiTheme="minorHAnsi"/>
          <w:b/>
          <w:color w:val="007272"/>
          <w:sz w:val="26"/>
          <w:szCs w:val="26"/>
        </w:rPr>
      </w:pPr>
      <w:r>
        <w:rPr>
          <w:rFonts w:ascii="Calibri" w:hAnsi="Calibri"/>
          <w:b/>
          <w:color w:val="007272"/>
        </w:rPr>
        <w:t xml:space="preserve">CZY UMOWA O WOLNYM HANDLU MIĘDZY UE A USA POMOŻE </w:t>
      </w:r>
      <w:r w:rsidRPr="00B31CA4">
        <w:rPr>
          <w:rStyle w:val="post-excerpt"/>
          <w:rFonts w:asciiTheme="minorHAnsi" w:hAnsiTheme="minorHAnsi"/>
          <w:b/>
          <w:color w:val="007272"/>
          <w:sz w:val="26"/>
          <w:szCs w:val="26"/>
        </w:rPr>
        <w:t>POLSKIEJ BRANŻY FARMACEUTYCZNEJ</w:t>
      </w:r>
      <w:r>
        <w:rPr>
          <w:rStyle w:val="post-excerpt"/>
          <w:rFonts w:asciiTheme="minorHAnsi" w:hAnsiTheme="minorHAnsi"/>
          <w:b/>
          <w:color w:val="007272"/>
          <w:sz w:val="26"/>
          <w:szCs w:val="26"/>
        </w:rPr>
        <w:t>?</w:t>
      </w:r>
    </w:p>
    <w:p w14:paraId="66098C2E" w14:textId="050D5048" w:rsidR="00037FE7" w:rsidRPr="00037FE7" w:rsidRDefault="00037FE7" w:rsidP="00B31CA4">
      <w:pPr>
        <w:pStyle w:val="NormalnyWeb"/>
        <w:numPr>
          <w:ilvl w:val="0"/>
          <w:numId w:val="10"/>
        </w:numPr>
        <w:jc w:val="both"/>
        <w:rPr>
          <w:rFonts w:ascii="Calibri" w:hAnsi="Calibri"/>
          <w:b/>
          <w:color w:val="007272"/>
        </w:rPr>
      </w:pPr>
      <w:r>
        <w:rPr>
          <w:rFonts w:ascii="Calibri" w:hAnsi="Calibri"/>
          <w:b/>
          <w:color w:val="007272"/>
        </w:rPr>
        <w:t>D</w:t>
      </w:r>
      <w:r w:rsidR="007B30E3" w:rsidRPr="00037FE7">
        <w:rPr>
          <w:rFonts w:ascii="Calibri" w:hAnsi="Calibri"/>
          <w:b/>
          <w:color w:val="007272"/>
        </w:rPr>
        <w:t xml:space="preserve">zięki umowie o wolnym handlu między UE a USA, obie </w:t>
      </w:r>
      <w:r w:rsidR="00B31CA4" w:rsidRPr="00037FE7">
        <w:rPr>
          <w:rFonts w:ascii="Calibri" w:hAnsi="Calibri"/>
          <w:b/>
          <w:color w:val="007272"/>
        </w:rPr>
        <w:t>gospodark</w:t>
      </w:r>
      <w:r w:rsidR="007B30E3" w:rsidRPr="00037FE7">
        <w:rPr>
          <w:rFonts w:ascii="Calibri" w:hAnsi="Calibri"/>
          <w:b/>
          <w:color w:val="007272"/>
        </w:rPr>
        <w:t>i</w:t>
      </w:r>
      <w:r w:rsidR="00B31CA4" w:rsidRPr="00037FE7">
        <w:rPr>
          <w:rFonts w:ascii="Calibri" w:hAnsi="Calibri"/>
          <w:b/>
          <w:color w:val="007272"/>
        </w:rPr>
        <w:t xml:space="preserve"> mogą uzys</w:t>
      </w:r>
      <w:r w:rsidR="00DE67D5">
        <w:rPr>
          <w:rFonts w:ascii="Calibri" w:hAnsi="Calibri"/>
          <w:b/>
          <w:color w:val="007272"/>
        </w:rPr>
        <w:t xml:space="preserve">kać 0,5 pkt. proc. </w:t>
      </w:r>
      <w:r w:rsidR="00DE67D5" w:rsidRPr="00DE67D5">
        <w:rPr>
          <w:rFonts w:ascii="Calibri" w:hAnsi="Calibri"/>
          <w:b/>
          <w:color w:val="007272"/>
        </w:rPr>
        <w:t>PKB rocznie</w:t>
      </w:r>
      <w:r w:rsidR="00DE67D5" w:rsidRPr="00DE67D5">
        <w:rPr>
          <w:rStyle w:val="Odwoanieprzypisudolnego"/>
          <w:rFonts w:ascii="Calibri" w:eastAsia="ヒラギノ角ゴ Pro W3" w:hAnsi="Calibri"/>
          <w:sz w:val="22"/>
          <w:szCs w:val="22"/>
        </w:rPr>
        <w:footnoteReference w:id="1"/>
      </w:r>
    </w:p>
    <w:p w14:paraId="08C6B309" w14:textId="150EEC0A" w:rsidR="00037FE7" w:rsidRPr="00037FE7" w:rsidRDefault="00037FE7" w:rsidP="00037FE7">
      <w:pPr>
        <w:pStyle w:val="NormalnyWeb"/>
        <w:numPr>
          <w:ilvl w:val="0"/>
          <w:numId w:val="10"/>
        </w:numPr>
        <w:jc w:val="both"/>
        <w:rPr>
          <w:rFonts w:ascii="Calibri" w:hAnsi="Calibri"/>
          <w:b/>
          <w:color w:val="007272"/>
        </w:rPr>
      </w:pPr>
      <w:r>
        <w:rPr>
          <w:rFonts w:ascii="Calibri" w:hAnsi="Calibri" w:cs="Arial"/>
          <w:b/>
          <w:color w:val="007272"/>
        </w:rPr>
        <w:t>J</w:t>
      </w:r>
      <w:r w:rsidR="00B31CA4" w:rsidRPr="00037FE7">
        <w:rPr>
          <w:rFonts w:ascii="Calibri" w:hAnsi="Calibri" w:cs="Arial"/>
          <w:b/>
          <w:color w:val="007272"/>
        </w:rPr>
        <w:t>eśli udałoby się znieść choćby połowę istniejących obecnie barier poz</w:t>
      </w:r>
      <w:r w:rsidR="007B30E3" w:rsidRPr="00037FE7">
        <w:rPr>
          <w:rFonts w:ascii="Calibri" w:hAnsi="Calibri" w:cs="Arial"/>
          <w:b/>
          <w:color w:val="007272"/>
        </w:rPr>
        <w:t xml:space="preserve">ataryfowych – </w:t>
      </w:r>
      <w:r w:rsidR="00B31CA4" w:rsidRPr="00037FE7">
        <w:rPr>
          <w:rFonts w:ascii="Calibri" w:hAnsi="Calibri" w:cs="Arial"/>
          <w:b/>
          <w:color w:val="007272"/>
        </w:rPr>
        <w:t>transatlantycki handel mógłby wzrosnąć do 2027 r. nawet o 150 mld dol. r</w:t>
      </w:r>
      <w:r w:rsidR="00451E9C">
        <w:rPr>
          <w:rFonts w:ascii="Calibri" w:hAnsi="Calibri" w:cs="Arial"/>
          <w:b/>
          <w:color w:val="007272"/>
        </w:rPr>
        <w:t>ocznie</w:t>
      </w:r>
    </w:p>
    <w:p w14:paraId="6628F04E" w14:textId="0AADF5F7" w:rsidR="00037FE7" w:rsidRPr="00037FE7" w:rsidRDefault="00037FE7" w:rsidP="00037FE7">
      <w:pPr>
        <w:pStyle w:val="NormalnyWeb"/>
        <w:numPr>
          <w:ilvl w:val="0"/>
          <w:numId w:val="10"/>
        </w:numPr>
        <w:jc w:val="both"/>
        <w:rPr>
          <w:rFonts w:ascii="Calibri" w:hAnsi="Calibri"/>
          <w:b/>
          <w:color w:val="007272"/>
        </w:rPr>
      </w:pPr>
      <w:r w:rsidRPr="00037FE7">
        <w:rPr>
          <w:rFonts w:ascii="Calibri" w:hAnsi="Calibri" w:cs="Arial"/>
          <w:b/>
          <w:iCs/>
          <w:color w:val="007272"/>
        </w:rPr>
        <w:t>Wdrożenie umowy niesie równi</w:t>
      </w:r>
      <w:r w:rsidR="00451E9C">
        <w:rPr>
          <w:rFonts w:ascii="Calibri" w:hAnsi="Calibri" w:cs="Arial"/>
          <w:b/>
          <w:iCs/>
          <w:color w:val="007272"/>
        </w:rPr>
        <w:t>eż zagrożenia dla branży, takie</w:t>
      </w:r>
      <w:r w:rsidRPr="00037FE7">
        <w:rPr>
          <w:rFonts w:ascii="Calibri" w:hAnsi="Calibri" w:cs="Arial"/>
          <w:b/>
          <w:iCs/>
          <w:color w:val="007272"/>
        </w:rPr>
        <w:t xml:space="preserve"> jak np. wydłużenie okresu patentowego o c</w:t>
      </w:r>
      <w:r w:rsidR="00451E9C">
        <w:rPr>
          <w:rFonts w:ascii="Calibri" w:hAnsi="Calibri" w:cs="Arial"/>
          <w:b/>
          <w:iCs/>
          <w:color w:val="007272"/>
        </w:rPr>
        <w:t xml:space="preserve">zas </w:t>
      </w:r>
      <w:r w:rsidRPr="00037FE7">
        <w:rPr>
          <w:rFonts w:ascii="Calibri" w:hAnsi="Calibri" w:cs="Arial"/>
          <w:b/>
          <w:iCs/>
          <w:color w:val="007272"/>
        </w:rPr>
        <w:t>na zdobycie zezwoleń od większej liczby agencji regulujących</w:t>
      </w:r>
    </w:p>
    <w:p w14:paraId="3515696B" w14:textId="5EF1D4E2" w:rsidR="00037FE7" w:rsidRPr="00037FE7" w:rsidRDefault="00037FE7" w:rsidP="00037FE7">
      <w:pPr>
        <w:pStyle w:val="NormalnyWeb"/>
        <w:numPr>
          <w:ilvl w:val="0"/>
          <w:numId w:val="10"/>
        </w:numPr>
        <w:jc w:val="both"/>
        <w:rPr>
          <w:rFonts w:ascii="Calibri" w:hAnsi="Calibri"/>
          <w:b/>
          <w:color w:val="007272"/>
        </w:rPr>
      </w:pPr>
      <w:r w:rsidRPr="00037FE7">
        <w:rPr>
          <w:rFonts w:ascii="Calibri" w:hAnsi="Calibri" w:cs="Arial"/>
          <w:b/>
          <w:iCs/>
          <w:color w:val="007272"/>
        </w:rPr>
        <w:t>Porozumienie wprowadzi szereg ułatwień kosztowych dla całej branży</w:t>
      </w:r>
      <w:r w:rsidR="00451E9C">
        <w:rPr>
          <w:rFonts w:ascii="Calibri" w:hAnsi="Calibri" w:cs="Arial"/>
          <w:b/>
          <w:iCs/>
          <w:color w:val="007272"/>
        </w:rPr>
        <w:t>,</w:t>
      </w:r>
      <w:r w:rsidRPr="00037FE7">
        <w:rPr>
          <w:rFonts w:ascii="Calibri" w:hAnsi="Calibri" w:cs="Arial"/>
          <w:b/>
          <w:iCs/>
          <w:color w:val="007272"/>
        </w:rPr>
        <w:t xml:space="preserve"> będzie skutkowało wyższym poziomem konkurencyjności, co jest bezpośrednim wyzwaniem dla polskich firm</w:t>
      </w:r>
      <w:r w:rsidRPr="00037FE7">
        <w:rPr>
          <w:rFonts w:ascii="Calibri" w:hAnsi="Calibri" w:cs="Arial"/>
          <w:i/>
          <w:iCs/>
          <w:color w:val="333333"/>
          <w:sz w:val="22"/>
          <w:szCs w:val="22"/>
        </w:rPr>
        <w:t>.</w:t>
      </w:r>
    </w:p>
    <w:p w14:paraId="0643C2FF" w14:textId="77777777" w:rsidR="0096045B" w:rsidRDefault="0096045B" w:rsidP="00B31CA4">
      <w:pPr>
        <w:jc w:val="both"/>
        <w:rPr>
          <w:rFonts w:ascii="Calibri" w:hAnsi="Calibri" w:cs="Arial"/>
          <w:b/>
          <w:color w:val="007272"/>
          <w:sz w:val="22"/>
          <w:szCs w:val="22"/>
          <w:lang w:val="pl-PL" w:eastAsia="pl-PL"/>
        </w:rPr>
      </w:pPr>
    </w:p>
    <w:p w14:paraId="0708BFC5" w14:textId="77777777" w:rsidR="00B31CA4" w:rsidRPr="00D823A8" w:rsidRDefault="00B31CA4" w:rsidP="00B31CA4">
      <w:pPr>
        <w:jc w:val="both"/>
        <w:rPr>
          <w:rFonts w:ascii="Calibri" w:hAnsi="Calibri" w:cs="Arial"/>
          <w:b/>
          <w:color w:val="007272"/>
          <w:sz w:val="22"/>
          <w:szCs w:val="22"/>
          <w:lang w:val="pl-PL" w:eastAsia="pl-PL"/>
        </w:rPr>
      </w:pPr>
      <w:r w:rsidRPr="00D823A8">
        <w:rPr>
          <w:rFonts w:ascii="Calibri" w:hAnsi="Calibri" w:cs="Arial"/>
          <w:b/>
          <w:color w:val="007272"/>
          <w:sz w:val="22"/>
          <w:szCs w:val="22"/>
          <w:lang w:val="pl-PL" w:eastAsia="pl-PL"/>
        </w:rPr>
        <w:t>Teoretycznie same korzyści</w:t>
      </w:r>
    </w:p>
    <w:p w14:paraId="3715C231" w14:textId="3184CF2D" w:rsidR="00B31CA4" w:rsidRDefault="00B31CA4" w:rsidP="00B31CA4">
      <w:pPr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sz w:val="22"/>
          <w:szCs w:val="22"/>
          <w:lang w:val="pl-PL" w:eastAsia="pl-PL"/>
        </w:rPr>
        <w:t>Celem Transatlantyckiego Partnerstwa na rzecz Handlu i Inwestycji (</w:t>
      </w:r>
      <w:proofErr w:type="spellStart"/>
      <w:r w:rsidRPr="0096045B">
        <w:rPr>
          <w:rFonts w:ascii="Calibri" w:hAnsi="Calibri" w:cs="Arial"/>
          <w:sz w:val="22"/>
          <w:szCs w:val="22"/>
          <w:lang w:val="pl-PL" w:eastAsia="pl-PL"/>
        </w:rPr>
        <w:t>Transatlantic</w:t>
      </w:r>
      <w:proofErr w:type="spellEnd"/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 Trade and Investment </w:t>
      </w:r>
      <w:proofErr w:type="spellStart"/>
      <w:r w:rsidRPr="0096045B">
        <w:rPr>
          <w:rFonts w:ascii="Calibri" w:hAnsi="Calibri" w:cs="Arial"/>
          <w:sz w:val="22"/>
          <w:szCs w:val="22"/>
          <w:lang w:val="pl-PL" w:eastAsia="pl-PL"/>
        </w:rPr>
        <w:t>Partnership</w:t>
      </w:r>
      <w:proofErr w:type="spellEnd"/>
      <w:r w:rsidRPr="0096045B">
        <w:rPr>
          <w:rFonts w:ascii="Calibri" w:hAnsi="Calibri" w:cs="Arial"/>
          <w:sz w:val="22"/>
          <w:szCs w:val="22"/>
          <w:lang w:val="pl-PL" w:eastAsia="pl-PL"/>
        </w:rPr>
        <w:t>, w skrócie TTIP) – tak brzmi oficjalna nazwa umowy – jest utworzenie strefy wolnego handlu pomiędzy Stanami Zjednoczonymi a Unią Europejską. Będzie to tak naprawę umowa handlowa między dwoma najważniejszymi gospodarkami światowymi – Unia Europejska i Stany wytwarzają prawie połowę światowego PKB i odpowiadają za jedną trzecią obrotów handlowych o wartości ponad 700 mld euro rocznie.</w:t>
      </w:r>
    </w:p>
    <w:p w14:paraId="58C79276" w14:textId="077FCC2E" w:rsidR="00B31CA4" w:rsidRPr="0096045B" w:rsidRDefault="00B31CA4" w:rsidP="00B31CA4">
      <w:pPr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Tego typu porozumienie, aby mogło sprawnie funkcjonować, wymaga ujednolicenia różnych norm, </w:t>
      </w:r>
      <w:r w:rsidR="00782F74">
        <w:rPr>
          <w:rFonts w:ascii="Calibri" w:hAnsi="Calibri" w:cs="Arial"/>
          <w:sz w:val="22"/>
          <w:szCs w:val="22"/>
          <w:lang w:val="pl-PL" w:eastAsia="pl-PL"/>
        </w:rPr>
        <w:t xml:space="preserve">         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>a także zniesienia istniejących obecnie barier w handlu – ceł, różnic w regulacjach i technicznych standardach produktów czy usług, ograniczeń w obszarze inwestycji, itp. Właśnie tego wszystkiego dotyczą trwające obecnie negocjacje.</w:t>
      </w:r>
    </w:p>
    <w:p w14:paraId="7B436960" w14:textId="08461F58" w:rsidR="00B31CA4" w:rsidRPr="0096045B" w:rsidRDefault="00B31CA4" w:rsidP="00B31CA4">
      <w:pPr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sz w:val="22"/>
          <w:szCs w:val="22"/>
          <w:lang w:val="pl-PL" w:eastAsia="pl-PL"/>
        </w:rPr>
        <w:t>Po wejściu w życie porozumienia, europejskie, w tym oczywiście te</w:t>
      </w:r>
      <w:r w:rsidR="00D3182C">
        <w:rPr>
          <w:rFonts w:ascii="Calibri" w:hAnsi="Calibri" w:cs="Arial"/>
          <w:sz w:val="22"/>
          <w:szCs w:val="22"/>
          <w:lang w:val="pl-PL" w:eastAsia="pl-PL"/>
        </w:rPr>
        <w:t>ż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 polskie firmy będą mogły więcej eksportować do USA, a także zdobywać kontrakty w ramach zamówień publicznych, korzystniej importować dobra i usługi, także w celu tworzenia własnych produktów końcowych czy inwestować w USA w dużo łatwiejszy niż dziś sposób. Według Komisji Europejskiej, umowa TTIP będzie miała także znaczący wpływ dla tworzenia nowych miejsc pracy, pozwoli obniżyć ceny – poprzez zwiększenie wyboru produktów i usług, wzmocni też pewność inwestorów. W rezultacie – obecne spowolnienie spowodowane kryzysem gospodarczym ma szansę ustąpić wzrostowi gospodarczemu. </w:t>
      </w:r>
    </w:p>
    <w:p w14:paraId="642E71BF" w14:textId="77777777" w:rsidR="00B31CA4" w:rsidRPr="0096045B" w:rsidRDefault="00B31CA4" w:rsidP="00B31CA4">
      <w:pPr>
        <w:rPr>
          <w:rFonts w:ascii="Calibri" w:hAnsi="Calibri" w:cs="Arial"/>
          <w:b/>
          <w:color w:val="007272"/>
          <w:sz w:val="22"/>
          <w:szCs w:val="22"/>
          <w:lang w:val="pl-PL" w:eastAsia="pl-PL"/>
        </w:rPr>
      </w:pPr>
    </w:p>
    <w:p w14:paraId="64CE9F8D" w14:textId="77777777" w:rsidR="00B31CA4" w:rsidRPr="0096045B" w:rsidRDefault="00B31CA4" w:rsidP="00B31CA4">
      <w:pPr>
        <w:rPr>
          <w:rFonts w:ascii="Calibri" w:hAnsi="Calibri" w:cs="Arial"/>
          <w:b/>
          <w:color w:val="007272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b/>
          <w:color w:val="007272"/>
          <w:sz w:val="22"/>
          <w:szCs w:val="22"/>
          <w:lang w:val="pl-PL" w:eastAsia="pl-PL"/>
        </w:rPr>
        <w:t>Potencjalne korzyści dla polskich firm farmaceutycznych</w:t>
      </w:r>
    </w:p>
    <w:p w14:paraId="65CBC507" w14:textId="59C58B9A" w:rsidR="00B31CA4" w:rsidRPr="0096045B" w:rsidRDefault="00B31CA4" w:rsidP="00B31CA4">
      <w:pPr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96045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Według przedstawicieli branży, wejście w życie umowy 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TTIP daje nie tylko możliwość intensyfikacji handlu i inwestycji pomiędzy europejskim i amerykańskim rynkiem. Wartością dodaną w przypadku branży farmaceutycznej mógłby być wspólny program rozwoju dla </w:t>
      </w:r>
      <w:proofErr w:type="spellStart"/>
      <w:r w:rsidRPr="0096045B">
        <w:rPr>
          <w:rFonts w:ascii="Calibri" w:hAnsi="Calibri" w:cs="Arial"/>
          <w:sz w:val="22"/>
          <w:szCs w:val="22"/>
          <w:lang w:val="pl-PL" w:eastAsia="pl-PL"/>
        </w:rPr>
        <w:t>biopodobnych</w:t>
      </w:r>
      <w:proofErr w:type="spellEnd"/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 produktów leczniczych oraz leków generycznych.</w:t>
      </w:r>
      <w:r w:rsidRPr="0096045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>Taki program</w:t>
      </w:r>
      <w:r w:rsidR="00D3182C">
        <w:rPr>
          <w:rFonts w:ascii="Calibri" w:hAnsi="Calibri" w:cs="Arial"/>
          <w:sz w:val="22"/>
          <w:szCs w:val="22"/>
          <w:lang w:val="pl-PL" w:eastAsia="pl-PL"/>
        </w:rPr>
        <w:t>, dzięki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 ograniczeniu wymogu przeprowadzania podwójnych testów i badań klinicznych, znacznie zmniejszyłby koszty prac badawczych nad nowymi lekami. Zniesienie tego wymogu, w połączeniu ze wzajemnym uznawaniem wysokich standardów</w:t>
      </w:r>
      <w:r w:rsidR="00D3182C">
        <w:rPr>
          <w:rFonts w:ascii="Calibri" w:hAnsi="Calibri" w:cs="Arial"/>
          <w:sz w:val="22"/>
          <w:szCs w:val="22"/>
          <w:lang w:val="pl-PL" w:eastAsia="pl-PL"/>
        </w:rPr>
        <w:t>,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 w praktyce przyniosłoby oszczędności liczone w milionach euro w skali roku.</w:t>
      </w:r>
      <w:r w:rsidRPr="0096045B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Inną korzyścią dla branży farmaceutycznej byłaby 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lastRenderedPageBreak/>
        <w:t xml:space="preserve">harmonizacja kryteriów dopuszczenia do obrotu, co zwiększyłoby przejrzystość procesu, jego szybkość oraz prawdopodobieństwo jego pomyślnego przejścia. </w:t>
      </w:r>
    </w:p>
    <w:p w14:paraId="5BA30F44" w14:textId="77777777" w:rsidR="00B31CA4" w:rsidRPr="0096045B" w:rsidRDefault="00B31CA4" w:rsidP="00B31CA4">
      <w:pPr>
        <w:rPr>
          <w:rFonts w:ascii="Calibri" w:hAnsi="Calibri" w:cs="Arial"/>
          <w:b/>
          <w:color w:val="007272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b/>
          <w:color w:val="007272"/>
          <w:sz w:val="22"/>
          <w:szCs w:val="22"/>
          <w:lang w:val="pl-PL" w:eastAsia="pl-PL"/>
        </w:rPr>
        <w:t>Są też jednak trudności</w:t>
      </w:r>
    </w:p>
    <w:p w14:paraId="1C4FB113" w14:textId="7C567CBA" w:rsidR="00333E63" w:rsidRDefault="00B31CA4" w:rsidP="00B31CA4">
      <w:pPr>
        <w:jc w:val="both"/>
        <w:rPr>
          <w:rFonts w:ascii="Calibri" w:hAnsi="Calibri" w:cs="Arial"/>
          <w:b/>
          <w:color w:val="007272"/>
          <w:sz w:val="22"/>
          <w:szCs w:val="22"/>
          <w:lang w:val="pl-PL"/>
        </w:rPr>
      </w:pP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Najtrudniejsze w negocjacjach wydają się kwestie dotyczące wspólnych standardów. Unia i Stany Zjednoczone od wielu lat, na razie bez powodzenia, rozmawiają o ujednoliceniu standardów produktów lub wprowadzeniu wzajemnej uznawalności norm. Szacuje się, że jeśli udałoby się znieść choćby połowę istniejących obecnie barier pozataryfowych, to transatlantycki handel mógłby wzrosnąć do 2027 </w:t>
      </w:r>
      <w:r w:rsidR="003179F1">
        <w:rPr>
          <w:rFonts w:ascii="Calibri" w:hAnsi="Calibri" w:cs="Arial"/>
          <w:sz w:val="22"/>
          <w:szCs w:val="22"/>
          <w:lang w:val="pl-PL" w:eastAsia="pl-PL"/>
        </w:rPr>
        <w:t>r. nawet o 150 mld dol. rocznie</w:t>
      </w:r>
      <w:r w:rsidR="003179F1" w:rsidRPr="00DE67D5">
        <w:rPr>
          <w:rStyle w:val="Odwoanieprzypisudolnego"/>
          <w:rFonts w:ascii="Calibri" w:eastAsia="ヒラギノ角ゴ Pro W3" w:hAnsi="Calibri"/>
          <w:sz w:val="22"/>
          <w:szCs w:val="22"/>
        </w:rPr>
        <w:footnoteReference w:id="2"/>
      </w:r>
      <w:r w:rsidR="003179F1">
        <w:rPr>
          <w:rFonts w:ascii="Calibri" w:hAnsi="Calibri" w:cs="Arial"/>
          <w:sz w:val="22"/>
          <w:szCs w:val="22"/>
          <w:lang w:val="pl-PL" w:eastAsia="pl-PL"/>
        </w:rPr>
        <w:t>.</w:t>
      </w:r>
      <w:r w:rsidRPr="0096045B">
        <w:rPr>
          <w:rFonts w:ascii="Calibri" w:hAnsi="Calibri" w:cs="Arial"/>
          <w:sz w:val="22"/>
          <w:szCs w:val="22"/>
          <w:lang w:val="pl-PL" w:eastAsia="pl-PL"/>
        </w:rPr>
        <w:t xml:space="preserve"> Problemem są też wysokie cła – np. w handlu produktami rolnymi. Producenci na obu silnie subsydiowanych rynkach – unijnym i amerykańskim, obawiają się dopuszczenia konkurencji zza oceanu. </w:t>
      </w:r>
    </w:p>
    <w:p w14:paraId="4694F81E" w14:textId="77777777" w:rsidR="00B31CA4" w:rsidRPr="0096045B" w:rsidRDefault="00B31CA4" w:rsidP="00B31CA4">
      <w:pPr>
        <w:jc w:val="both"/>
        <w:rPr>
          <w:rFonts w:ascii="Calibri" w:hAnsi="Calibri" w:cs="Arial"/>
          <w:b/>
          <w:color w:val="007272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b/>
          <w:color w:val="007272"/>
          <w:sz w:val="22"/>
          <w:szCs w:val="22"/>
          <w:lang w:val="pl-PL"/>
        </w:rPr>
        <w:t>Łukasz Gołębiewski, Doradca Klienta Korporacyjnego, Biuro Przemysłu Farmaceutycznego i TMT, DNB Bank Polska S.A.</w:t>
      </w:r>
    </w:p>
    <w:p w14:paraId="5BFF662C" w14:textId="6CA478BE" w:rsidR="00B31CA4" w:rsidRPr="0096045B" w:rsidRDefault="00B31CA4" w:rsidP="00B31CA4">
      <w:pPr>
        <w:jc w:val="both"/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>Na negocjacje Komicji Europejskiej ze Stanami Zjednoczonymi</w:t>
      </w:r>
      <w:r w:rsidR="00624652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 xml:space="preserve"> w sprawie wprowadzenia </w:t>
      </w:r>
      <w:r w:rsidRPr="0096045B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>traktatu TTIP patrzą z uwagą przedstawiciele większości branż, w tym przemysłu farmaceutycznego oraz producentów sprzętu medycznego. Idea wprowadzenia największej na świecie strefy wolnego handlu w założeniach powinna długofalowo ułatwić wspólne relacje handlowe na linii UE – USA. Pomimo dużych korzyści gospodarczych, osiągnięcie porozumienia w formie akceptowalnej przez Biały Dom oraz Brukselę jest procesem bardzo wymagającym oraz skomplikowanym, co pokazuje brak osiągniętego do tej pory konsensusu nad finalną formą traktatu</w:t>
      </w:r>
      <w:r w:rsidR="00D3182C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 xml:space="preserve"> oraz niepewność, </w:t>
      </w:r>
      <w:r w:rsidRPr="0096045B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>co do podpisania umowy do końca 2016 r.</w:t>
      </w:r>
    </w:p>
    <w:p w14:paraId="6FFF8690" w14:textId="77777777" w:rsidR="00B31CA4" w:rsidRPr="0096045B" w:rsidRDefault="00B31CA4" w:rsidP="00B31CA4">
      <w:pPr>
        <w:jc w:val="both"/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 xml:space="preserve">Dla szerokorozumianej branży farmaceutycznej oraz producentów sprzętu medycznego podstawową korzyścią z wprowadzenia TTIP będzie łatwiejszy dostęp do rynku amerykańskiego poprzez skrócenie ścieżki rejestracji oraz certyfikacji nowych produktów. Istotną korzyścią będzie ograniczenie strony kosztowej w sferze B&amp;R – wykluczenie podwójnej ścieżki dla badań i testów klinicznych pozwoli zaoszczędzić miliony euro oraz zwiększyć aktywność producentów w opracowaniu nowych innowacyjnych lekarstw oraz produktów. </w:t>
      </w:r>
    </w:p>
    <w:p w14:paraId="38DA47B0" w14:textId="77777777" w:rsidR="00B31CA4" w:rsidRPr="0096045B" w:rsidRDefault="00B31CA4" w:rsidP="00B31CA4">
      <w:pPr>
        <w:jc w:val="both"/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>Wdrożenie TTIP niesie również zagrożenia dla branży. Jednym z efektów może być wydłużenie okresu patentowego o czas, jaki wymagany będzie na zdobycie zezwoleń od większej liczby agencji regulujących. Bezpośrednie przełożenie dla rynku polskiego to opóźnienie wprowadzenia nowych lekarstw generycznych w związku z wydłużoną ochroną ich oryginalnych odpowiedników.</w:t>
      </w:r>
    </w:p>
    <w:p w14:paraId="7A3E8124" w14:textId="4761E725" w:rsidR="00EF05BB" w:rsidRPr="00023DEB" w:rsidRDefault="00B31CA4" w:rsidP="00023DEB">
      <w:pPr>
        <w:jc w:val="both"/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</w:pPr>
      <w:r w:rsidRPr="0096045B">
        <w:rPr>
          <w:rFonts w:ascii="Calibri" w:hAnsi="Calibri" w:cs="Arial"/>
          <w:i/>
          <w:iCs/>
          <w:color w:val="333333"/>
          <w:sz w:val="22"/>
          <w:szCs w:val="22"/>
          <w:lang w:val="pl-PL" w:eastAsia="pl-PL"/>
        </w:rPr>
        <w:t>Porozumienie TTIP wprowadzi szereg ułatwień kosztowych dla całej branży, a jednocześnie będzie skutkowało wyższym poziomem konkurencyjności, co jest bezpośrednim wyzwaniem dla polskich firm.</w:t>
      </w:r>
    </w:p>
    <w:p w14:paraId="267F6886" w14:textId="3C31EE9F" w:rsidR="00C12071" w:rsidRPr="00AC157B" w:rsidRDefault="00C12071" w:rsidP="00C129D6">
      <w:pPr>
        <w:jc w:val="center"/>
        <w:rPr>
          <w:rFonts w:ascii="Calibri" w:hAnsi="Calibri" w:cs="Arial"/>
          <w:sz w:val="22"/>
          <w:szCs w:val="22"/>
          <w:lang w:val="pl-PL"/>
        </w:rPr>
      </w:pPr>
      <w:r w:rsidRPr="00AC157B">
        <w:rPr>
          <w:rFonts w:ascii="Calibri" w:hAnsi="Calibri" w:cs="Arial"/>
          <w:sz w:val="22"/>
          <w:szCs w:val="22"/>
          <w:lang w:val="pl-PL"/>
        </w:rPr>
        <w:t>***</w:t>
      </w:r>
    </w:p>
    <w:p w14:paraId="00D9AC08" w14:textId="77777777" w:rsidR="00E97DC0" w:rsidRPr="00D722C5" w:rsidRDefault="00E97DC0" w:rsidP="00E97DC0">
      <w:pPr>
        <w:jc w:val="both"/>
        <w:rPr>
          <w:rStyle w:val="Pogrubienie"/>
          <w:rFonts w:ascii="Calibri" w:hAnsi="Calibri" w:cs="Arial"/>
          <w:color w:val="007272"/>
          <w:sz w:val="20"/>
          <w:szCs w:val="20"/>
          <w:lang w:val="pl-PL"/>
        </w:rPr>
      </w:pPr>
      <w:r>
        <w:rPr>
          <w:rStyle w:val="Pogrubienie"/>
          <w:rFonts w:ascii="Calibri" w:hAnsi="Calibri" w:cs="Arial"/>
          <w:color w:val="007272"/>
          <w:sz w:val="20"/>
          <w:szCs w:val="20"/>
          <w:lang w:val="pl-PL"/>
        </w:rPr>
        <w:t xml:space="preserve">DNB Bank Polska </w:t>
      </w:r>
    </w:p>
    <w:p w14:paraId="39A97018" w14:textId="714B931C" w:rsidR="00E97DC0" w:rsidRPr="00673B47" w:rsidRDefault="00E97DC0" w:rsidP="00E97DC0">
      <w:pPr>
        <w:pStyle w:val="Normalny1"/>
        <w:jc w:val="both"/>
        <w:rPr>
          <w:rFonts w:ascii="Calibri" w:hAnsi="Calibri" w:cs="Arial"/>
          <w:color w:val="auto"/>
          <w:sz w:val="18"/>
          <w:szCs w:val="18"/>
          <w:lang w:val="pl-PL"/>
        </w:rPr>
      </w:pPr>
      <w:r w:rsidRPr="00673B47">
        <w:rPr>
          <w:rFonts w:ascii="Calibri" w:hAnsi="Calibri" w:cs="Arial"/>
          <w:color w:val="auto"/>
          <w:sz w:val="18"/>
          <w:szCs w:val="18"/>
          <w:u w:color="000000"/>
          <w:lang w:val="pl-PL"/>
        </w:rPr>
        <w:t>DNB Bank Polska S.A.</w:t>
      </w:r>
      <w:r w:rsidRPr="00673B47">
        <w:rPr>
          <w:rFonts w:ascii="Calibri" w:hAnsi="Calibri" w:cs="Arial"/>
          <w:sz w:val="18"/>
          <w:szCs w:val="18"/>
          <w:lang w:val="pl-PL"/>
        </w:rPr>
        <w:t xml:space="preserve"> jest obecny w Polsce od 2002 roku. Właścicielem Banku jest Grupa DNB – największa norweska grupa finansowa, legitymująca się wysokimi długoterminowymi ratingami</w:t>
      </w:r>
      <w:r w:rsidR="004454AB" w:rsidRPr="00673B47">
        <w:rPr>
          <w:rFonts w:ascii="Calibri" w:hAnsi="Calibri" w:cs="Arial"/>
          <w:sz w:val="18"/>
          <w:szCs w:val="18"/>
          <w:lang w:val="pl-PL"/>
        </w:rPr>
        <w:t xml:space="preserve"> (A+ wg </w:t>
      </w:r>
      <w:proofErr w:type="spellStart"/>
      <w:r w:rsidR="004454AB" w:rsidRPr="00673B47">
        <w:rPr>
          <w:rFonts w:ascii="Calibri" w:hAnsi="Calibri" w:cs="Arial"/>
          <w:sz w:val="18"/>
          <w:szCs w:val="18"/>
          <w:lang w:val="pl-PL"/>
        </w:rPr>
        <w:t>Standard&amp;Poor’s</w:t>
      </w:r>
      <w:proofErr w:type="spellEnd"/>
      <w:r w:rsidR="004454AB" w:rsidRPr="00673B47">
        <w:rPr>
          <w:rFonts w:ascii="Calibri" w:hAnsi="Calibri" w:cs="Arial"/>
          <w:sz w:val="18"/>
          <w:szCs w:val="18"/>
          <w:lang w:val="pl-PL"/>
        </w:rPr>
        <w:t xml:space="preserve"> oraz Aa2</w:t>
      </w:r>
      <w:r w:rsidRPr="00673B47">
        <w:rPr>
          <w:rFonts w:ascii="Calibri" w:hAnsi="Calibri" w:cs="Arial"/>
          <w:sz w:val="18"/>
          <w:szCs w:val="18"/>
          <w:lang w:val="pl-PL"/>
        </w:rPr>
        <w:t xml:space="preserve"> wg </w:t>
      </w:r>
      <w:proofErr w:type="spellStart"/>
      <w:r w:rsidRPr="00673B47">
        <w:rPr>
          <w:rFonts w:ascii="Calibri" w:hAnsi="Calibri" w:cs="Arial"/>
          <w:sz w:val="18"/>
          <w:szCs w:val="18"/>
          <w:lang w:val="pl-PL"/>
        </w:rPr>
        <w:t>Moody’s</w:t>
      </w:r>
      <w:proofErr w:type="spellEnd"/>
      <w:r w:rsidRPr="00673B47">
        <w:rPr>
          <w:rFonts w:ascii="Calibri" w:hAnsi="Calibri" w:cs="Arial"/>
          <w:sz w:val="18"/>
          <w:szCs w:val="18"/>
          <w:lang w:val="pl-PL"/>
        </w:rPr>
        <w:t xml:space="preserve">), a jednocześnie najwyższym (wśród skandynawskich konkurentów) indeksem satysfakcji klientów (por. Greenwich </w:t>
      </w:r>
      <w:proofErr w:type="spellStart"/>
      <w:r w:rsidRPr="00673B47">
        <w:rPr>
          <w:rFonts w:ascii="Calibri" w:hAnsi="Calibri" w:cs="Arial"/>
          <w:sz w:val="18"/>
          <w:szCs w:val="18"/>
          <w:lang w:val="pl-PL"/>
        </w:rPr>
        <w:t>Customer</w:t>
      </w:r>
      <w:proofErr w:type="spellEnd"/>
      <w:r w:rsidRPr="00673B47">
        <w:rPr>
          <w:rFonts w:ascii="Calibri" w:hAnsi="Calibri" w:cs="Arial"/>
          <w:sz w:val="18"/>
          <w:szCs w:val="18"/>
          <w:lang w:val="pl-PL"/>
        </w:rPr>
        <w:t xml:space="preserve"> </w:t>
      </w:r>
      <w:proofErr w:type="spellStart"/>
      <w:r w:rsidRPr="00673B47">
        <w:rPr>
          <w:rFonts w:ascii="Calibri" w:hAnsi="Calibri" w:cs="Arial"/>
          <w:sz w:val="18"/>
          <w:szCs w:val="18"/>
          <w:lang w:val="pl-PL"/>
        </w:rPr>
        <w:t>Satisfaction</w:t>
      </w:r>
      <w:proofErr w:type="spellEnd"/>
      <w:r w:rsidRPr="00673B47">
        <w:rPr>
          <w:rFonts w:ascii="Calibri" w:hAnsi="Calibri" w:cs="Arial"/>
          <w:sz w:val="18"/>
          <w:szCs w:val="18"/>
          <w:lang w:val="pl-PL"/>
        </w:rPr>
        <w:t xml:space="preserve"> Index). Grupa prowadzi swoją działalność w 19 krajach. Jej aktywa na koniec 2015 roku wyniosły ponad 270 mld EUR. DNB posiada oddziały w najważniejszych centrach finansowych świata m.in. w Londynie, Nowym Jorku czy Singapurze, a jego akcje notowane są na giełdzie w Oslo.</w:t>
      </w:r>
      <w:r w:rsidRPr="00673B47">
        <w:rPr>
          <w:rFonts w:ascii="Calibri" w:hAnsi="Calibri" w:cs="Arial"/>
          <w:color w:val="auto"/>
          <w:sz w:val="18"/>
          <w:szCs w:val="18"/>
          <w:lang w:val="pl-PL"/>
        </w:rPr>
        <w:t xml:space="preserve"> </w:t>
      </w:r>
    </w:p>
    <w:p w14:paraId="5D8DF76A" w14:textId="7C0D3A26" w:rsidR="00673B47" w:rsidRPr="003D3FC5" w:rsidRDefault="00E97DC0" w:rsidP="00DE1470">
      <w:pPr>
        <w:pStyle w:val="Normalny1"/>
        <w:jc w:val="both"/>
        <w:rPr>
          <w:rStyle w:val="Pogrubienie1"/>
          <w:rFonts w:ascii="Calibri" w:hAnsi="Calibri" w:cs="Arial"/>
          <w:b w:val="0"/>
          <w:sz w:val="18"/>
          <w:szCs w:val="18"/>
          <w:lang w:val="pl-PL"/>
        </w:rPr>
      </w:pPr>
      <w:r w:rsidRPr="00673B47">
        <w:rPr>
          <w:rFonts w:ascii="Calibri" w:hAnsi="Calibri" w:cs="Arial"/>
          <w:color w:val="auto"/>
          <w:sz w:val="18"/>
          <w:szCs w:val="18"/>
          <w:u w:color="000000"/>
          <w:lang w:val="pl-PL"/>
        </w:rPr>
        <w:t xml:space="preserve">DNB Bank Polska S.A. </w:t>
      </w:r>
      <w:r w:rsidRPr="00673B47">
        <w:rPr>
          <w:rFonts w:ascii="Calibri" w:eastAsia="Arial Unicode MS" w:hAnsi="Calibri" w:cs="Arial"/>
          <w:sz w:val="18"/>
          <w:szCs w:val="18"/>
          <w:lang w:val="pl-PL"/>
        </w:rPr>
        <w:t xml:space="preserve">to specjalistyczny bank korporacyjny obsługujący duże przedsiębiorstwa i sektor publiczny. Bank </w:t>
      </w:r>
      <w:r w:rsidRPr="00673B47">
        <w:rPr>
          <w:rFonts w:ascii="Calibri" w:hAnsi="Calibri" w:cs="Arial"/>
          <w:sz w:val="18"/>
          <w:szCs w:val="18"/>
          <w:lang w:val="pl-PL"/>
        </w:rPr>
        <w:t>skupia się na obsłudze i finansowaniu firm z wybranych sektorów, takich jak: energetyka, w tym odnawialne źródła energii, handel hurtowy i detaliczny, TMT (telekomunikacja, media, technologie), motoryzacja, opakowania, produkcja żywności, usługi.</w:t>
      </w:r>
    </w:p>
    <w:p w14:paraId="1E699913" w14:textId="77777777" w:rsidR="003D3FC5" w:rsidRDefault="003D3FC5" w:rsidP="00DE1470">
      <w:pPr>
        <w:pStyle w:val="Normalny1"/>
        <w:jc w:val="both"/>
        <w:rPr>
          <w:rStyle w:val="Pogrubienie1"/>
          <w:rFonts w:ascii="Calibri" w:hAnsi="Calibri" w:cs="Arial"/>
          <w:color w:val="165F5F"/>
          <w:u w:val="single"/>
          <w:lang w:val="pl-PL"/>
        </w:rPr>
      </w:pPr>
    </w:p>
    <w:p w14:paraId="5763D8D5" w14:textId="77777777" w:rsidR="00863001" w:rsidRPr="003D3FC5" w:rsidRDefault="00863001" w:rsidP="00DE1470">
      <w:pPr>
        <w:pStyle w:val="Normalny1"/>
        <w:jc w:val="both"/>
        <w:rPr>
          <w:rStyle w:val="Pogrubienie1"/>
          <w:rFonts w:ascii="Calibri" w:hAnsi="Calibri" w:cs="Arial"/>
          <w:color w:val="165F5F"/>
          <w:u w:val="single"/>
          <w:lang w:val="pl-PL"/>
        </w:rPr>
      </w:pPr>
      <w:r w:rsidRPr="003D3FC5">
        <w:rPr>
          <w:rStyle w:val="Pogrubienie1"/>
          <w:rFonts w:ascii="Calibri" w:hAnsi="Calibri" w:cs="Arial"/>
          <w:color w:val="165F5F"/>
          <w:u w:val="single"/>
          <w:lang w:val="pl-PL"/>
        </w:rPr>
        <w:t>Kontakt dla mediów:</w:t>
      </w:r>
    </w:p>
    <w:p w14:paraId="2C824C81" w14:textId="57F70E49" w:rsidR="00863001" w:rsidRPr="003D3FC5" w:rsidRDefault="00863001" w:rsidP="00DE1470">
      <w:pPr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3D3FC5">
        <w:rPr>
          <w:rFonts w:ascii="Calibri" w:hAnsi="Calibri" w:cs="Arial"/>
          <w:b/>
          <w:bCs/>
          <w:noProof/>
          <w:color w:val="515151"/>
          <w:sz w:val="20"/>
          <w:szCs w:val="20"/>
          <w:lang w:val="pl-PL" w:eastAsia="pl-PL"/>
        </w:rPr>
        <w:t>Katarzyna Żądło</w:t>
      </w:r>
      <w:r w:rsidR="00023DEB">
        <w:rPr>
          <w:rFonts w:ascii="Calibri" w:hAnsi="Calibri" w:cs="Arial"/>
          <w:noProof/>
          <w:color w:val="000000"/>
          <w:sz w:val="20"/>
          <w:szCs w:val="20"/>
          <w:lang w:val="pl-PL" w:eastAsia="pl-PL"/>
        </w:rPr>
        <w:t xml:space="preserve">, </w:t>
      </w:r>
      <w:r w:rsidRPr="003D3FC5">
        <w:rPr>
          <w:rFonts w:ascii="Calibri" w:hAnsi="Calibri" w:cs="Arial"/>
          <w:noProof/>
          <w:sz w:val="20"/>
          <w:szCs w:val="20"/>
          <w:lang w:val="pl-PL" w:eastAsia="pl-PL"/>
        </w:rPr>
        <w:t>Rzecznik prasowy</w:t>
      </w:r>
    </w:p>
    <w:p w14:paraId="2A84170F" w14:textId="30181C58" w:rsidR="00826D11" w:rsidRPr="00B67140" w:rsidRDefault="00863001" w:rsidP="00DE1470">
      <w:pPr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3D3FC5">
        <w:rPr>
          <w:rFonts w:ascii="Calibri" w:hAnsi="Calibri" w:cs="Arial"/>
          <w:noProof/>
          <w:sz w:val="20"/>
          <w:szCs w:val="20"/>
          <w:lang w:val="pl-PL" w:eastAsia="pl-PL"/>
        </w:rPr>
        <w:lastRenderedPageBreak/>
        <w:t>DNB Bank Polska S.A.</w:t>
      </w:r>
      <w:r w:rsidR="00023DEB">
        <w:rPr>
          <w:rFonts w:ascii="Calibri" w:hAnsi="Calibri" w:cs="Arial"/>
          <w:noProof/>
          <w:sz w:val="20"/>
          <w:szCs w:val="20"/>
          <w:lang w:val="pl-PL" w:eastAsia="pl-PL"/>
        </w:rPr>
        <w:t xml:space="preserve">; ul. Postępu 15C; </w:t>
      </w:r>
      <w:r w:rsidRPr="003D3FC5">
        <w:rPr>
          <w:rFonts w:ascii="Calibri" w:hAnsi="Calibri" w:cs="Arial"/>
          <w:noProof/>
          <w:sz w:val="20"/>
          <w:szCs w:val="20"/>
          <w:lang w:val="pl-PL" w:eastAsia="pl-PL"/>
        </w:rPr>
        <w:t>02-676 Warsz</w:t>
      </w:r>
      <w:bookmarkStart w:id="0" w:name="_GoBack"/>
      <w:bookmarkEnd w:id="0"/>
      <w:r w:rsidRPr="003D3FC5">
        <w:rPr>
          <w:rFonts w:ascii="Calibri" w:hAnsi="Calibri" w:cs="Arial"/>
          <w:noProof/>
          <w:sz w:val="20"/>
          <w:szCs w:val="20"/>
          <w:lang w:val="pl-PL" w:eastAsia="pl-PL"/>
        </w:rPr>
        <w:t>awa</w:t>
      </w:r>
      <w:r w:rsidR="00673B47" w:rsidRPr="003D3FC5">
        <w:rPr>
          <w:rFonts w:ascii="Calibri" w:hAnsi="Calibri" w:cs="Arial"/>
          <w:noProof/>
          <w:sz w:val="20"/>
          <w:szCs w:val="20"/>
          <w:lang w:val="pl-PL" w:eastAsia="pl-PL"/>
        </w:rPr>
        <w:t xml:space="preserve">; </w:t>
      </w:r>
      <w:r w:rsidR="0081378B" w:rsidRPr="00B67140">
        <w:rPr>
          <w:rFonts w:ascii="Calibri" w:hAnsi="Calibri" w:cs="Arial"/>
          <w:noProof/>
          <w:sz w:val="20"/>
          <w:szCs w:val="20"/>
          <w:lang w:val="pl-PL" w:eastAsia="pl-PL"/>
        </w:rPr>
        <w:t>Mob: +48 661 601 402; e</w:t>
      </w:r>
      <w:r w:rsidRPr="00B67140">
        <w:rPr>
          <w:rFonts w:ascii="Calibri" w:hAnsi="Calibri" w:cs="Arial"/>
          <w:noProof/>
          <w:sz w:val="20"/>
          <w:szCs w:val="20"/>
          <w:lang w:val="pl-PL" w:eastAsia="pl-PL"/>
        </w:rPr>
        <w:t>-mail: </w:t>
      </w:r>
      <w:hyperlink r:id="rId8" w:history="1">
        <w:r w:rsidRPr="00B67140">
          <w:rPr>
            <w:rStyle w:val="Hipercze"/>
            <w:rFonts w:ascii="Calibri" w:hAnsi="Calibri" w:cs="Arial"/>
            <w:noProof/>
            <w:color w:val="auto"/>
            <w:sz w:val="20"/>
            <w:szCs w:val="20"/>
            <w:lang w:val="pl-PL" w:eastAsia="pl-PL"/>
          </w:rPr>
          <w:t>katarzyna.zadlo@dnb.pl</w:t>
        </w:r>
      </w:hyperlink>
    </w:p>
    <w:sectPr w:rsidR="00826D11" w:rsidRPr="00B67140" w:rsidSect="00FE0A4D">
      <w:headerReference w:type="even" r:id="rId9"/>
      <w:headerReference w:type="default" r:id="rId10"/>
      <w:pgSz w:w="12240" w:h="15840"/>
      <w:pgMar w:top="1985" w:right="1418" w:bottom="1418" w:left="1418" w:header="56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E8EB3" w14:textId="77777777" w:rsidR="002E01DE" w:rsidRDefault="002E01DE">
      <w:r>
        <w:separator/>
      </w:r>
    </w:p>
  </w:endnote>
  <w:endnote w:type="continuationSeparator" w:id="0">
    <w:p w14:paraId="4BC57E37" w14:textId="77777777" w:rsidR="002E01DE" w:rsidRDefault="002E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dra Sans Alt Pro Book">
    <w:altName w:val="Fedra Sans Alt Pro Book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edra Sans Al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Al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EC73" w14:textId="77777777" w:rsidR="002E01DE" w:rsidRDefault="002E01DE">
      <w:r>
        <w:separator/>
      </w:r>
    </w:p>
  </w:footnote>
  <w:footnote w:type="continuationSeparator" w:id="0">
    <w:p w14:paraId="170F63FB" w14:textId="77777777" w:rsidR="002E01DE" w:rsidRDefault="002E01DE">
      <w:r>
        <w:continuationSeparator/>
      </w:r>
    </w:p>
  </w:footnote>
  <w:footnote w:id="1">
    <w:p w14:paraId="3463C11A" w14:textId="204B208F" w:rsidR="00DE67D5" w:rsidRPr="00E5637F" w:rsidRDefault="00DE67D5" w:rsidP="00E5637F">
      <w:pPr>
        <w:rPr>
          <w:rFonts w:ascii="Calibri" w:hAnsi="Calibri" w:cs="Arial"/>
          <w:sz w:val="20"/>
          <w:szCs w:val="20"/>
          <w:lang w:val="pl-PL"/>
        </w:rPr>
      </w:pPr>
      <w:r w:rsidRPr="00E5637F">
        <w:rPr>
          <w:rStyle w:val="Odwoanieprzypisudolnego"/>
          <w:rFonts w:ascii="Calibri" w:eastAsia="ヒラギノ角ゴ Pro W3" w:hAnsi="Calibri"/>
          <w:sz w:val="20"/>
          <w:szCs w:val="20"/>
        </w:rPr>
        <w:footnoteRef/>
      </w:r>
      <w:r w:rsidRPr="00E5637F">
        <w:rPr>
          <w:rFonts w:ascii="Calibri" w:hAnsi="Calibri"/>
          <w:sz w:val="20"/>
          <w:szCs w:val="20"/>
          <w:lang w:val="pl-PL"/>
        </w:rPr>
        <w:t xml:space="preserve"> </w:t>
      </w:r>
      <w:r w:rsidRPr="00E5637F">
        <w:rPr>
          <w:rFonts w:ascii="Calibri" w:hAnsi="Calibri" w:cs="Arial"/>
          <w:sz w:val="20"/>
          <w:szCs w:val="20"/>
          <w:lang w:val="pl-PL"/>
        </w:rPr>
        <w:t>Adam Szejnfeld, TTIP. Rewolucja w światowym handlu, Analiza Instytutu Obywatelskiego 8/2016</w:t>
      </w:r>
    </w:p>
  </w:footnote>
  <w:footnote w:id="2">
    <w:p w14:paraId="43218CE5" w14:textId="2ADA5580" w:rsidR="003179F1" w:rsidRPr="00E5637F" w:rsidRDefault="003179F1" w:rsidP="003179F1">
      <w:pPr>
        <w:rPr>
          <w:rFonts w:ascii="Calibri" w:hAnsi="Calibri" w:cs="Arial"/>
          <w:sz w:val="20"/>
          <w:szCs w:val="20"/>
          <w:lang w:val="pl-PL"/>
        </w:rPr>
      </w:pPr>
      <w:r w:rsidRPr="00E5637F">
        <w:rPr>
          <w:rStyle w:val="Odwoanieprzypisudolnego"/>
          <w:rFonts w:ascii="Calibri" w:eastAsia="ヒラギノ角ゴ Pro W3" w:hAnsi="Calibri"/>
          <w:sz w:val="20"/>
          <w:szCs w:val="20"/>
        </w:rPr>
        <w:footnoteRef/>
      </w:r>
      <w:r w:rsidRPr="00E5637F">
        <w:rPr>
          <w:rFonts w:ascii="Calibri" w:hAnsi="Calibri"/>
          <w:sz w:val="20"/>
          <w:szCs w:val="20"/>
          <w:lang w:val="pl-PL"/>
        </w:rPr>
        <w:t xml:space="preserve"> </w:t>
      </w:r>
      <w:r w:rsidRPr="00E5637F">
        <w:rPr>
          <w:rFonts w:ascii="Calibri" w:hAnsi="Calibri" w:cs="Arial"/>
          <w:sz w:val="20"/>
          <w:szCs w:val="20"/>
          <w:lang w:val="pl-PL"/>
        </w:rPr>
        <w:t>Adam Szejnfeld, TTIP. Rewolucja w światowym handlu, Analiza Instytutu Obywatelskiego 8/2016</w:t>
      </w:r>
    </w:p>
    <w:p w14:paraId="79270C59" w14:textId="77777777" w:rsidR="003179F1" w:rsidRPr="00DE67D5" w:rsidRDefault="003179F1" w:rsidP="003179F1">
      <w:pPr>
        <w:pStyle w:val="Tekstprzypisudolnego"/>
        <w:rPr>
          <w:rFonts w:ascii="Calibri" w:hAnsi="Calibri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40D2" w14:textId="77777777" w:rsidR="00826D11" w:rsidRDefault="00826D11">
    <w:pPr>
      <w:pStyle w:val="Nagwek1"/>
      <w:tabs>
        <w:tab w:val="clear" w:pos="9406"/>
        <w:tab w:val="right" w:pos="9384"/>
      </w:tabs>
      <w:rPr>
        <w:rFonts w:ascii="Times New Roman" w:eastAsia="Times New Roman" w:hAnsi="Times New Roman"/>
        <w:color w:val="auto"/>
        <w:sz w:val="20"/>
        <w:lang w:val="pl-PL" w:bidi="x-none"/>
      </w:rPr>
    </w:pPr>
    <w:r>
      <w:tab/>
    </w:r>
    <w:r w:rsidR="008D0F6D">
      <w:rPr>
        <w:rFonts w:ascii="Times New Roman" w:eastAsia="Times New Roman" w:hAnsi="Times New Roman"/>
        <w:noProof/>
        <w:color w:val="auto"/>
        <w:sz w:val="20"/>
        <w:lang w:val="pl-PL"/>
      </w:rPr>
      <w:drawing>
        <wp:inline distT="0" distB="0" distL="0" distR="0" wp14:anchorId="52BA8BA9" wp14:editId="598CB4D9">
          <wp:extent cx="5971540" cy="468571"/>
          <wp:effectExtent l="0" t="0" r="0" b="8255"/>
          <wp:docPr id="2" name="Obraz 2" descr="DNB-ikony_v0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B-ikony_v02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6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C83FA" w14:textId="77777777" w:rsidR="00826D11" w:rsidRPr="00FE0A4D" w:rsidRDefault="00C476CB" w:rsidP="00FE0A4D">
    <w:pPr>
      <w:pStyle w:val="Nagwek1"/>
      <w:tabs>
        <w:tab w:val="clear" w:pos="9406"/>
        <w:tab w:val="right" w:pos="9923"/>
      </w:tabs>
      <w:ind w:left="-567"/>
      <w:jc w:val="both"/>
      <w:rPr>
        <w:rFonts w:ascii="Times New Roman" w:eastAsia="Times New Roman" w:hAnsi="Times New Roman"/>
        <w:color w:val="auto"/>
        <w:sz w:val="20"/>
        <w:lang w:val="pl-PL" w:bidi="x-none"/>
      </w:rPr>
    </w:pPr>
    <w:r>
      <w:rPr>
        <w:rFonts w:ascii="Times New Roman" w:eastAsia="Times New Roman" w:hAnsi="Times New Roman"/>
        <w:noProof/>
        <w:color w:val="auto"/>
        <w:sz w:val="20"/>
        <w:lang w:val="pl-PL"/>
      </w:rPr>
      <w:drawing>
        <wp:inline distT="0" distB="0" distL="0" distR="0" wp14:anchorId="0602DC9A" wp14:editId="36D5A569">
          <wp:extent cx="6927215" cy="543560"/>
          <wp:effectExtent l="0" t="0" r="6985" b="8890"/>
          <wp:docPr id="5" name="Obraz 5" descr="DNB-ikony_v0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B-ikony_v02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1AA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0B50"/>
    <w:multiLevelType w:val="hybridMultilevel"/>
    <w:tmpl w:val="3A2ACFCA"/>
    <w:lvl w:ilvl="0" w:tplc="0934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6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A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2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0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D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60677E"/>
    <w:multiLevelType w:val="hybridMultilevel"/>
    <w:tmpl w:val="26700A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E343C"/>
    <w:multiLevelType w:val="hybridMultilevel"/>
    <w:tmpl w:val="42089E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756D1"/>
    <w:multiLevelType w:val="hybridMultilevel"/>
    <w:tmpl w:val="8B28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3414C"/>
    <w:multiLevelType w:val="hybridMultilevel"/>
    <w:tmpl w:val="8E76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F4857"/>
    <w:multiLevelType w:val="hybridMultilevel"/>
    <w:tmpl w:val="CA166294"/>
    <w:lvl w:ilvl="0" w:tplc="5474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6C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D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1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8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4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A0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2F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1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CD0F44"/>
    <w:multiLevelType w:val="hybridMultilevel"/>
    <w:tmpl w:val="967C85F6"/>
    <w:lvl w:ilvl="0" w:tplc="B9D4A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E5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E8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6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A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4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27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1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7E5064"/>
    <w:multiLevelType w:val="hybridMultilevel"/>
    <w:tmpl w:val="C87E47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10967"/>
    <w:multiLevelType w:val="hybridMultilevel"/>
    <w:tmpl w:val="8B280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5"/>
    <w:rsid w:val="0000004C"/>
    <w:rsid w:val="00004849"/>
    <w:rsid w:val="0001259D"/>
    <w:rsid w:val="00023DEB"/>
    <w:rsid w:val="00030C78"/>
    <w:rsid w:val="00037FE7"/>
    <w:rsid w:val="00041889"/>
    <w:rsid w:val="00044C1F"/>
    <w:rsid w:val="00053A21"/>
    <w:rsid w:val="000544E1"/>
    <w:rsid w:val="00060ECD"/>
    <w:rsid w:val="000702F2"/>
    <w:rsid w:val="0007339C"/>
    <w:rsid w:val="000751E7"/>
    <w:rsid w:val="0007752C"/>
    <w:rsid w:val="00077F86"/>
    <w:rsid w:val="00080E59"/>
    <w:rsid w:val="00081E0D"/>
    <w:rsid w:val="0008300A"/>
    <w:rsid w:val="0009338B"/>
    <w:rsid w:val="00096CDC"/>
    <w:rsid w:val="000A1CBA"/>
    <w:rsid w:val="000A1D90"/>
    <w:rsid w:val="000A7737"/>
    <w:rsid w:val="000A7BF3"/>
    <w:rsid w:val="000B38D5"/>
    <w:rsid w:val="000B53AF"/>
    <w:rsid w:val="000C2450"/>
    <w:rsid w:val="000C3A01"/>
    <w:rsid w:val="000D3812"/>
    <w:rsid w:val="000F1D08"/>
    <w:rsid w:val="00101C99"/>
    <w:rsid w:val="00106D6B"/>
    <w:rsid w:val="00113137"/>
    <w:rsid w:val="00113B01"/>
    <w:rsid w:val="001154D4"/>
    <w:rsid w:val="00117E7E"/>
    <w:rsid w:val="00123608"/>
    <w:rsid w:val="00133C1F"/>
    <w:rsid w:val="00142AD3"/>
    <w:rsid w:val="00146A91"/>
    <w:rsid w:val="00152B4A"/>
    <w:rsid w:val="001564B9"/>
    <w:rsid w:val="00162254"/>
    <w:rsid w:val="0016302E"/>
    <w:rsid w:val="001660D3"/>
    <w:rsid w:val="00170A4B"/>
    <w:rsid w:val="00170F86"/>
    <w:rsid w:val="001737EB"/>
    <w:rsid w:val="001755CD"/>
    <w:rsid w:val="00181F44"/>
    <w:rsid w:val="0018310F"/>
    <w:rsid w:val="001877BE"/>
    <w:rsid w:val="00195E0C"/>
    <w:rsid w:val="00195EB5"/>
    <w:rsid w:val="001966B3"/>
    <w:rsid w:val="001A0CD2"/>
    <w:rsid w:val="001D0E50"/>
    <w:rsid w:val="001D17EC"/>
    <w:rsid w:val="001D35B4"/>
    <w:rsid w:val="001D7DBD"/>
    <w:rsid w:val="001E5636"/>
    <w:rsid w:val="001F255E"/>
    <w:rsid w:val="001F617D"/>
    <w:rsid w:val="00201209"/>
    <w:rsid w:val="002012AD"/>
    <w:rsid w:val="0020317A"/>
    <w:rsid w:val="002047F1"/>
    <w:rsid w:val="00216D35"/>
    <w:rsid w:val="00225326"/>
    <w:rsid w:val="00230737"/>
    <w:rsid w:val="00230E0B"/>
    <w:rsid w:val="00242A7C"/>
    <w:rsid w:val="002435D7"/>
    <w:rsid w:val="002529B4"/>
    <w:rsid w:val="002565DB"/>
    <w:rsid w:val="0026257A"/>
    <w:rsid w:val="00270E19"/>
    <w:rsid w:val="0027718D"/>
    <w:rsid w:val="00280483"/>
    <w:rsid w:val="002829F1"/>
    <w:rsid w:val="002940C3"/>
    <w:rsid w:val="00296E1A"/>
    <w:rsid w:val="00297EAD"/>
    <w:rsid w:val="002B3A4D"/>
    <w:rsid w:val="002B6881"/>
    <w:rsid w:val="002C33C8"/>
    <w:rsid w:val="002E01DE"/>
    <w:rsid w:val="002F75D5"/>
    <w:rsid w:val="0030474F"/>
    <w:rsid w:val="0030718C"/>
    <w:rsid w:val="0031087D"/>
    <w:rsid w:val="00311E62"/>
    <w:rsid w:val="003136F8"/>
    <w:rsid w:val="00314925"/>
    <w:rsid w:val="003179F1"/>
    <w:rsid w:val="0032491D"/>
    <w:rsid w:val="003325FC"/>
    <w:rsid w:val="00333E63"/>
    <w:rsid w:val="00337055"/>
    <w:rsid w:val="00342AF3"/>
    <w:rsid w:val="00346006"/>
    <w:rsid w:val="00347D66"/>
    <w:rsid w:val="00364860"/>
    <w:rsid w:val="003673E9"/>
    <w:rsid w:val="00371F35"/>
    <w:rsid w:val="00376BE5"/>
    <w:rsid w:val="00377BF8"/>
    <w:rsid w:val="0038028E"/>
    <w:rsid w:val="00385B8E"/>
    <w:rsid w:val="00385F59"/>
    <w:rsid w:val="003911FA"/>
    <w:rsid w:val="003959CF"/>
    <w:rsid w:val="0039743A"/>
    <w:rsid w:val="003A3A92"/>
    <w:rsid w:val="003C0BC4"/>
    <w:rsid w:val="003C3083"/>
    <w:rsid w:val="003C466E"/>
    <w:rsid w:val="003C46D7"/>
    <w:rsid w:val="003D1991"/>
    <w:rsid w:val="003D3FC5"/>
    <w:rsid w:val="003D6185"/>
    <w:rsid w:val="003D6A44"/>
    <w:rsid w:val="003D7C48"/>
    <w:rsid w:val="003E3AE8"/>
    <w:rsid w:val="003E40C3"/>
    <w:rsid w:val="003E429A"/>
    <w:rsid w:val="0040088C"/>
    <w:rsid w:val="00404A71"/>
    <w:rsid w:val="00416D70"/>
    <w:rsid w:val="00420822"/>
    <w:rsid w:val="0042659B"/>
    <w:rsid w:val="0043297B"/>
    <w:rsid w:val="00434174"/>
    <w:rsid w:val="00441189"/>
    <w:rsid w:val="004416D9"/>
    <w:rsid w:val="00442362"/>
    <w:rsid w:val="00444A46"/>
    <w:rsid w:val="00445222"/>
    <w:rsid w:val="004454AB"/>
    <w:rsid w:val="00451E9C"/>
    <w:rsid w:val="0045447E"/>
    <w:rsid w:val="00454F58"/>
    <w:rsid w:val="00455730"/>
    <w:rsid w:val="0046495B"/>
    <w:rsid w:val="00472F80"/>
    <w:rsid w:val="0047442D"/>
    <w:rsid w:val="004766F0"/>
    <w:rsid w:val="004825CB"/>
    <w:rsid w:val="0048470D"/>
    <w:rsid w:val="004860F9"/>
    <w:rsid w:val="00490510"/>
    <w:rsid w:val="004B04FB"/>
    <w:rsid w:val="004C1AE3"/>
    <w:rsid w:val="004D06B0"/>
    <w:rsid w:val="004D3FDB"/>
    <w:rsid w:val="004D7C56"/>
    <w:rsid w:val="004E0B6C"/>
    <w:rsid w:val="004E2501"/>
    <w:rsid w:val="004E2D07"/>
    <w:rsid w:val="004E3C0C"/>
    <w:rsid w:val="00500571"/>
    <w:rsid w:val="005054F7"/>
    <w:rsid w:val="00505754"/>
    <w:rsid w:val="00507987"/>
    <w:rsid w:val="0051028C"/>
    <w:rsid w:val="005136FE"/>
    <w:rsid w:val="00515D1B"/>
    <w:rsid w:val="00522653"/>
    <w:rsid w:val="00523516"/>
    <w:rsid w:val="00523AE4"/>
    <w:rsid w:val="005279D5"/>
    <w:rsid w:val="00533756"/>
    <w:rsid w:val="00533BB6"/>
    <w:rsid w:val="005347BE"/>
    <w:rsid w:val="00536975"/>
    <w:rsid w:val="00541372"/>
    <w:rsid w:val="00547D00"/>
    <w:rsid w:val="00551379"/>
    <w:rsid w:val="00551533"/>
    <w:rsid w:val="00553DE2"/>
    <w:rsid w:val="00570D09"/>
    <w:rsid w:val="00574F6A"/>
    <w:rsid w:val="0057678B"/>
    <w:rsid w:val="00594CC1"/>
    <w:rsid w:val="0059588C"/>
    <w:rsid w:val="005A221C"/>
    <w:rsid w:val="005B0F17"/>
    <w:rsid w:val="005B2CAB"/>
    <w:rsid w:val="005C10A2"/>
    <w:rsid w:val="005C39E0"/>
    <w:rsid w:val="005D622E"/>
    <w:rsid w:val="005F1A3D"/>
    <w:rsid w:val="005F3F6D"/>
    <w:rsid w:val="005F7C67"/>
    <w:rsid w:val="0060006A"/>
    <w:rsid w:val="006010D8"/>
    <w:rsid w:val="00604492"/>
    <w:rsid w:val="00604A38"/>
    <w:rsid w:val="0060666D"/>
    <w:rsid w:val="006142D6"/>
    <w:rsid w:val="00617A27"/>
    <w:rsid w:val="006202B5"/>
    <w:rsid w:val="006241F9"/>
    <w:rsid w:val="00624652"/>
    <w:rsid w:val="006263FE"/>
    <w:rsid w:val="0063550B"/>
    <w:rsid w:val="00637929"/>
    <w:rsid w:val="00641B12"/>
    <w:rsid w:val="00645FB6"/>
    <w:rsid w:val="0064761D"/>
    <w:rsid w:val="00654C71"/>
    <w:rsid w:val="00664294"/>
    <w:rsid w:val="00672B38"/>
    <w:rsid w:val="00673B47"/>
    <w:rsid w:val="00675669"/>
    <w:rsid w:val="00675D89"/>
    <w:rsid w:val="00683FB9"/>
    <w:rsid w:val="00692628"/>
    <w:rsid w:val="006931C9"/>
    <w:rsid w:val="006A1978"/>
    <w:rsid w:val="006A5800"/>
    <w:rsid w:val="006A65D3"/>
    <w:rsid w:val="006A727D"/>
    <w:rsid w:val="006C25BF"/>
    <w:rsid w:val="006C2A40"/>
    <w:rsid w:val="006C3F6C"/>
    <w:rsid w:val="006C4FA7"/>
    <w:rsid w:val="006C7971"/>
    <w:rsid w:val="006D1EA6"/>
    <w:rsid w:val="006D3EB3"/>
    <w:rsid w:val="006D51AB"/>
    <w:rsid w:val="006D5DCB"/>
    <w:rsid w:val="006E0369"/>
    <w:rsid w:val="006E23EA"/>
    <w:rsid w:val="006E42DA"/>
    <w:rsid w:val="006E73C2"/>
    <w:rsid w:val="006F025E"/>
    <w:rsid w:val="006F191E"/>
    <w:rsid w:val="006F4DF5"/>
    <w:rsid w:val="006F5EBF"/>
    <w:rsid w:val="0070341D"/>
    <w:rsid w:val="00705D80"/>
    <w:rsid w:val="00707095"/>
    <w:rsid w:val="00707C72"/>
    <w:rsid w:val="0071604A"/>
    <w:rsid w:val="00721F64"/>
    <w:rsid w:val="00722058"/>
    <w:rsid w:val="00723DB1"/>
    <w:rsid w:val="00723DE1"/>
    <w:rsid w:val="00730509"/>
    <w:rsid w:val="00730B03"/>
    <w:rsid w:val="007341D5"/>
    <w:rsid w:val="00736996"/>
    <w:rsid w:val="00744E75"/>
    <w:rsid w:val="0076403D"/>
    <w:rsid w:val="007677A3"/>
    <w:rsid w:val="0077777B"/>
    <w:rsid w:val="00781C3F"/>
    <w:rsid w:val="00782F74"/>
    <w:rsid w:val="007913C5"/>
    <w:rsid w:val="007A14C7"/>
    <w:rsid w:val="007A2C95"/>
    <w:rsid w:val="007A4892"/>
    <w:rsid w:val="007B1521"/>
    <w:rsid w:val="007B30E3"/>
    <w:rsid w:val="007B71F5"/>
    <w:rsid w:val="007C1D2A"/>
    <w:rsid w:val="007C4032"/>
    <w:rsid w:val="007C4CCE"/>
    <w:rsid w:val="007C588E"/>
    <w:rsid w:val="007C5AE6"/>
    <w:rsid w:val="007D683D"/>
    <w:rsid w:val="007F2AF4"/>
    <w:rsid w:val="0080317F"/>
    <w:rsid w:val="0081378B"/>
    <w:rsid w:val="00826D11"/>
    <w:rsid w:val="00831233"/>
    <w:rsid w:val="00834D62"/>
    <w:rsid w:val="0083573D"/>
    <w:rsid w:val="00837813"/>
    <w:rsid w:val="00842560"/>
    <w:rsid w:val="00846730"/>
    <w:rsid w:val="008478E4"/>
    <w:rsid w:val="008609B7"/>
    <w:rsid w:val="0086274D"/>
    <w:rsid w:val="00863001"/>
    <w:rsid w:val="0086562B"/>
    <w:rsid w:val="00866811"/>
    <w:rsid w:val="00880BBC"/>
    <w:rsid w:val="00896D4D"/>
    <w:rsid w:val="008A4CBB"/>
    <w:rsid w:val="008A5648"/>
    <w:rsid w:val="008A70EE"/>
    <w:rsid w:val="008B3EBA"/>
    <w:rsid w:val="008B7CFA"/>
    <w:rsid w:val="008C51A3"/>
    <w:rsid w:val="008D0F6D"/>
    <w:rsid w:val="008D568B"/>
    <w:rsid w:val="008F3930"/>
    <w:rsid w:val="008F5054"/>
    <w:rsid w:val="009118E9"/>
    <w:rsid w:val="00912589"/>
    <w:rsid w:val="00916207"/>
    <w:rsid w:val="009177E5"/>
    <w:rsid w:val="009304C9"/>
    <w:rsid w:val="0094049A"/>
    <w:rsid w:val="009422EE"/>
    <w:rsid w:val="0094555B"/>
    <w:rsid w:val="0095599F"/>
    <w:rsid w:val="009559F5"/>
    <w:rsid w:val="0096045B"/>
    <w:rsid w:val="009627AE"/>
    <w:rsid w:val="00962E07"/>
    <w:rsid w:val="009642F5"/>
    <w:rsid w:val="00971F1C"/>
    <w:rsid w:val="00982171"/>
    <w:rsid w:val="00990A86"/>
    <w:rsid w:val="009A04F6"/>
    <w:rsid w:val="009A2068"/>
    <w:rsid w:val="009A5971"/>
    <w:rsid w:val="009A6558"/>
    <w:rsid w:val="009B163F"/>
    <w:rsid w:val="009C50BE"/>
    <w:rsid w:val="009C5C6B"/>
    <w:rsid w:val="009D01D8"/>
    <w:rsid w:val="009E26D1"/>
    <w:rsid w:val="009E27EF"/>
    <w:rsid w:val="009E6CEB"/>
    <w:rsid w:val="009F25A5"/>
    <w:rsid w:val="009F2B11"/>
    <w:rsid w:val="009F4A05"/>
    <w:rsid w:val="009F7737"/>
    <w:rsid w:val="00A04F4D"/>
    <w:rsid w:val="00A07353"/>
    <w:rsid w:val="00A0785D"/>
    <w:rsid w:val="00A14812"/>
    <w:rsid w:val="00A242BE"/>
    <w:rsid w:val="00A2505A"/>
    <w:rsid w:val="00A25229"/>
    <w:rsid w:val="00A252E8"/>
    <w:rsid w:val="00A37816"/>
    <w:rsid w:val="00A47D46"/>
    <w:rsid w:val="00A551A2"/>
    <w:rsid w:val="00A55608"/>
    <w:rsid w:val="00A617F9"/>
    <w:rsid w:val="00A832DB"/>
    <w:rsid w:val="00A91E6F"/>
    <w:rsid w:val="00A958AF"/>
    <w:rsid w:val="00A960F0"/>
    <w:rsid w:val="00A96D4A"/>
    <w:rsid w:val="00AA2551"/>
    <w:rsid w:val="00AA7B57"/>
    <w:rsid w:val="00AB55FF"/>
    <w:rsid w:val="00AC157B"/>
    <w:rsid w:val="00AC2A09"/>
    <w:rsid w:val="00AD0199"/>
    <w:rsid w:val="00AD2938"/>
    <w:rsid w:val="00AE054D"/>
    <w:rsid w:val="00AE1E59"/>
    <w:rsid w:val="00AE7EC1"/>
    <w:rsid w:val="00AF73FB"/>
    <w:rsid w:val="00B0448A"/>
    <w:rsid w:val="00B07360"/>
    <w:rsid w:val="00B11B50"/>
    <w:rsid w:val="00B23335"/>
    <w:rsid w:val="00B241CB"/>
    <w:rsid w:val="00B24B70"/>
    <w:rsid w:val="00B31CA4"/>
    <w:rsid w:val="00B343B2"/>
    <w:rsid w:val="00B35067"/>
    <w:rsid w:val="00B353B5"/>
    <w:rsid w:val="00B36242"/>
    <w:rsid w:val="00B36BAE"/>
    <w:rsid w:val="00B431B3"/>
    <w:rsid w:val="00B47473"/>
    <w:rsid w:val="00B530C1"/>
    <w:rsid w:val="00B67140"/>
    <w:rsid w:val="00B67938"/>
    <w:rsid w:val="00B748F3"/>
    <w:rsid w:val="00B75833"/>
    <w:rsid w:val="00B77F5C"/>
    <w:rsid w:val="00B81829"/>
    <w:rsid w:val="00B95A75"/>
    <w:rsid w:val="00B9600E"/>
    <w:rsid w:val="00B97326"/>
    <w:rsid w:val="00BA4AA1"/>
    <w:rsid w:val="00BA6AC5"/>
    <w:rsid w:val="00BB30DE"/>
    <w:rsid w:val="00BB51BA"/>
    <w:rsid w:val="00BD0778"/>
    <w:rsid w:val="00BD5021"/>
    <w:rsid w:val="00BD54DA"/>
    <w:rsid w:val="00BD67A4"/>
    <w:rsid w:val="00BE2518"/>
    <w:rsid w:val="00BE2779"/>
    <w:rsid w:val="00BE3193"/>
    <w:rsid w:val="00BF6778"/>
    <w:rsid w:val="00C043EF"/>
    <w:rsid w:val="00C06E58"/>
    <w:rsid w:val="00C0765A"/>
    <w:rsid w:val="00C12071"/>
    <w:rsid w:val="00C129D6"/>
    <w:rsid w:val="00C13C7D"/>
    <w:rsid w:val="00C164C7"/>
    <w:rsid w:val="00C1666A"/>
    <w:rsid w:val="00C17BA7"/>
    <w:rsid w:val="00C2208E"/>
    <w:rsid w:val="00C2411F"/>
    <w:rsid w:val="00C24D53"/>
    <w:rsid w:val="00C36FFD"/>
    <w:rsid w:val="00C40045"/>
    <w:rsid w:val="00C419F7"/>
    <w:rsid w:val="00C448AB"/>
    <w:rsid w:val="00C476CB"/>
    <w:rsid w:val="00C566C1"/>
    <w:rsid w:val="00C57627"/>
    <w:rsid w:val="00C637BE"/>
    <w:rsid w:val="00C6416D"/>
    <w:rsid w:val="00C66985"/>
    <w:rsid w:val="00C708D5"/>
    <w:rsid w:val="00C741AE"/>
    <w:rsid w:val="00CA2955"/>
    <w:rsid w:val="00CB4332"/>
    <w:rsid w:val="00CB4608"/>
    <w:rsid w:val="00CB4B7E"/>
    <w:rsid w:val="00CC02B9"/>
    <w:rsid w:val="00CC7F36"/>
    <w:rsid w:val="00CD2B28"/>
    <w:rsid w:val="00CD6139"/>
    <w:rsid w:val="00CE0B0C"/>
    <w:rsid w:val="00CE3251"/>
    <w:rsid w:val="00CE3C50"/>
    <w:rsid w:val="00CE5EE1"/>
    <w:rsid w:val="00CF1349"/>
    <w:rsid w:val="00D01A9F"/>
    <w:rsid w:val="00D04422"/>
    <w:rsid w:val="00D104F2"/>
    <w:rsid w:val="00D20C53"/>
    <w:rsid w:val="00D212D7"/>
    <w:rsid w:val="00D235F1"/>
    <w:rsid w:val="00D2410F"/>
    <w:rsid w:val="00D24BB8"/>
    <w:rsid w:val="00D26388"/>
    <w:rsid w:val="00D305B8"/>
    <w:rsid w:val="00D3182C"/>
    <w:rsid w:val="00D46660"/>
    <w:rsid w:val="00D4745A"/>
    <w:rsid w:val="00D6217D"/>
    <w:rsid w:val="00D673F8"/>
    <w:rsid w:val="00D727B1"/>
    <w:rsid w:val="00D74D9F"/>
    <w:rsid w:val="00D823A8"/>
    <w:rsid w:val="00D840EC"/>
    <w:rsid w:val="00D94187"/>
    <w:rsid w:val="00DB22F4"/>
    <w:rsid w:val="00DB576A"/>
    <w:rsid w:val="00DB68F3"/>
    <w:rsid w:val="00DB7E7F"/>
    <w:rsid w:val="00DC3DC3"/>
    <w:rsid w:val="00DC476A"/>
    <w:rsid w:val="00DE1470"/>
    <w:rsid w:val="00DE3091"/>
    <w:rsid w:val="00DE5D9E"/>
    <w:rsid w:val="00DE67D5"/>
    <w:rsid w:val="00DE7903"/>
    <w:rsid w:val="00DF2322"/>
    <w:rsid w:val="00DF2B96"/>
    <w:rsid w:val="00E0156F"/>
    <w:rsid w:val="00E03684"/>
    <w:rsid w:val="00E054D6"/>
    <w:rsid w:val="00E0766D"/>
    <w:rsid w:val="00E23DC4"/>
    <w:rsid w:val="00E264F7"/>
    <w:rsid w:val="00E313BD"/>
    <w:rsid w:val="00E41373"/>
    <w:rsid w:val="00E4360B"/>
    <w:rsid w:val="00E46BFF"/>
    <w:rsid w:val="00E47F73"/>
    <w:rsid w:val="00E5637F"/>
    <w:rsid w:val="00E56863"/>
    <w:rsid w:val="00E57992"/>
    <w:rsid w:val="00E63523"/>
    <w:rsid w:val="00E6637F"/>
    <w:rsid w:val="00E70973"/>
    <w:rsid w:val="00E746C4"/>
    <w:rsid w:val="00E80360"/>
    <w:rsid w:val="00E824B9"/>
    <w:rsid w:val="00E90846"/>
    <w:rsid w:val="00E95039"/>
    <w:rsid w:val="00E953F3"/>
    <w:rsid w:val="00E97DC0"/>
    <w:rsid w:val="00EA5132"/>
    <w:rsid w:val="00EA5DF0"/>
    <w:rsid w:val="00EB00FD"/>
    <w:rsid w:val="00EB0DA6"/>
    <w:rsid w:val="00EB7278"/>
    <w:rsid w:val="00EB748E"/>
    <w:rsid w:val="00EB7909"/>
    <w:rsid w:val="00EC527D"/>
    <w:rsid w:val="00EC68A7"/>
    <w:rsid w:val="00ED3F3A"/>
    <w:rsid w:val="00ED5F7C"/>
    <w:rsid w:val="00EE03AC"/>
    <w:rsid w:val="00EF0077"/>
    <w:rsid w:val="00EF04CD"/>
    <w:rsid w:val="00EF05BB"/>
    <w:rsid w:val="00EF6EC9"/>
    <w:rsid w:val="00EF7A4E"/>
    <w:rsid w:val="00F007A3"/>
    <w:rsid w:val="00F11EFD"/>
    <w:rsid w:val="00F123EF"/>
    <w:rsid w:val="00F255B7"/>
    <w:rsid w:val="00F447A3"/>
    <w:rsid w:val="00F60B18"/>
    <w:rsid w:val="00F66EAA"/>
    <w:rsid w:val="00F76B5C"/>
    <w:rsid w:val="00F81996"/>
    <w:rsid w:val="00F84378"/>
    <w:rsid w:val="00F917BD"/>
    <w:rsid w:val="00F92508"/>
    <w:rsid w:val="00F94455"/>
    <w:rsid w:val="00FA2147"/>
    <w:rsid w:val="00FA588A"/>
    <w:rsid w:val="00FA7F1A"/>
    <w:rsid w:val="00FB1B7D"/>
    <w:rsid w:val="00FB497F"/>
    <w:rsid w:val="00FC2AA2"/>
    <w:rsid w:val="00FC4859"/>
    <w:rsid w:val="00FD2685"/>
    <w:rsid w:val="00FD47AE"/>
    <w:rsid w:val="00FD49B9"/>
    <w:rsid w:val="00FD6013"/>
    <w:rsid w:val="00FE0A4D"/>
    <w:rsid w:val="00FF1481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39CF1F"/>
  <w15:docId w15:val="{51AA9B47-8D8D-43A2-97EC-778D02E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pPr>
      <w:tabs>
        <w:tab w:val="center" w:pos="4703"/>
        <w:tab w:val="right" w:pos="9406"/>
      </w:tabs>
    </w:pPr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FreeFormA">
    <w:name w:val="Free Form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Normalny1">
    <w:name w:val="Normalny1"/>
    <w:rPr>
      <w:rFonts w:ascii="Lucida Grande" w:eastAsia="ヒラギノ角ゴ Pro W3" w:hAnsi="Lucida Grande"/>
      <w:color w:val="000000"/>
      <w:sz w:val="22"/>
      <w:lang w:val="en-US"/>
    </w:rPr>
  </w:style>
  <w:style w:type="character" w:customStyle="1" w:styleId="Pogrubienie1">
    <w:name w:val="Pogrubienie1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Kolorowalistaakcent11">
    <w:name w:val="Kolorowa lista — akcent 11"/>
    <w:qFormat/>
    <w:pPr>
      <w:ind w:left="720"/>
    </w:pPr>
    <w:rPr>
      <w:rFonts w:ascii="Calibri" w:eastAsia="ヒラギノ角ゴ Pro W3" w:hAnsi="Calibri"/>
      <w:color w:val="000000"/>
      <w:sz w:val="22"/>
    </w:rPr>
  </w:style>
  <w:style w:type="character" w:customStyle="1" w:styleId="Hipercze1">
    <w:name w:val="Hiperłącze1"/>
    <w:rPr>
      <w:color w:val="0000FF"/>
      <w:sz w:val="20"/>
      <w:u w:val="single"/>
    </w:rPr>
  </w:style>
  <w:style w:type="character" w:styleId="Hipercze">
    <w:name w:val="Hyperlink"/>
    <w:locked/>
    <w:rsid w:val="00A958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locked/>
    <w:rsid w:val="001F255E"/>
    <w:rPr>
      <w:color w:val="58595B"/>
      <w:lang w:val="pl-PL" w:eastAsia="pl-PL"/>
    </w:rPr>
  </w:style>
  <w:style w:type="character" w:styleId="Pogrubienie">
    <w:name w:val="Strong"/>
    <w:uiPriority w:val="22"/>
    <w:qFormat/>
    <w:locked/>
    <w:rsid w:val="00C12071"/>
    <w:rPr>
      <w:b/>
      <w:bCs/>
    </w:rPr>
  </w:style>
  <w:style w:type="paragraph" w:styleId="Nagwek">
    <w:name w:val="header"/>
    <w:basedOn w:val="Normalny"/>
    <w:link w:val="NagwekZnak"/>
    <w:locked/>
    <w:rsid w:val="00FE0A4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FE0A4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locked/>
    <w:rsid w:val="00FE0A4D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rsid w:val="00FE0A4D"/>
    <w:rPr>
      <w:sz w:val="24"/>
      <w:szCs w:val="24"/>
      <w:lang w:eastAsia="en-US"/>
    </w:rPr>
  </w:style>
  <w:style w:type="paragraph" w:customStyle="1" w:styleId="pt10black">
    <w:name w:val="pt10black"/>
    <w:basedOn w:val="Normalny"/>
    <w:rsid w:val="00216D35"/>
    <w:pPr>
      <w:spacing w:before="100" w:beforeAutospacing="1" w:after="100" w:afterAutospacing="1"/>
    </w:pPr>
    <w:rPr>
      <w:rFonts w:ascii="Verdana" w:hAnsi="Verdana"/>
      <w:color w:val="000000"/>
      <w:sz w:val="13"/>
      <w:szCs w:val="13"/>
      <w:lang w:val="pl-PL" w:eastAsia="pl-PL"/>
    </w:rPr>
  </w:style>
  <w:style w:type="character" w:customStyle="1" w:styleId="hps">
    <w:name w:val="hps"/>
    <w:rsid w:val="005A221C"/>
  </w:style>
  <w:style w:type="paragraph" w:styleId="Akapitzlist">
    <w:name w:val="List Paragraph"/>
    <w:basedOn w:val="Normalny"/>
    <w:uiPriority w:val="34"/>
    <w:qFormat/>
    <w:rsid w:val="005A221C"/>
    <w:pPr>
      <w:ind w:left="720"/>
    </w:pPr>
    <w:rPr>
      <w:rFonts w:ascii="Calibri" w:eastAsia="Calibri" w:hAnsi="Calibri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locked/>
    <w:rsid w:val="002435D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435D7"/>
    <w:rPr>
      <w:lang w:val="en-US" w:eastAsia="en-US"/>
    </w:rPr>
  </w:style>
  <w:style w:type="character" w:styleId="Odwoanieprzypisudolnego">
    <w:name w:val="footnote reference"/>
    <w:uiPriority w:val="99"/>
    <w:locked/>
    <w:rsid w:val="002435D7"/>
    <w:rPr>
      <w:vertAlign w:val="superscript"/>
    </w:rPr>
  </w:style>
  <w:style w:type="paragraph" w:styleId="Tekstdymka">
    <w:name w:val="Balloon Text"/>
    <w:basedOn w:val="Normalny"/>
    <w:link w:val="TekstdymkaZnak"/>
    <w:locked/>
    <w:rsid w:val="00472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F80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721F64"/>
    <w:pPr>
      <w:autoSpaceDE w:val="0"/>
      <w:autoSpaceDN w:val="0"/>
      <w:adjustRightInd w:val="0"/>
    </w:pPr>
    <w:rPr>
      <w:rFonts w:ascii="Fedra Sans Alt Pro Book" w:hAnsi="Fedra Sans Alt Pro Book" w:cs="Fedra Sans Alt Pro Book"/>
      <w:color w:val="000000"/>
      <w:sz w:val="24"/>
      <w:szCs w:val="24"/>
    </w:rPr>
  </w:style>
  <w:style w:type="character" w:customStyle="1" w:styleId="A2">
    <w:name w:val="A2"/>
    <w:uiPriority w:val="99"/>
    <w:rsid w:val="00DC3DC3"/>
    <w:rPr>
      <w:rFonts w:cs="Fedra Sans Alt Pro Book"/>
      <w:color w:val="000000"/>
      <w:sz w:val="36"/>
      <w:szCs w:val="36"/>
    </w:rPr>
  </w:style>
  <w:style w:type="character" w:customStyle="1" w:styleId="A8">
    <w:name w:val="A8"/>
    <w:uiPriority w:val="99"/>
    <w:rsid w:val="001D17EC"/>
    <w:rPr>
      <w:rFonts w:cs="Fedra Sans Alt Pro Book"/>
      <w:color w:val="000000"/>
      <w:sz w:val="38"/>
      <w:szCs w:val="38"/>
    </w:rPr>
  </w:style>
  <w:style w:type="paragraph" w:styleId="Tekstprzypisukocowego">
    <w:name w:val="endnote text"/>
    <w:basedOn w:val="Normalny"/>
    <w:link w:val="TekstprzypisukocowegoZnak"/>
    <w:semiHidden/>
    <w:unhideWhenUsed/>
    <w:locked/>
    <w:rsid w:val="005226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2653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locked/>
    <w:rsid w:val="00522653"/>
    <w:rPr>
      <w:vertAlign w:val="superscript"/>
    </w:rPr>
  </w:style>
  <w:style w:type="character" w:customStyle="1" w:styleId="Znakiprzypiswdolnych">
    <w:name w:val="Znaki przypisów dolnych"/>
    <w:uiPriority w:val="99"/>
    <w:rsid w:val="001660D3"/>
    <w:rPr>
      <w:vertAlign w:val="superscript"/>
    </w:rPr>
  </w:style>
  <w:style w:type="character" w:customStyle="1" w:styleId="A4">
    <w:name w:val="A4"/>
    <w:uiPriority w:val="99"/>
    <w:rsid w:val="006D5DCB"/>
    <w:rPr>
      <w:rFonts w:cs="Fedra Sans Alt Pro Light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locked/>
    <w:rsid w:val="009E2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9E2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26D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9E2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E26D1"/>
    <w:rPr>
      <w:b/>
      <w:bCs/>
      <w:lang w:val="en-US" w:eastAsia="en-US"/>
    </w:rPr>
  </w:style>
  <w:style w:type="character" w:customStyle="1" w:styleId="expert-name">
    <w:name w:val="expert-name"/>
    <w:basedOn w:val="Domylnaczcionkaakapitu"/>
    <w:rsid w:val="00D74D9F"/>
  </w:style>
  <w:style w:type="paragraph" w:customStyle="1" w:styleId="Pa1">
    <w:name w:val="Pa1"/>
    <w:basedOn w:val="Default"/>
    <w:next w:val="Default"/>
    <w:uiPriority w:val="99"/>
    <w:rsid w:val="00B97326"/>
    <w:pPr>
      <w:spacing w:line="156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B97326"/>
    <w:rPr>
      <w:rFonts w:ascii="Fedra Sans Alt Pro Medium" w:hAnsi="Fedra Sans Alt Pro Medium" w:cs="Fedra Sans Alt Pro Medium"/>
      <w:color w:val="000000"/>
      <w:sz w:val="68"/>
      <w:szCs w:val="68"/>
    </w:rPr>
  </w:style>
  <w:style w:type="character" w:customStyle="1" w:styleId="A9">
    <w:name w:val="A9"/>
    <w:uiPriority w:val="99"/>
    <w:rsid w:val="00B97326"/>
    <w:rPr>
      <w:rFonts w:ascii="Fedra Sans Alt Pro Medium" w:hAnsi="Fedra Sans Alt Pro Medium" w:cs="Fedra Sans Alt Pro Medium"/>
      <w:color w:val="000000"/>
      <w:sz w:val="26"/>
      <w:szCs w:val="26"/>
    </w:rPr>
  </w:style>
  <w:style w:type="character" w:customStyle="1" w:styleId="post-excerpt">
    <w:name w:val="post-excerpt"/>
    <w:basedOn w:val="Domylnaczcionkaakapitu"/>
    <w:rsid w:val="00B3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855">
                  <w:marLeft w:val="0"/>
                  <w:marRight w:val="0"/>
                  <w:marTop w:val="0"/>
                  <w:marBottom w:val="270"/>
                  <w:divBdr>
                    <w:top w:val="single" w:sz="12" w:space="0" w:color="DDDAD7"/>
                    <w:left w:val="single" w:sz="12" w:space="0" w:color="DDDAD7"/>
                    <w:bottom w:val="single" w:sz="12" w:space="0" w:color="DDDAD7"/>
                    <w:right w:val="single" w:sz="12" w:space="0" w:color="DDDAD7"/>
                  </w:divBdr>
                  <w:divsChild>
                    <w:div w:id="625545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3118">
                          <w:marLeft w:val="285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7E3E1"/>
                                <w:right w:val="none" w:sz="0" w:space="0" w:color="auto"/>
                              </w:divBdr>
                              <w:divsChild>
                                <w:div w:id="26584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7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0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0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676">
                  <w:marLeft w:val="0"/>
                  <w:marRight w:val="0"/>
                  <w:marTop w:val="0"/>
                  <w:marBottom w:val="270"/>
                  <w:divBdr>
                    <w:top w:val="single" w:sz="12" w:space="0" w:color="DDDAD7"/>
                    <w:left w:val="single" w:sz="12" w:space="0" w:color="DDDAD7"/>
                    <w:bottom w:val="single" w:sz="12" w:space="0" w:color="DDDAD7"/>
                    <w:right w:val="single" w:sz="12" w:space="0" w:color="DDDAD7"/>
                  </w:divBdr>
                  <w:divsChild>
                    <w:div w:id="4781531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6957">
                          <w:marLeft w:val="285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7E3E1"/>
                                <w:right w:val="none" w:sz="0" w:space="0" w:color="auto"/>
                              </w:divBdr>
                              <w:divsChild>
                                <w:div w:id="6345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dlo@dn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6ECA-E0CB-4FF1-9E4A-7861467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DnB NORD Polska</Company>
  <LinksUpToDate>false</LinksUpToDate>
  <CharactersWithSpaces>6924</CharactersWithSpaces>
  <SharedDoc>false</SharedDoc>
  <HLinks>
    <vt:vector size="6" baseType="variant"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mailto:katarzyna.zadlo@dnb.pl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Piasta, Lukasz (WAW-WSW)</dc:creator>
  <cp:lastModifiedBy>Sandra Jedynak</cp:lastModifiedBy>
  <cp:revision>2</cp:revision>
  <cp:lastPrinted>2016-10-17T07:41:00Z</cp:lastPrinted>
  <dcterms:created xsi:type="dcterms:W3CDTF">2016-10-18T10:01:00Z</dcterms:created>
  <dcterms:modified xsi:type="dcterms:W3CDTF">2016-10-18T10:01:00Z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