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A8" w:rsidRDefault="000E3FA8" w:rsidP="000E3FA8">
      <w:pPr>
        <w:spacing w:line="360" w:lineRule="auto"/>
        <w:rPr>
          <w:rFonts w:ascii="Times New Roman" w:hAnsi="Times New Roman" w:cs="Times New Roman"/>
          <w:b/>
          <w:sz w:val="27"/>
          <w:szCs w:val="27"/>
        </w:rPr>
      </w:pPr>
    </w:p>
    <w:p w:rsidR="000E3FA8" w:rsidRDefault="000E3FA8" w:rsidP="000E3FA8">
      <w:pPr>
        <w:spacing w:line="360" w:lineRule="auto"/>
        <w:rPr>
          <w:rFonts w:ascii="Times New Roman" w:hAnsi="Times New Roman" w:cs="Times New Roman"/>
          <w:sz w:val="24"/>
        </w:rPr>
      </w:pPr>
      <w:r>
        <w:rPr>
          <w:rFonts w:ascii="Times New Roman" w:hAnsi="Times New Roman" w:cs="Times New Roman"/>
          <w:b/>
          <w:sz w:val="27"/>
          <w:szCs w:val="27"/>
        </w:rPr>
        <w:t>Kolejna odsłona afery - ujawniamy mechanizmy</w:t>
      </w:r>
    </w:p>
    <w:p w:rsidR="000E3FA8" w:rsidRDefault="000E3FA8" w:rsidP="000E3FA8">
      <w:pPr>
        <w:spacing w:line="360" w:lineRule="auto"/>
        <w:jc w:val="both"/>
        <w:rPr>
          <w:rFonts w:ascii="Times New Roman" w:hAnsi="Times New Roman" w:cs="Times New Roman"/>
          <w:sz w:val="24"/>
        </w:rPr>
      </w:pPr>
    </w:p>
    <w:p w:rsidR="00692A6D" w:rsidRDefault="006539C3" w:rsidP="000E3FA8">
      <w:pPr>
        <w:spacing w:line="360" w:lineRule="auto"/>
        <w:jc w:val="both"/>
        <w:rPr>
          <w:rFonts w:ascii="Times New Roman" w:hAnsi="Times New Roman" w:cs="Times New Roman"/>
          <w:b/>
          <w:sz w:val="24"/>
        </w:rPr>
      </w:pPr>
      <w:r>
        <w:rPr>
          <w:rFonts w:ascii="Times New Roman" w:hAnsi="Times New Roman" w:cs="Times New Roman"/>
          <w:sz w:val="24"/>
        </w:rPr>
        <w:t>Mechanizm „</w:t>
      </w:r>
      <w:r w:rsidR="000E3FA8">
        <w:rPr>
          <w:rFonts w:ascii="Times New Roman" w:hAnsi="Times New Roman" w:cs="Times New Roman"/>
          <w:sz w:val="24"/>
        </w:rPr>
        <w:t>kupczenia” zezwolenia</w:t>
      </w:r>
      <w:r w:rsidR="001F6ADE">
        <w:rPr>
          <w:rFonts w:ascii="Times New Roman" w:hAnsi="Times New Roman" w:cs="Times New Roman"/>
          <w:sz w:val="24"/>
        </w:rPr>
        <w:t>mi</w:t>
      </w:r>
      <w:r w:rsidR="000E3FA8">
        <w:rPr>
          <w:rFonts w:ascii="Times New Roman" w:hAnsi="Times New Roman" w:cs="Times New Roman"/>
          <w:sz w:val="24"/>
        </w:rPr>
        <w:t xml:space="preserve"> aptecznymi, przebija swoim rozmiarem oraz złożonością nawet fakt </w:t>
      </w:r>
      <w:r>
        <w:rPr>
          <w:rFonts w:ascii="Times New Roman" w:hAnsi="Times New Roman" w:cs="Times New Roman"/>
          <w:sz w:val="24"/>
        </w:rPr>
        <w:t xml:space="preserve">unikania opodatkowania </w:t>
      </w:r>
      <w:r w:rsidR="000E3FA8">
        <w:rPr>
          <w:rFonts w:ascii="Times New Roman" w:hAnsi="Times New Roman" w:cs="Times New Roman"/>
          <w:sz w:val="24"/>
        </w:rPr>
        <w:t xml:space="preserve">przez </w:t>
      </w:r>
      <w:proofErr w:type="spellStart"/>
      <w:r w:rsidR="000E3FA8">
        <w:rPr>
          <w:rFonts w:ascii="Times New Roman" w:hAnsi="Times New Roman" w:cs="Times New Roman"/>
          <w:sz w:val="24"/>
        </w:rPr>
        <w:t>sieciówki</w:t>
      </w:r>
      <w:proofErr w:type="spellEnd"/>
      <w:r w:rsidR="000E3FA8">
        <w:rPr>
          <w:rFonts w:ascii="Times New Roman" w:hAnsi="Times New Roman" w:cs="Times New Roman"/>
          <w:sz w:val="24"/>
        </w:rPr>
        <w:t xml:space="preserve">. </w:t>
      </w:r>
      <w:r>
        <w:rPr>
          <w:rFonts w:ascii="Times New Roman" w:hAnsi="Times New Roman" w:cs="Times New Roman"/>
          <w:sz w:val="24"/>
        </w:rPr>
        <w:t>Duże sieci apteczne s</w:t>
      </w:r>
      <w:r w:rsidR="000E3FA8">
        <w:rPr>
          <w:rFonts w:ascii="Times New Roman" w:hAnsi="Times New Roman" w:cs="Times New Roman"/>
          <w:sz w:val="24"/>
        </w:rPr>
        <w:t xml:space="preserve">tworzyły niedozwolony mechanizm zorganizowanego łamania prawa i omijania progów dopuszczalnej jednoprocentowej koncentracji aptek w województwie. </w:t>
      </w:r>
      <w:r>
        <w:rPr>
          <w:rFonts w:ascii="Times New Roman" w:hAnsi="Times New Roman" w:cs="Times New Roman"/>
          <w:sz w:val="24"/>
        </w:rPr>
        <w:t>C</w:t>
      </w:r>
      <w:r w:rsidR="00692A6D">
        <w:rPr>
          <w:rFonts w:ascii="Times New Roman" w:hAnsi="Times New Roman" w:cs="Times New Roman"/>
          <w:sz w:val="24"/>
        </w:rPr>
        <w:t>elowo obchodziły prawo, by następ</w:t>
      </w:r>
      <w:r>
        <w:rPr>
          <w:rFonts w:ascii="Times New Roman" w:hAnsi="Times New Roman" w:cs="Times New Roman"/>
          <w:sz w:val="24"/>
        </w:rPr>
        <w:t xml:space="preserve">nie </w:t>
      </w:r>
      <w:r w:rsidR="00692A6D">
        <w:rPr>
          <w:rFonts w:ascii="Times New Roman" w:hAnsi="Times New Roman" w:cs="Times New Roman"/>
          <w:sz w:val="24"/>
        </w:rPr>
        <w:t>mówić o tym, że takie zachowanie podlega ochronie (co jest nieprawdą), a egzekwowanie przepisów prawa w zakresie dopuszczalnej koncentracji jest jakoby naruszeniem konstytucyjnej zasady ochrony praw słusznie (?) nabytych (co również jest nieprawdą).</w:t>
      </w:r>
      <w:bookmarkStart w:id="0" w:name="_GoBack"/>
      <w:bookmarkEnd w:id="0"/>
    </w:p>
    <w:p w:rsidR="000E3FA8" w:rsidRPr="00F968EA" w:rsidRDefault="000E3FA8" w:rsidP="000E3FA8">
      <w:pPr>
        <w:spacing w:line="360" w:lineRule="auto"/>
        <w:jc w:val="both"/>
        <w:rPr>
          <w:rFonts w:ascii="Times New Roman" w:hAnsi="Times New Roman" w:cs="Times New Roman"/>
          <w:b/>
          <w:sz w:val="24"/>
        </w:rPr>
      </w:pPr>
      <w:r w:rsidRPr="00F968EA">
        <w:rPr>
          <w:rFonts w:ascii="Times New Roman" w:hAnsi="Times New Roman" w:cs="Times New Roman"/>
          <w:b/>
          <w:sz w:val="24"/>
        </w:rPr>
        <w:t xml:space="preserve">Ograniczenie ilościowe </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Polskie Prawo farmaceutyczne w art. 99 ust. 3 ustanawia wymóg, by jeden podmiot – bezpośrednio lub przez inne kontrolowane przez siebie podmioty – nie prowadził na terenie województwa większej ilości aptek, aniżeli 1 proc. wszystkich aptek ogólnodostępnych. Próg 1 proc. kształtuje się różnie dla różnych województw, ale co do zasady wynosi od 3 (województwa opolskie i podlaskie) do 18 aptek (województwo mazowieckie). Przepis ten został stworzony w celu niedopuszczenia do ekspansji aptek sieciowych; jest typowym przepisem szczegółowym o charakterystyce antykoncentracyjnej, występującym w postaci ograniczenia ilościowego również w innych systemach prawnych (np. w Niemczech, we Francji, we Włoszech itp.).</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 xml:space="preserve">Podmiot prowadzący już apteki w sieci i chcący otworzyć kolejną placówkę, zobowiązany jest do złożenia oświadczenia w procedurze ubiegania się o uzyskanie zezwolenia, w którym wymienia wszystkie podmioty kontrolowane przez siebie, celem wykazania, że progu 1 proc. koncentracji nie narusza. Oświadczenie takie, jako składane na okoliczności mające znaczenie prawne, musi poświadczać prawdę; w przeciwnym wypadku osoba je składająca popełnia przestępstwo. Owe oświadczenia miały zastępować badanie przez WIF-y spełnianie wymogu nienaruszania progu 1 proc. koncentracji. Inspekcja Farmaceutyczna nie wypracowała bowiem od 2001 r. procedury analizowania spełniania wymogów z art. 99 ust. 3 </w:t>
      </w:r>
      <w:proofErr w:type="spellStart"/>
      <w:r>
        <w:rPr>
          <w:rFonts w:ascii="Times New Roman" w:hAnsi="Times New Roman" w:cs="Times New Roman"/>
          <w:sz w:val="24"/>
        </w:rPr>
        <w:t>p.f</w:t>
      </w:r>
      <w:proofErr w:type="spellEnd"/>
      <w:r>
        <w:rPr>
          <w:rFonts w:ascii="Times New Roman" w:hAnsi="Times New Roman" w:cs="Times New Roman"/>
          <w:sz w:val="24"/>
        </w:rPr>
        <w:t>., np. we współpracy z prezesem UOKiK, czy też w inny sposób.</w:t>
      </w:r>
    </w:p>
    <w:p w:rsidR="00692A6D" w:rsidRDefault="000E3FA8" w:rsidP="000E3FA8">
      <w:pPr>
        <w:spacing w:line="360" w:lineRule="auto"/>
        <w:jc w:val="both"/>
        <w:rPr>
          <w:rFonts w:ascii="Times New Roman" w:hAnsi="Times New Roman" w:cs="Times New Roman"/>
          <w:b/>
          <w:sz w:val="24"/>
        </w:rPr>
      </w:pPr>
      <w:r>
        <w:rPr>
          <w:rFonts w:ascii="Times New Roman" w:hAnsi="Times New Roman" w:cs="Times New Roman"/>
          <w:sz w:val="24"/>
        </w:rPr>
        <w:lastRenderedPageBreak/>
        <w:t xml:space="preserve">Wnioskujący o wydanie nowego zezwolenia podmiot prowadzący sieć aptek nie składał fałszywego oświadczenia i – co równie oczywiste – nie naruszał progów dozwolonej </w:t>
      </w:r>
      <w:proofErr w:type="spellStart"/>
      <w:r>
        <w:rPr>
          <w:rFonts w:ascii="Times New Roman" w:hAnsi="Times New Roman" w:cs="Times New Roman"/>
          <w:sz w:val="24"/>
        </w:rPr>
        <w:t>antykoncentracji</w:t>
      </w:r>
      <w:proofErr w:type="spellEnd"/>
      <w:r>
        <w:rPr>
          <w:rFonts w:ascii="Times New Roman" w:hAnsi="Times New Roman" w:cs="Times New Roman"/>
          <w:sz w:val="24"/>
        </w:rPr>
        <w:t xml:space="preserve">; natomiast Inspekcja Farmaceutyczna, widząc złożone oświadczenie, z czystym sumieniem udzielała zezwolenia na prowadzenie kolejnej apteki, w zależności od treści złożonego oświadczenia. </w:t>
      </w:r>
      <w:r w:rsidR="00692A6D">
        <w:rPr>
          <w:rFonts w:ascii="Times New Roman" w:hAnsi="Times New Roman" w:cs="Times New Roman"/>
          <w:sz w:val="24"/>
        </w:rPr>
        <w:t>O</w:t>
      </w:r>
      <w:r>
        <w:rPr>
          <w:rFonts w:ascii="Times New Roman" w:hAnsi="Times New Roman" w:cs="Times New Roman"/>
          <w:sz w:val="24"/>
        </w:rPr>
        <w:t xml:space="preserve">kazało się jednak, że co najmniej część z sieci aptecznych… nie składała jakichkolwiek oświadczeń, a próg dozwolonej koncentracji wprost łamała. </w:t>
      </w:r>
    </w:p>
    <w:p w:rsidR="000E3FA8" w:rsidRPr="003E209D" w:rsidRDefault="000E3FA8" w:rsidP="000E3FA8">
      <w:pPr>
        <w:spacing w:line="360" w:lineRule="auto"/>
        <w:jc w:val="both"/>
        <w:rPr>
          <w:rFonts w:ascii="Times New Roman" w:hAnsi="Times New Roman" w:cs="Times New Roman"/>
          <w:b/>
          <w:sz w:val="24"/>
        </w:rPr>
      </w:pPr>
      <w:r>
        <w:rPr>
          <w:rFonts w:ascii="Times New Roman" w:hAnsi="Times New Roman" w:cs="Times New Roman"/>
          <w:b/>
          <w:sz w:val="24"/>
        </w:rPr>
        <w:t>„Zagubione”</w:t>
      </w:r>
      <w:r w:rsidRPr="003E209D">
        <w:rPr>
          <w:rFonts w:ascii="Times New Roman" w:hAnsi="Times New Roman" w:cs="Times New Roman"/>
          <w:b/>
          <w:sz w:val="24"/>
        </w:rPr>
        <w:t xml:space="preserve"> oświadczenia</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 xml:space="preserve">Wedle wstępnych danych otrzymanych od wojewódzkich inspektorów farmaceutycznych, w województwach: lubuskim, małopolskim, podkarpackim, świętokrzyskim i warmińsko-mazurskim od początku 2002 r. </w:t>
      </w:r>
      <w:r w:rsidRPr="009014E7">
        <w:rPr>
          <w:rFonts w:ascii="Times New Roman" w:hAnsi="Times New Roman" w:cs="Times New Roman"/>
          <w:sz w:val="24"/>
        </w:rPr>
        <w:t>nie wydano ani jednej</w:t>
      </w:r>
      <w:r>
        <w:rPr>
          <w:rFonts w:ascii="Times New Roman" w:hAnsi="Times New Roman" w:cs="Times New Roman"/>
          <w:sz w:val="24"/>
        </w:rPr>
        <w:t xml:space="preserve"> decyzji odmawiającej wydania zezwolenia ze względu na naruszenie progów jednoprocentowej koncentracji. W województwach pomorskim i podlaskim przez ponad 14 lat wydano zaledwie </w:t>
      </w:r>
      <w:r w:rsidRPr="009014E7">
        <w:rPr>
          <w:rFonts w:ascii="Times New Roman" w:hAnsi="Times New Roman" w:cs="Times New Roman"/>
          <w:sz w:val="24"/>
        </w:rPr>
        <w:t>po jednej</w:t>
      </w:r>
      <w:r>
        <w:rPr>
          <w:rFonts w:ascii="Times New Roman" w:hAnsi="Times New Roman" w:cs="Times New Roman"/>
          <w:sz w:val="24"/>
        </w:rPr>
        <w:t xml:space="preserve"> takiej decyzji. Podobna „mikroskala” miała miejsce jeżeli chodzi o cofanie zezwoleń na prowadzenie aptek po przekroczeniu progu, o którym mowa w art. 99 ust. 3 </w:t>
      </w:r>
      <w:proofErr w:type="spellStart"/>
      <w:r>
        <w:rPr>
          <w:rFonts w:ascii="Times New Roman" w:hAnsi="Times New Roman" w:cs="Times New Roman"/>
          <w:sz w:val="24"/>
        </w:rPr>
        <w:t>p.f</w:t>
      </w:r>
      <w:proofErr w:type="spellEnd"/>
      <w:r>
        <w:rPr>
          <w:rFonts w:ascii="Times New Roman" w:hAnsi="Times New Roman" w:cs="Times New Roman"/>
          <w:sz w:val="24"/>
        </w:rPr>
        <w:t xml:space="preserve">. W województwach lubuskim, pomorskim i wielkopolskim decyzji cofających zezwolenie z tego powodu było raptem (odpowiednio): 1, 1 oraz 3; przy czym Inspektor w Gorzowie Wielkopolskim obecnie proceduje nad ośmioma tego rodzaju sprawami. Od 2002 r. w województwach małopolskim, podkarpackim, podlaskim, świętokrzyskim oraz warmińsko-mazurskim nie wydano </w:t>
      </w:r>
      <w:r w:rsidRPr="009014E7">
        <w:rPr>
          <w:rFonts w:ascii="Times New Roman" w:hAnsi="Times New Roman" w:cs="Times New Roman"/>
          <w:sz w:val="24"/>
        </w:rPr>
        <w:t>ani jednej</w:t>
      </w:r>
      <w:r>
        <w:rPr>
          <w:rFonts w:ascii="Times New Roman" w:hAnsi="Times New Roman" w:cs="Times New Roman"/>
          <w:sz w:val="24"/>
        </w:rPr>
        <w:t xml:space="preserve"> tego rodzaju decyzji</w:t>
      </w:r>
      <w:r>
        <w:rPr>
          <w:rStyle w:val="Odwoanieprzypisudolnego"/>
          <w:rFonts w:ascii="Times New Roman" w:hAnsi="Times New Roman" w:cs="Times New Roman"/>
          <w:sz w:val="24"/>
        </w:rPr>
        <w:footnoteReference w:id="1"/>
      </w:r>
      <w:r>
        <w:rPr>
          <w:rFonts w:ascii="Times New Roman" w:hAnsi="Times New Roman" w:cs="Times New Roman"/>
          <w:sz w:val="24"/>
        </w:rPr>
        <w:t>.</w:t>
      </w:r>
    </w:p>
    <w:p w:rsidR="000E3FA8" w:rsidRPr="001A17AC" w:rsidRDefault="000E3FA8" w:rsidP="000E3FA8">
      <w:pPr>
        <w:spacing w:line="360" w:lineRule="auto"/>
        <w:jc w:val="both"/>
        <w:rPr>
          <w:rFonts w:ascii="Times New Roman" w:hAnsi="Times New Roman" w:cs="Times New Roman"/>
          <w:b/>
          <w:sz w:val="24"/>
        </w:rPr>
      </w:pPr>
      <w:r w:rsidRPr="001A17AC">
        <w:rPr>
          <w:rFonts w:ascii="Times New Roman" w:hAnsi="Times New Roman" w:cs="Times New Roman"/>
          <w:b/>
          <w:sz w:val="24"/>
        </w:rPr>
        <w:t>Jak to możliwe?</w:t>
      </w:r>
    </w:p>
    <w:p w:rsidR="000E3FA8" w:rsidRDefault="00692A6D" w:rsidP="000E3FA8">
      <w:pPr>
        <w:spacing w:line="360" w:lineRule="auto"/>
        <w:jc w:val="both"/>
        <w:rPr>
          <w:rFonts w:ascii="Times New Roman" w:hAnsi="Times New Roman" w:cs="Times New Roman"/>
          <w:sz w:val="24"/>
        </w:rPr>
      </w:pPr>
      <w:r>
        <w:rPr>
          <w:rFonts w:ascii="Times New Roman" w:hAnsi="Times New Roman" w:cs="Times New Roman"/>
          <w:sz w:val="24"/>
        </w:rPr>
        <w:t>J</w:t>
      </w:r>
      <w:r w:rsidR="000E3FA8">
        <w:rPr>
          <w:rFonts w:ascii="Times New Roman" w:hAnsi="Times New Roman" w:cs="Times New Roman"/>
          <w:sz w:val="24"/>
        </w:rPr>
        <w:t xml:space="preserve">ak to możliwe, że począwszy od 2002 r. sieci apteczne sukcesywnie rozrastały się do niebotycznych rozmiarów, skoro znaczna część inspektorów farmaceutycznych nie wydawała w tym przedmiocie jakichkolwiek decyzji uprawniających do ekspansji rynkowej? Przecież zgodnie z art. 99 ust. 1 Prawa farmaceutycznego, bez uzyskania zezwolenia apteka w ogóle nie może być otwarta. Zwracam uwagę, że przecież linia obrony sieci aptecznych opiera się na założeniu, że próg koncentracji zobligowane są one przestrzegać jedynie na etapie wydawania zezwolenia na prowadzenie apteki , a jego przekroczenie później nie może stanowić o cofnięciu zezwolenia, a jedynie o odmowie jego udzielenia. </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lastRenderedPageBreak/>
        <w:t>Przeanalizujmy sprawę krok po kroku. Prawo farmaceutyczne wskazuje, że jedynie w procedurze wnioskowania o udzielenie zezwolenia aptecznego inspekcja farmaceutyczna kontroluje spełnienie przez podmiot wymagań na prowadzenie apteki. Wymagania te są bardzo rygorystyczne, albowiem podmiot chcący prowadzić apteki, musi podporządkować się pod szereg obostrzeń, m.in. lokalowych, dotyczących zakazu reklamy aptek i produktów leczniczych (w pewnym zakresie), obowiązku dyżurowania, zatrudniania fachowego personelu i kierownika dającego rękojmię należytego prowadzenia apteki itd. Jednym z takich podstawowych warunków na prowadzenie apteki jest również wymóg nienaruszania, przez cały okres prowadzenia działalności gospodarczej, progów 1 proc. koncentracji.</w:t>
      </w:r>
    </w:p>
    <w:p w:rsidR="000E3FA8" w:rsidRPr="008C4CA1" w:rsidRDefault="000E3FA8" w:rsidP="000E3FA8">
      <w:pPr>
        <w:spacing w:line="360" w:lineRule="auto"/>
        <w:jc w:val="both"/>
        <w:rPr>
          <w:rFonts w:ascii="Times New Roman" w:hAnsi="Times New Roman" w:cs="Times New Roman"/>
          <w:b/>
          <w:sz w:val="24"/>
        </w:rPr>
      </w:pPr>
      <w:r w:rsidRPr="008C4CA1">
        <w:rPr>
          <w:rFonts w:ascii="Times New Roman" w:hAnsi="Times New Roman" w:cs="Times New Roman"/>
          <w:b/>
          <w:sz w:val="24"/>
        </w:rPr>
        <w:t>Miażdżący raport NIK</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Na odległość widać zatem, że coś tutaj „nie gra”, przy czym jedno należy podkreślić – to nie wojewódzcy inspektorzy farmaceutyczni nie dopełnili obowiązków - to sieci apteczne w sposób zorganizowany i ciągły łamały prawo. Potwierdza to raport Najwyższej Izby Kontroli z 21 marca 2016 r. - „</w:t>
      </w:r>
      <w:r w:rsidRPr="00096DF9">
        <w:rPr>
          <w:rFonts w:ascii="Times New Roman" w:hAnsi="Times New Roman" w:cs="Times New Roman"/>
          <w:sz w:val="24"/>
        </w:rPr>
        <w:t>Wykonywanie przez Państwową Inspekcję</w:t>
      </w:r>
      <w:r>
        <w:rPr>
          <w:rFonts w:ascii="Times New Roman" w:hAnsi="Times New Roman" w:cs="Times New Roman"/>
          <w:sz w:val="24"/>
        </w:rPr>
        <w:t xml:space="preserve"> F</w:t>
      </w:r>
      <w:r w:rsidRPr="00096DF9">
        <w:rPr>
          <w:rFonts w:ascii="Times New Roman" w:hAnsi="Times New Roman" w:cs="Times New Roman"/>
          <w:sz w:val="24"/>
        </w:rPr>
        <w:t>armaceutyczną zadań określonych w ustawie Prawo</w:t>
      </w:r>
      <w:r>
        <w:rPr>
          <w:rFonts w:ascii="Times New Roman" w:hAnsi="Times New Roman" w:cs="Times New Roman"/>
          <w:sz w:val="24"/>
        </w:rPr>
        <w:t xml:space="preserve"> </w:t>
      </w:r>
      <w:r w:rsidRPr="00096DF9">
        <w:rPr>
          <w:rFonts w:ascii="Times New Roman" w:hAnsi="Times New Roman" w:cs="Times New Roman"/>
          <w:sz w:val="24"/>
        </w:rPr>
        <w:t>farmaceutyczne</w:t>
      </w:r>
      <w:r>
        <w:rPr>
          <w:rFonts w:ascii="Times New Roman" w:hAnsi="Times New Roman" w:cs="Times New Roman"/>
          <w:sz w:val="24"/>
        </w:rPr>
        <w:t xml:space="preserve">”. Opisuje on (s. 23-27) mechanizm przejmowania aptek przez sieci. Prawidłowa procedura po np. kupieniu innej apteki powinna skutkować wystąpieniem przez podmiot przejmujący do właściwego WIF-u z wnioskiem o udzielenie nowego zezwolenia. Zmiana podmiotu, co oczywiste, powoduje bowiem zmianę w zakresie jego właściwości, które mogą nie odpowiadać wymogom (pozytywnym lub negatywnym) na uzyskanie zezwolenia na prowadzenie apteki. Orzecznictwo sądowo-administracyjne wielokrotnie podkreślało, że zezwoleniem aptecznym </w:t>
      </w:r>
      <w:r w:rsidRPr="00777F86">
        <w:rPr>
          <w:rFonts w:ascii="Times New Roman" w:hAnsi="Times New Roman" w:cs="Times New Roman"/>
          <w:sz w:val="24"/>
        </w:rPr>
        <w:t>nie wolno kupczyć</w:t>
      </w:r>
      <w:r>
        <w:rPr>
          <w:rFonts w:ascii="Times New Roman" w:hAnsi="Times New Roman" w:cs="Times New Roman"/>
          <w:sz w:val="24"/>
        </w:rPr>
        <w:t>, że przejęcie apteki nie powoduje, że w zakres przejęcia wchodzi również zezwolenie</w:t>
      </w:r>
      <w:r>
        <w:rPr>
          <w:rStyle w:val="Odwoanieprzypisudolnego"/>
          <w:rFonts w:ascii="Times New Roman" w:hAnsi="Times New Roman" w:cs="Times New Roman"/>
          <w:sz w:val="24"/>
        </w:rPr>
        <w:footnoteReference w:id="2"/>
      </w:r>
      <w:r>
        <w:rPr>
          <w:rFonts w:ascii="Times New Roman" w:hAnsi="Times New Roman" w:cs="Times New Roman"/>
          <w:sz w:val="24"/>
        </w:rPr>
        <w:t>. W toku kontroli wniosku, gdyby kiedykolwiek go złożono, inspektor skontrolowałby wymogi potrzebne na prowadzenie apteki, np. co do osoby kierownika apteki, lokalu, rękojmi przedsiębiorcy itp.</w:t>
      </w:r>
    </w:p>
    <w:p w:rsidR="000E3FA8" w:rsidRPr="001A17AC" w:rsidRDefault="000E3FA8" w:rsidP="000E3FA8">
      <w:pPr>
        <w:spacing w:line="360" w:lineRule="auto"/>
        <w:jc w:val="both"/>
        <w:rPr>
          <w:rFonts w:ascii="Times New Roman" w:hAnsi="Times New Roman" w:cs="Times New Roman"/>
          <w:b/>
          <w:sz w:val="24"/>
        </w:rPr>
      </w:pPr>
      <w:r w:rsidRPr="001A17AC">
        <w:rPr>
          <w:rFonts w:ascii="Times New Roman" w:hAnsi="Times New Roman" w:cs="Times New Roman"/>
          <w:b/>
          <w:sz w:val="24"/>
        </w:rPr>
        <w:t>Bez szans na kontrolę</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 xml:space="preserve">Podmiot przejmujący, czyli duża sieć, gdyby stosowała się do tej procedury prawnej, zmuszona byłaby również złożyć zgodne z prawdą oświadczenia o nieprzekraczaniu progów dopuszczalnej koncentracji; złożenie oświadczeń nieprawdziwych skutkowałoby popełnieniem przestępstwa. Z tego względu sieci apteczne, jak pokazuje raport NIK i dane przesłane przez poszczególnych inspektorów, nigdy tej procedury nie wykorzystywały, albowiem działając w </w:t>
      </w:r>
      <w:r>
        <w:rPr>
          <w:rFonts w:ascii="Times New Roman" w:hAnsi="Times New Roman" w:cs="Times New Roman"/>
          <w:sz w:val="24"/>
        </w:rPr>
        <w:lastRenderedPageBreak/>
        <w:t xml:space="preserve">ten sposób poświadczałyby nieprawdę co do okoliczności mających znaczenie prawne. Oznacza to, że w praktyce przez ponad 14 lata obowiązywania Prawa farmaceutycznego, Inspekcja farmaceutyczna nie miała nawet szans skontrolować spełniania przez sieci apteczne wymogów antykoncentracyjnych. </w:t>
      </w:r>
    </w:p>
    <w:p w:rsidR="000E3FA8" w:rsidRPr="009014E7"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 xml:space="preserve">Dane IMS </w:t>
      </w:r>
      <w:proofErr w:type="spellStart"/>
      <w:r>
        <w:rPr>
          <w:rFonts w:ascii="Times New Roman" w:hAnsi="Times New Roman" w:cs="Times New Roman"/>
          <w:sz w:val="24"/>
        </w:rPr>
        <w:t>Health</w:t>
      </w:r>
      <w:proofErr w:type="spellEnd"/>
      <w:r>
        <w:rPr>
          <w:rStyle w:val="Odwoanieprzypisudolnego"/>
          <w:rFonts w:ascii="Times New Roman" w:hAnsi="Times New Roman" w:cs="Times New Roman"/>
          <w:sz w:val="24"/>
        </w:rPr>
        <w:footnoteReference w:id="3"/>
      </w:r>
      <w:r>
        <w:rPr>
          <w:rFonts w:ascii="Times New Roman" w:hAnsi="Times New Roman" w:cs="Times New Roman"/>
          <w:sz w:val="24"/>
        </w:rPr>
        <w:t xml:space="preserve"> pokazują, że </w:t>
      </w:r>
      <w:r w:rsidRPr="00BE377B">
        <w:rPr>
          <w:rFonts w:ascii="Times New Roman" w:hAnsi="Times New Roman" w:cs="Times New Roman"/>
          <w:sz w:val="24"/>
        </w:rPr>
        <w:t xml:space="preserve">liczba aptek sieciowych </w:t>
      </w:r>
      <w:r>
        <w:rPr>
          <w:rFonts w:ascii="Times New Roman" w:hAnsi="Times New Roman" w:cs="Times New Roman"/>
          <w:sz w:val="24"/>
        </w:rPr>
        <w:t xml:space="preserve">w Polsce </w:t>
      </w:r>
      <w:r w:rsidRPr="00BE377B">
        <w:rPr>
          <w:rFonts w:ascii="Times New Roman" w:hAnsi="Times New Roman" w:cs="Times New Roman"/>
          <w:sz w:val="24"/>
        </w:rPr>
        <w:t>wzrosła od 2005</w:t>
      </w:r>
      <w:r>
        <w:rPr>
          <w:rFonts w:ascii="Times New Roman" w:hAnsi="Times New Roman" w:cs="Times New Roman"/>
          <w:sz w:val="24"/>
        </w:rPr>
        <w:t xml:space="preserve"> </w:t>
      </w:r>
      <w:r w:rsidRPr="00BE377B">
        <w:rPr>
          <w:rFonts w:ascii="Times New Roman" w:hAnsi="Times New Roman" w:cs="Times New Roman"/>
          <w:sz w:val="24"/>
        </w:rPr>
        <w:t>r. ponad siedmiokrotnie (z 45 w 2</w:t>
      </w:r>
      <w:r>
        <w:rPr>
          <w:rFonts w:ascii="Times New Roman" w:hAnsi="Times New Roman" w:cs="Times New Roman"/>
          <w:sz w:val="24"/>
        </w:rPr>
        <w:t xml:space="preserve">005 r. do 330 w grudniu 2015 r.). W tym czasie, pomimo rozwoju usieciowienia, jak pokazują dane inspektorów, nie odmawiano </w:t>
      </w:r>
      <w:proofErr w:type="spellStart"/>
      <w:r>
        <w:rPr>
          <w:rFonts w:ascii="Times New Roman" w:hAnsi="Times New Roman" w:cs="Times New Roman"/>
          <w:sz w:val="24"/>
        </w:rPr>
        <w:t>sieciówkom</w:t>
      </w:r>
      <w:proofErr w:type="spellEnd"/>
      <w:r>
        <w:rPr>
          <w:rFonts w:ascii="Times New Roman" w:hAnsi="Times New Roman" w:cs="Times New Roman"/>
          <w:sz w:val="24"/>
        </w:rPr>
        <w:t xml:space="preserve"> udzielenia zezwolenia ze względu na naruszanie progów 1 proc. koncentracji; podobnie – nie cofano im z tej przyczyny zezwoleń już wydanych. Raport NIK stwierdza z kolei, że w</w:t>
      </w:r>
      <w:r w:rsidRPr="002F3722">
        <w:rPr>
          <w:rFonts w:ascii="Times New Roman" w:hAnsi="Times New Roman" w:cs="Times New Roman"/>
          <w:sz w:val="24"/>
        </w:rPr>
        <w:t xml:space="preserve"> pięciu województwach, spośród ośmiu skontrolowanych, doszło do przekroczenia</w:t>
      </w:r>
      <w:r>
        <w:rPr>
          <w:rFonts w:ascii="Times New Roman" w:hAnsi="Times New Roman" w:cs="Times New Roman"/>
          <w:sz w:val="24"/>
        </w:rPr>
        <w:t xml:space="preserve"> 1 proc.</w:t>
      </w:r>
      <w:r w:rsidRPr="002F3722">
        <w:rPr>
          <w:rFonts w:ascii="Times New Roman" w:hAnsi="Times New Roman" w:cs="Times New Roman"/>
          <w:sz w:val="24"/>
        </w:rPr>
        <w:t xml:space="preserve"> limitu prowadzenia aptek ogólnodostępnych na terenie danego województwa</w:t>
      </w:r>
      <w:r>
        <w:rPr>
          <w:rFonts w:ascii="Times New Roman" w:hAnsi="Times New Roman" w:cs="Times New Roman"/>
          <w:sz w:val="24"/>
        </w:rPr>
        <w:t xml:space="preserve">. </w:t>
      </w:r>
      <w:r w:rsidRPr="009014E7">
        <w:rPr>
          <w:rFonts w:ascii="Times New Roman" w:hAnsi="Times New Roman" w:cs="Times New Roman"/>
          <w:sz w:val="24"/>
        </w:rPr>
        <w:t>To samo opracowanie pokazuje również, w jaki sposób te dwie z pozoru wykluczające się sytuacje występowały równolegle.</w:t>
      </w:r>
    </w:p>
    <w:p w:rsidR="000E3FA8" w:rsidRPr="001A17AC" w:rsidRDefault="000E3FA8" w:rsidP="000E3FA8">
      <w:pPr>
        <w:spacing w:line="360" w:lineRule="auto"/>
        <w:jc w:val="both"/>
        <w:rPr>
          <w:rFonts w:ascii="Times New Roman" w:hAnsi="Times New Roman" w:cs="Times New Roman"/>
          <w:b/>
          <w:sz w:val="24"/>
        </w:rPr>
      </w:pPr>
      <w:r>
        <w:rPr>
          <w:rFonts w:ascii="Times New Roman" w:hAnsi="Times New Roman" w:cs="Times New Roman"/>
          <w:b/>
          <w:sz w:val="24"/>
        </w:rPr>
        <w:t>Odmienny charakter prawny</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Raport NIK naświetla mechanizm łamania prawa; podmioty przejmujące rynek w drodze ekspansji występowały do właściwych inspektorów farmaceutycznych o wydanie decyzji o zmianie zezwolenia, a nie – o jego udzielenie. To z kolei fundamentalna różnica, albowiem charakter prawny obu tych decyzji administracyjnych jest skrajnie odmienny. Decyzja o udzieleniu zezwolenia ma charakter prawotwórczy, co oznacza, że przyznaje ona uprawnienie do prowadzenia apteki (jej wydanie powoduje po stronie adresata nabycie prawa). Z kolei decyzja o zmianie zezwolenia ma charakter techniczny; w prawie nazywana jest deklaratoryjną, tj. stwierdzającą zaistnienie pewnych okoliczności faktycznych. Nie tworzy ona prawa, a jedynie porządkuje sferę faktów</w:t>
      </w:r>
      <w:r>
        <w:rPr>
          <w:rStyle w:val="Odwoanieprzypisudolnego"/>
          <w:rFonts w:ascii="Times New Roman" w:hAnsi="Times New Roman" w:cs="Times New Roman"/>
          <w:sz w:val="24"/>
        </w:rPr>
        <w:footnoteReference w:id="4"/>
      </w:r>
      <w:r>
        <w:rPr>
          <w:rFonts w:ascii="Times New Roman" w:hAnsi="Times New Roman" w:cs="Times New Roman"/>
          <w:sz w:val="24"/>
        </w:rPr>
        <w:t>. W procedowaniu nad wnioskiem o zmianę zezwolenia inspektor nie może badać wymogów na prowadzenie apteki, albowiem nie jest to właściwa procedura ku temu. Co więcej, podmiot przejmujący daną aptekę (lub apteki) i wnioskujący o dokonanie zmiany zezwolenia nie jest zobowiązany do składania oświadczenia, że nie przekracza progu 1 proc. koncentracji.</w:t>
      </w:r>
    </w:p>
    <w:p w:rsidR="000E3FA8" w:rsidRPr="001A17AC" w:rsidRDefault="000E3FA8" w:rsidP="000E3FA8">
      <w:pPr>
        <w:spacing w:line="360" w:lineRule="auto"/>
        <w:jc w:val="both"/>
        <w:rPr>
          <w:rFonts w:ascii="Times New Roman" w:hAnsi="Times New Roman" w:cs="Times New Roman"/>
          <w:b/>
          <w:sz w:val="24"/>
        </w:rPr>
      </w:pPr>
      <w:r w:rsidRPr="001A17AC">
        <w:rPr>
          <w:rFonts w:ascii="Times New Roman" w:hAnsi="Times New Roman" w:cs="Times New Roman"/>
          <w:b/>
          <w:sz w:val="24"/>
        </w:rPr>
        <w:t>Decyzje o zmianie w liczbach</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lastRenderedPageBreak/>
        <w:t>Niepełne jeszcze dane wojewódzkich inspektorów farmaceutycznych potwierdzają powyższe fakty. W województwie małopolskim, licząc od 1 stycznia 2002 r. wydano aż 909 decyzji o zmianie zezwolenia (276 z nich dotyczyło spółek kapitałowych), w podlaskim 380 (163 z nich dotyczyło spółek kapitałowych), w pomorskim 649 (270 na rzecz spółek kapitałowych), w świętokrzyskim 293 (72 na rzecz spółek kapitałowych, w wielkopolskim 836 (z czego 247 dotyczyło spółek kapitałowych). W województwach lubuskim i podkarpackim w tym okresie wydano odpowiednio 368 i 516 decyzji zmieniających zezwolenia. Potwierdzają się zatem wnioski pokontrolne NIK-u, w których mowa jest o wykorzystaniu instytucji zmiany zezwolenia do obejścia wymogów antykoncentracyjnych. Zjawisko to miało charakter masowy.</w:t>
      </w:r>
    </w:p>
    <w:p w:rsidR="000E3FA8" w:rsidRPr="00F66BEF" w:rsidRDefault="000E3FA8" w:rsidP="000E3FA8">
      <w:pPr>
        <w:spacing w:line="360" w:lineRule="auto"/>
        <w:jc w:val="both"/>
        <w:rPr>
          <w:rFonts w:ascii="Times New Roman" w:hAnsi="Times New Roman" w:cs="Times New Roman"/>
          <w:b/>
          <w:sz w:val="24"/>
        </w:rPr>
      </w:pPr>
      <w:r w:rsidRPr="00F66BEF">
        <w:rPr>
          <w:rFonts w:ascii="Times New Roman" w:hAnsi="Times New Roman" w:cs="Times New Roman"/>
          <w:b/>
          <w:sz w:val="24"/>
        </w:rPr>
        <w:t>Największ</w:t>
      </w:r>
      <w:r>
        <w:rPr>
          <w:rFonts w:ascii="Times New Roman" w:hAnsi="Times New Roman" w:cs="Times New Roman"/>
          <w:b/>
          <w:sz w:val="24"/>
        </w:rPr>
        <w:t>a</w:t>
      </w:r>
      <w:r w:rsidRPr="00F66BEF">
        <w:rPr>
          <w:rFonts w:ascii="Times New Roman" w:hAnsi="Times New Roman" w:cs="Times New Roman"/>
          <w:b/>
          <w:sz w:val="24"/>
        </w:rPr>
        <w:t xml:space="preserve"> </w:t>
      </w:r>
      <w:r>
        <w:rPr>
          <w:rFonts w:ascii="Times New Roman" w:hAnsi="Times New Roman" w:cs="Times New Roman"/>
          <w:b/>
          <w:sz w:val="24"/>
        </w:rPr>
        <w:t>granda</w:t>
      </w:r>
      <w:r w:rsidRPr="00F66BEF">
        <w:rPr>
          <w:rFonts w:ascii="Times New Roman" w:hAnsi="Times New Roman" w:cs="Times New Roman"/>
          <w:b/>
          <w:sz w:val="24"/>
        </w:rPr>
        <w:t xml:space="preserve"> </w:t>
      </w:r>
      <w:r>
        <w:rPr>
          <w:rFonts w:ascii="Times New Roman" w:hAnsi="Times New Roman" w:cs="Times New Roman"/>
          <w:b/>
          <w:sz w:val="24"/>
        </w:rPr>
        <w:t>w historii</w:t>
      </w:r>
      <w:r w:rsidRPr="00F66BEF">
        <w:rPr>
          <w:rFonts w:ascii="Times New Roman" w:hAnsi="Times New Roman" w:cs="Times New Roman"/>
          <w:b/>
          <w:sz w:val="24"/>
        </w:rPr>
        <w:t>?</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W sprawie mamy do czynienia zatem nie tylko z</w:t>
      </w:r>
      <w:r w:rsidR="00692A6D">
        <w:rPr>
          <w:rFonts w:ascii="Times New Roman" w:hAnsi="Times New Roman" w:cs="Times New Roman"/>
          <w:sz w:val="24"/>
        </w:rPr>
        <w:t>e</w:t>
      </w:r>
      <w:r>
        <w:rPr>
          <w:rFonts w:ascii="Times New Roman" w:hAnsi="Times New Roman" w:cs="Times New Roman"/>
          <w:sz w:val="24"/>
        </w:rPr>
        <w:t xml:space="preserve"> skandalem, obnażającym intencję podmiotów prowadzących sieci apteczne, ale również z niewydolnością państwa w kwestii egzekwowania przepisów antykoncentracyjnych w zakresie prowadzenia aptek.</w:t>
      </w:r>
      <w:r w:rsidR="00692A6D">
        <w:rPr>
          <w:rFonts w:ascii="Times New Roman" w:hAnsi="Times New Roman" w:cs="Times New Roman"/>
          <w:sz w:val="24"/>
        </w:rPr>
        <w:t xml:space="preserve"> </w:t>
      </w:r>
      <w:r>
        <w:rPr>
          <w:rFonts w:ascii="Times New Roman" w:hAnsi="Times New Roman" w:cs="Times New Roman"/>
          <w:sz w:val="24"/>
        </w:rPr>
        <w:t>Proszę zauważyć, że od przedstawicieli tego środowiska słyszymy z jednej strony, że przekroczenie progów 1 proc. koncentracji nie może stanowić podstawy odebrania zezwolenia (co swoją droga nie jest prawdą). Z drugiej strony sieci wiedzą doskonale, że WIF-y nie miały możliwości zweryfikowania przestrzegania przez nie dopuszczalnej koncentracji, bowiem te w ogóle nie występowały z właściwym wnioskiem. Oznacza to, że ani w jednym, ani w drugim momencie ten wymóg nie był badany, a sieci nie legitymują się decyzjami przyznającymi im prawo do prowadzenia aptek. Ujmując rzecz inaczej, sieci apteczne celowo obchodziły prawo, tylko po to, by następczo mówić o tym, że takie zachowanie podlega ochronie (co swoją drogą również jest nieprawdą), a egzekwowanie przepisów prawa w zakresie dopuszczalnej koncentracji jest jakoby naruszeniem konstytucyjnej zasady ochrony praw słusznie (?) nabytych (co również jest nieprawdą).</w:t>
      </w:r>
    </w:p>
    <w:p w:rsidR="000E3FA8" w:rsidRPr="00DB4E1F" w:rsidRDefault="000E3FA8" w:rsidP="000E3FA8">
      <w:pPr>
        <w:spacing w:line="360" w:lineRule="auto"/>
        <w:jc w:val="both"/>
        <w:rPr>
          <w:rFonts w:ascii="Times New Roman" w:hAnsi="Times New Roman" w:cs="Times New Roman"/>
          <w:b/>
          <w:sz w:val="24"/>
        </w:rPr>
      </w:pPr>
      <w:r>
        <w:rPr>
          <w:rFonts w:ascii="Times New Roman" w:hAnsi="Times New Roman" w:cs="Times New Roman"/>
          <w:b/>
          <w:sz w:val="24"/>
        </w:rPr>
        <w:t>Wielomilionowe</w:t>
      </w:r>
      <w:r w:rsidRPr="00DB4E1F">
        <w:rPr>
          <w:rFonts w:ascii="Times New Roman" w:hAnsi="Times New Roman" w:cs="Times New Roman"/>
          <w:b/>
          <w:sz w:val="24"/>
        </w:rPr>
        <w:t xml:space="preserve"> odszkodowania</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 xml:space="preserve">Na tym jednak nie koniec skandalu. Prowadzenie w polskich realiach prawnych działalności gospodarczej bez zezwolenia jest przestępstwem. Więcej, prowadzenie przez dany podmiot apteki ogólnodostępnej z naruszeniem progów koncentracji stanowi równocześnie czyn nieuczciwej konkurencji. Oznacza to, że wszyscy aptekarze indywidualni, którzy ze względu na naruszenie przez sieci prawa o dopuszczalnej koncentracji doznały uszczerbku majątkowego, albo zmuszone były zamknąć swoje apteki, będą mogły dochodzić od nich </w:t>
      </w:r>
      <w:r>
        <w:rPr>
          <w:rFonts w:ascii="Times New Roman" w:hAnsi="Times New Roman" w:cs="Times New Roman"/>
          <w:sz w:val="24"/>
        </w:rPr>
        <w:lastRenderedPageBreak/>
        <w:t>stosownych odszkodowań. Jak się wydaje – wielomilionowych. Zaznaczyć należy, że dochodzenie tego rodzaju roszczeń nie jest w postępowaniu o czyny nieuczciwej konkurencji, ani łatwe, ani tanie.</w:t>
      </w:r>
    </w:p>
    <w:p w:rsidR="000E3FA8" w:rsidRPr="009E0D9F" w:rsidRDefault="000E3FA8" w:rsidP="000E3FA8">
      <w:pPr>
        <w:spacing w:line="360" w:lineRule="auto"/>
        <w:jc w:val="both"/>
        <w:rPr>
          <w:rFonts w:ascii="Times New Roman" w:hAnsi="Times New Roman" w:cs="Times New Roman"/>
          <w:b/>
          <w:sz w:val="24"/>
        </w:rPr>
      </w:pPr>
      <w:r>
        <w:rPr>
          <w:rFonts w:ascii="Times New Roman" w:hAnsi="Times New Roman" w:cs="Times New Roman"/>
          <w:b/>
          <w:sz w:val="24"/>
        </w:rPr>
        <w:t>Zwrot kwot z NFZ</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Najlepsze (a raczej najgorsze!) nie zostało jednak jeszcze powiedziane. Przypomnijmy bowiem, że zgodnie z ustawą refundacyjną i Prawem farmaceutycznym, apteka która nie legitymuje się konstytutywną decyzją o udzieleniu zezwolenia na prowadzenie apteki, nie może zawrzeć umowy o refundację produktów leczniczych z NFZ. W konsekwencji, umowy zawarte z podmiotami, które nie legitymują się tego rodzaju decyzją są nieważne od początku (</w:t>
      </w:r>
      <w:r w:rsidRPr="00BF0182">
        <w:rPr>
          <w:rFonts w:ascii="Times New Roman" w:hAnsi="Times New Roman" w:cs="Times New Roman"/>
          <w:i/>
          <w:sz w:val="24"/>
        </w:rPr>
        <w:t xml:space="preserve">ex </w:t>
      </w:r>
      <w:proofErr w:type="spellStart"/>
      <w:r w:rsidRPr="00BF0182">
        <w:rPr>
          <w:rFonts w:ascii="Times New Roman" w:hAnsi="Times New Roman" w:cs="Times New Roman"/>
          <w:i/>
          <w:sz w:val="24"/>
        </w:rPr>
        <w:t>tunc</w:t>
      </w:r>
      <w:proofErr w:type="spellEnd"/>
      <w:r>
        <w:rPr>
          <w:rFonts w:ascii="Times New Roman" w:hAnsi="Times New Roman" w:cs="Times New Roman"/>
          <w:sz w:val="24"/>
        </w:rPr>
        <w:t>). Powoduje to po ich stronie obowiązek zwrotu kwot otrzymanych z Funduszu tytułem refundacji, jako nienależnych. W skali całego kraju, patrząc z perspektywy ostatnich kilku lub kilkunastu lat, mówimy o kwocie w przedziale kilku lub kilkunastu miliardów złotych. Osobiście mam wątpliwości, czy sieci apteczne gotowe są do tego, aby zwrócić państwu takie pieniądze i wypłacić drugie tyle na rzecz indywidualnych aptekarzy, których usunęli z rynku poprzez nieuczciwą konkurencję i naruszenie wspólnych dla wszystkich reguł prawnych w zakresie prowadzenia aptek ogólnodostępnych.</w:t>
      </w:r>
    </w:p>
    <w:p w:rsidR="000E3FA8" w:rsidRPr="00F30FD6" w:rsidRDefault="000E3FA8" w:rsidP="000E3FA8">
      <w:pPr>
        <w:spacing w:line="360" w:lineRule="auto"/>
        <w:jc w:val="both"/>
        <w:rPr>
          <w:rFonts w:ascii="Times New Roman" w:hAnsi="Times New Roman" w:cs="Times New Roman"/>
          <w:b/>
          <w:sz w:val="24"/>
        </w:rPr>
      </w:pPr>
      <w:r>
        <w:rPr>
          <w:rFonts w:ascii="Times New Roman" w:hAnsi="Times New Roman" w:cs="Times New Roman"/>
          <w:b/>
          <w:sz w:val="24"/>
        </w:rPr>
        <w:t>Droga</w:t>
      </w:r>
      <w:r w:rsidRPr="00F30FD6">
        <w:rPr>
          <w:rFonts w:ascii="Times New Roman" w:hAnsi="Times New Roman" w:cs="Times New Roman"/>
          <w:b/>
          <w:sz w:val="24"/>
        </w:rPr>
        <w:t xml:space="preserve"> do uczciwego aptekarstwa</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Okazuje się zatem, że naruszeń ze strony sieci aptecznych jest o wiele więcej, aniżeli mogłoby się pierwotnie wydawać. W perspektywie czasu mówimy bowiem o oszukiwaniu państwa, wymuszaniu zawyżonych kwot refundacji, działaniu na szkodę pacjenta oraz stosowaniu względem aptek indywidualnych nieuczciwej konkurencji. Poprzedni rząd już w 2010 r. w projekcie ustawy refundacyjne zauważył, że działalność sieci aptecznych powoduje rozliczne patologie, z marnotrawieniem leków włącznie. Jak wówczas pisano: „</w:t>
      </w:r>
      <w:r w:rsidRPr="00D12658">
        <w:rPr>
          <w:rFonts w:ascii="Times New Roman" w:hAnsi="Times New Roman" w:cs="Times New Roman"/>
          <w:sz w:val="24"/>
        </w:rPr>
        <w:t xml:space="preserve">Dotychczas obowiązujące przepisy umożliwiają podmiotom odpowiedzialnym i podmiotom prowadzącym obrót hurtowy, </w:t>
      </w:r>
      <w:r w:rsidRPr="009014E7">
        <w:rPr>
          <w:rFonts w:ascii="Times New Roman" w:hAnsi="Times New Roman" w:cs="Times New Roman"/>
          <w:sz w:val="24"/>
        </w:rPr>
        <w:t>za pośrednictwem swoich lub współpracujących sieci aptek, pod pozorem troski o dobro pacjenta wyłudzanie z Narodowego Funduszu Zdrowia znacznych kwot, jakie na leki refundowane wykłada Państwo</w:t>
      </w:r>
      <w:r>
        <w:rPr>
          <w:rFonts w:ascii="Times New Roman" w:hAnsi="Times New Roman" w:cs="Times New Roman"/>
          <w:sz w:val="24"/>
        </w:rPr>
        <w:t>”</w:t>
      </w:r>
      <w:r>
        <w:rPr>
          <w:rStyle w:val="Odwoanieprzypisudolnego"/>
          <w:rFonts w:ascii="Times New Roman" w:hAnsi="Times New Roman" w:cs="Times New Roman"/>
          <w:sz w:val="24"/>
        </w:rPr>
        <w:footnoteReference w:id="5"/>
      </w:r>
      <w:r>
        <w:rPr>
          <w:rFonts w:ascii="Times New Roman" w:hAnsi="Times New Roman" w:cs="Times New Roman"/>
          <w:sz w:val="24"/>
        </w:rPr>
        <w:t xml:space="preserve">. By temu przeciwdziałać od 1 stycznia 2012 r. wprowadzono sztywne marże na leki refundowane oraz zakaz reklamy aptek. Problem jest poważny, albowiem w sposób skokowy rośnie wysokość wydatków NFZ na refundację leków sprzedawanych w aptekach. Jeszcze w 2000 r. było to zaledwie 4,5 mld zł rocznie. Wydatki </w:t>
      </w:r>
      <w:r>
        <w:rPr>
          <w:rFonts w:ascii="Times New Roman" w:hAnsi="Times New Roman" w:cs="Times New Roman"/>
          <w:sz w:val="24"/>
        </w:rPr>
        <w:lastRenderedPageBreak/>
        <w:t>zaplanowane na rok 2016 to już prawie 12 mld zł. Powstaje zatem pytanie, czy Polskę stać na rynek, w którym funkcjonują sieci apteczne, mające – że tak się wyrażę – specyficzne podejście do przestrzegania prawa?</w:t>
      </w:r>
    </w:p>
    <w:p w:rsidR="000E3FA8" w:rsidRPr="007E0300" w:rsidRDefault="000E3FA8" w:rsidP="000E3FA8">
      <w:pPr>
        <w:spacing w:line="360" w:lineRule="auto"/>
        <w:jc w:val="both"/>
        <w:rPr>
          <w:rFonts w:ascii="Times New Roman" w:hAnsi="Times New Roman" w:cs="Times New Roman"/>
          <w:b/>
          <w:sz w:val="24"/>
        </w:rPr>
      </w:pPr>
      <w:r w:rsidRPr="007E0300">
        <w:rPr>
          <w:rFonts w:ascii="Times New Roman" w:hAnsi="Times New Roman" w:cs="Times New Roman"/>
          <w:b/>
          <w:sz w:val="24"/>
        </w:rPr>
        <w:t>Traci państwo, aptekarstwo i pacjent</w:t>
      </w:r>
    </w:p>
    <w:p w:rsidR="000E3FA8" w:rsidRDefault="000E3FA8" w:rsidP="000E3FA8">
      <w:pPr>
        <w:spacing w:line="360" w:lineRule="auto"/>
        <w:jc w:val="both"/>
        <w:rPr>
          <w:rFonts w:ascii="Times New Roman" w:hAnsi="Times New Roman" w:cs="Times New Roman"/>
          <w:sz w:val="24"/>
        </w:rPr>
      </w:pPr>
      <w:r>
        <w:rPr>
          <w:rFonts w:ascii="Times New Roman" w:hAnsi="Times New Roman" w:cs="Times New Roman"/>
          <w:sz w:val="24"/>
        </w:rPr>
        <w:t>Istota nieprawidłowości leży bowiem nie w sztywnych marżach, czy kolejnych rozwiązaniach typu ustawa „</w:t>
      </w:r>
      <w:proofErr w:type="spellStart"/>
      <w:r>
        <w:rPr>
          <w:rFonts w:ascii="Times New Roman" w:hAnsi="Times New Roman" w:cs="Times New Roman"/>
          <w:sz w:val="24"/>
        </w:rPr>
        <w:t>antywywozowa</w:t>
      </w:r>
      <w:proofErr w:type="spellEnd"/>
      <w:r>
        <w:rPr>
          <w:rFonts w:ascii="Times New Roman" w:hAnsi="Times New Roman" w:cs="Times New Roman"/>
          <w:sz w:val="24"/>
        </w:rPr>
        <w:t>”, które nie eliminują źródła patologii. Problemem są same sieci apteczne, które – jak pokazują doświadczenia innych krajów (por. Norwegii, Węgier, Estonii itp.) – eliminują konkurencję, szybko deformują rynek i tworzą na nim oligopol, działając na szkodę pacjenta. Opisany powyżej mechanizm powstał w Polsce w przeciągu niewiele ponad dekady. Wydaje się zatem, że proponowana przez obecny rząd reforma aptekarstwa (scalająca aptekę, zezwolenie i farmaceutę) ma szansę na wprowadzenie przejrzystość i uczciwości na rynku dystrybucji detalicznej leków. Pod jednym wszakże warunkiem, że nastąpi ona odpowiednio szybko. Nakreślony proceder zorganizowanego łamania prawa przez sieci uderza bowiem nie tylko w państwo, środki publiczne, aptekarstwo i aptekarzy. Jest to przede wszystkim, o czym ani przez moment nie należy zapominać, działanie na szkodę pacjentów.</w:t>
      </w:r>
    </w:p>
    <w:p w:rsidR="000E3FA8" w:rsidRDefault="000E3FA8" w:rsidP="000E3FA8">
      <w:pPr>
        <w:pBdr>
          <w:bottom w:val="dotted" w:sz="24" w:space="1" w:color="auto"/>
        </w:pBdr>
        <w:spacing w:line="360" w:lineRule="auto"/>
        <w:jc w:val="both"/>
        <w:rPr>
          <w:rFonts w:ascii="Times New Roman" w:hAnsi="Times New Roman" w:cs="Times New Roman"/>
          <w:sz w:val="24"/>
        </w:rPr>
      </w:pPr>
    </w:p>
    <w:p w:rsidR="000E3FA8" w:rsidRDefault="000E3FA8" w:rsidP="000E3FA8">
      <w:pPr>
        <w:spacing w:line="360" w:lineRule="auto"/>
        <w:jc w:val="both"/>
        <w:rPr>
          <w:rFonts w:ascii="Times New Roman" w:hAnsi="Times New Roman" w:cs="Times New Roman"/>
          <w:b/>
          <w:sz w:val="24"/>
        </w:rPr>
      </w:pPr>
      <w:r>
        <w:rPr>
          <w:rFonts w:ascii="Times New Roman" w:hAnsi="Times New Roman" w:cs="Times New Roman"/>
          <w:sz w:val="24"/>
        </w:rPr>
        <w:t xml:space="preserve">autor: </w:t>
      </w:r>
      <w:r w:rsidRPr="0044616A">
        <w:rPr>
          <w:rFonts w:ascii="Times New Roman" w:hAnsi="Times New Roman" w:cs="Times New Roman"/>
          <w:b/>
          <w:sz w:val="24"/>
        </w:rPr>
        <w:t>radca prawny Piotr Sędłak</w:t>
      </w:r>
      <w:r>
        <w:rPr>
          <w:rFonts w:ascii="Times New Roman" w:hAnsi="Times New Roman" w:cs="Times New Roman"/>
          <w:b/>
          <w:sz w:val="24"/>
        </w:rPr>
        <w:t xml:space="preserve"> dla Stowarzyszenia Leki Tylko z Apteki</w:t>
      </w:r>
    </w:p>
    <w:p w:rsidR="000E3FA8" w:rsidRDefault="000E3FA8" w:rsidP="000E3FA8">
      <w:pPr>
        <w:spacing w:line="360" w:lineRule="auto"/>
        <w:jc w:val="both"/>
        <w:rPr>
          <w:rFonts w:ascii="Times New Roman" w:hAnsi="Times New Roman" w:cs="Times New Roman"/>
          <w:b/>
          <w:sz w:val="24"/>
        </w:rPr>
      </w:pPr>
    </w:p>
    <w:p w:rsidR="002F3A7F" w:rsidRDefault="002F3A7F"/>
    <w:sectPr w:rsidR="002F3A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C" w:rsidRDefault="003E1B5C" w:rsidP="000E3FA8">
      <w:pPr>
        <w:spacing w:after="0" w:line="240" w:lineRule="auto"/>
      </w:pPr>
      <w:r>
        <w:separator/>
      </w:r>
    </w:p>
  </w:endnote>
  <w:endnote w:type="continuationSeparator" w:id="0">
    <w:p w:rsidR="003E1B5C" w:rsidRDefault="003E1B5C" w:rsidP="000E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C" w:rsidRDefault="003E1B5C" w:rsidP="000E3FA8">
      <w:pPr>
        <w:spacing w:after="0" w:line="240" w:lineRule="auto"/>
      </w:pPr>
      <w:r>
        <w:separator/>
      </w:r>
    </w:p>
  </w:footnote>
  <w:footnote w:type="continuationSeparator" w:id="0">
    <w:p w:rsidR="003E1B5C" w:rsidRDefault="003E1B5C" w:rsidP="000E3FA8">
      <w:pPr>
        <w:spacing w:after="0" w:line="240" w:lineRule="auto"/>
      </w:pPr>
      <w:r>
        <w:continuationSeparator/>
      </w:r>
    </w:p>
  </w:footnote>
  <w:footnote w:id="1">
    <w:p w:rsidR="000E3FA8" w:rsidRPr="00A16FF2" w:rsidRDefault="000E3FA8" w:rsidP="000E3FA8">
      <w:pPr>
        <w:pStyle w:val="Tekstprzypisudolnego"/>
        <w:spacing w:line="276" w:lineRule="auto"/>
        <w:jc w:val="both"/>
        <w:rPr>
          <w:rFonts w:ascii="Times New Roman" w:hAnsi="Times New Roman" w:cs="Times New Roman"/>
          <w:sz w:val="18"/>
          <w:szCs w:val="18"/>
        </w:rPr>
      </w:pPr>
      <w:r w:rsidRPr="00A16FF2">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Nieznane są jeszcze dane z w</w:t>
      </w:r>
      <w:r w:rsidRPr="00A16FF2">
        <w:rPr>
          <w:rFonts w:ascii="Times New Roman" w:hAnsi="Times New Roman" w:cs="Times New Roman"/>
          <w:sz w:val="18"/>
          <w:szCs w:val="18"/>
        </w:rPr>
        <w:t xml:space="preserve">ojewództw: </w:t>
      </w:r>
      <w:r>
        <w:rPr>
          <w:rFonts w:ascii="Times New Roman" w:hAnsi="Times New Roman" w:cs="Times New Roman"/>
          <w:sz w:val="18"/>
          <w:szCs w:val="18"/>
        </w:rPr>
        <w:t>ł</w:t>
      </w:r>
      <w:r w:rsidRPr="00A16FF2">
        <w:rPr>
          <w:rFonts w:ascii="Times New Roman" w:hAnsi="Times New Roman" w:cs="Times New Roman"/>
          <w:sz w:val="18"/>
          <w:szCs w:val="18"/>
        </w:rPr>
        <w:t>ódzkiego</w:t>
      </w:r>
      <w:r>
        <w:rPr>
          <w:rFonts w:ascii="Times New Roman" w:hAnsi="Times New Roman" w:cs="Times New Roman"/>
          <w:sz w:val="18"/>
          <w:szCs w:val="18"/>
        </w:rPr>
        <w:t>, mazowieckiego, opolskiego oraz ś</w:t>
      </w:r>
      <w:r w:rsidRPr="00A16FF2">
        <w:rPr>
          <w:rFonts w:ascii="Times New Roman" w:hAnsi="Times New Roman" w:cs="Times New Roman"/>
          <w:sz w:val="18"/>
          <w:szCs w:val="18"/>
        </w:rPr>
        <w:t>ląskiego. Inspektorzy z Lublina oraz Bydgoszczy przedłużyli czas na udzielenie odpowiedzi do początku grudnia 2016r. Inspektor Zachodniopomorski oraz Dolnośląski nie udzielili informacji publicznej w tym przedmiocie.</w:t>
      </w:r>
    </w:p>
  </w:footnote>
  <w:footnote w:id="2">
    <w:p w:rsidR="000E3FA8" w:rsidRPr="00A16FF2" w:rsidRDefault="000E3FA8" w:rsidP="000E3FA8">
      <w:pPr>
        <w:pStyle w:val="Tekstprzypisudolnego"/>
        <w:spacing w:line="276" w:lineRule="auto"/>
        <w:jc w:val="both"/>
        <w:rPr>
          <w:rFonts w:ascii="Times New Roman" w:hAnsi="Times New Roman" w:cs="Times New Roman"/>
          <w:sz w:val="18"/>
          <w:szCs w:val="18"/>
        </w:rPr>
      </w:pPr>
      <w:r w:rsidRPr="00A16FF2">
        <w:rPr>
          <w:rStyle w:val="Odwoanieprzypisudolnego"/>
          <w:rFonts w:ascii="Times New Roman" w:hAnsi="Times New Roman" w:cs="Times New Roman"/>
          <w:sz w:val="18"/>
          <w:szCs w:val="18"/>
        </w:rPr>
        <w:footnoteRef/>
      </w:r>
      <w:r w:rsidRPr="00A16FF2">
        <w:rPr>
          <w:rFonts w:ascii="Times New Roman" w:hAnsi="Times New Roman" w:cs="Times New Roman"/>
          <w:sz w:val="18"/>
          <w:szCs w:val="18"/>
        </w:rPr>
        <w:t xml:space="preserve"> Uchwała Składu Siedmiu Sędziów Naczelnego Sądu Administracyjnego z dn. 14 stycznia 2009 r., II GPS 6/08, C B O S A.</w:t>
      </w:r>
    </w:p>
  </w:footnote>
  <w:footnote w:id="3">
    <w:p w:rsidR="000E3FA8" w:rsidRPr="00A16FF2" w:rsidRDefault="000E3FA8" w:rsidP="000E3FA8">
      <w:pPr>
        <w:pStyle w:val="Tekstprzypisudolnego"/>
        <w:spacing w:line="276" w:lineRule="auto"/>
        <w:jc w:val="both"/>
        <w:rPr>
          <w:rFonts w:ascii="Times New Roman" w:hAnsi="Times New Roman" w:cs="Times New Roman"/>
          <w:sz w:val="18"/>
          <w:szCs w:val="18"/>
        </w:rPr>
      </w:pPr>
      <w:r w:rsidRPr="00A16FF2">
        <w:rPr>
          <w:rStyle w:val="Odwoanieprzypisudolnego"/>
          <w:rFonts w:ascii="Times New Roman" w:hAnsi="Times New Roman" w:cs="Times New Roman"/>
          <w:sz w:val="18"/>
          <w:szCs w:val="18"/>
        </w:rPr>
        <w:footnoteRef/>
      </w:r>
      <w:r w:rsidRPr="00A16FF2">
        <w:rPr>
          <w:rFonts w:ascii="Times New Roman" w:hAnsi="Times New Roman" w:cs="Times New Roman"/>
          <w:sz w:val="18"/>
          <w:szCs w:val="18"/>
        </w:rPr>
        <w:t xml:space="preserve"> Maciej </w:t>
      </w:r>
      <w:proofErr w:type="spellStart"/>
      <w:r w:rsidRPr="00A16FF2">
        <w:rPr>
          <w:rFonts w:ascii="Times New Roman" w:hAnsi="Times New Roman" w:cs="Times New Roman"/>
          <w:sz w:val="18"/>
          <w:szCs w:val="18"/>
        </w:rPr>
        <w:t>Kuźmierkiewicz</w:t>
      </w:r>
      <w:proofErr w:type="spellEnd"/>
      <w:r w:rsidRPr="00A16FF2">
        <w:rPr>
          <w:rFonts w:ascii="Times New Roman" w:hAnsi="Times New Roman" w:cs="Times New Roman"/>
          <w:sz w:val="18"/>
          <w:szCs w:val="18"/>
        </w:rPr>
        <w:t>, Marcin Gawroński, Sprzedaż leków w Polsce - diagnoza i perspektywy. Ekonomiczne wyzwania dla aptekarzy, s. 13, s. 17-18. [http://www.pgf.com.pl/uploads/IMS_Health.pdf].</w:t>
      </w:r>
    </w:p>
  </w:footnote>
  <w:footnote w:id="4">
    <w:p w:rsidR="000E3FA8" w:rsidRPr="00A16FF2" w:rsidRDefault="000E3FA8" w:rsidP="000E3FA8">
      <w:pPr>
        <w:pStyle w:val="Tekstprzypisudolnego"/>
        <w:spacing w:line="276" w:lineRule="auto"/>
        <w:jc w:val="both"/>
        <w:rPr>
          <w:rFonts w:ascii="Times New Roman" w:hAnsi="Times New Roman" w:cs="Times New Roman"/>
          <w:sz w:val="18"/>
          <w:szCs w:val="18"/>
        </w:rPr>
      </w:pPr>
      <w:r w:rsidRPr="00A16FF2">
        <w:rPr>
          <w:rStyle w:val="Odwoanieprzypisudolnego"/>
          <w:rFonts w:ascii="Times New Roman" w:hAnsi="Times New Roman" w:cs="Times New Roman"/>
          <w:sz w:val="18"/>
          <w:szCs w:val="18"/>
        </w:rPr>
        <w:footnoteRef/>
      </w:r>
      <w:r w:rsidRPr="00A16FF2">
        <w:rPr>
          <w:rFonts w:ascii="Times New Roman" w:hAnsi="Times New Roman" w:cs="Times New Roman"/>
          <w:sz w:val="18"/>
          <w:szCs w:val="18"/>
        </w:rPr>
        <w:t xml:space="preserve"> Wyrok NSA z dn. 17 kwietnia 2009</w:t>
      </w:r>
      <w:r>
        <w:rPr>
          <w:rFonts w:ascii="Times New Roman" w:hAnsi="Times New Roman" w:cs="Times New Roman"/>
          <w:sz w:val="18"/>
          <w:szCs w:val="18"/>
        </w:rPr>
        <w:t xml:space="preserve"> </w:t>
      </w:r>
      <w:r w:rsidRPr="00A16FF2">
        <w:rPr>
          <w:rFonts w:ascii="Times New Roman" w:hAnsi="Times New Roman" w:cs="Times New Roman"/>
          <w:sz w:val="18"/>
          <w:szCs w:val="18"/>
        </w:rPr>
        <w:t>r. sygn. II GSK 71/09 i II GSK 70/09; por. rów. wyrok Wojewódzkiego Sądu Administracyjnego w Warszawie z dn.  21 stycznia 2015r., sygn. VI SA/</w:t>
      </w:r>
      <w:proofErr w:type="spellStart"/>
      <w:r w:rsidRPr="00A16FF2">
        <w:rPr>
          <w:rFonts w:ascii="Times New Roman" w:hAnsi="Times New Roman" w:cs="Times New Roman"/>
          <w:sz w:val="18"/>
          <w:szCs w:val="18"/>
        </w:rPr>
        <w:t>Wa</w:t>
      </w:r>
      <w:proofErr w:type="spellEnd"/>
      <w:r w:rsidRPr="00A16FF2">
        <w:rPr>
          <w:rFonts w:ascii="Times New Roman" w:hAnsi="Times New Roman" w:cs="Times New Roman"/>
          <w:sz w:val="18"/>
          <w:szCs w:val="18"/>
        </w:rPr>
        <w:t xml:space="preserve"> 3453/13; C B O S A.</w:t>
      </w:r>
    </w:p>
  </w:footnote>
  <w:footnote w:id="5">
    <w:p w:rsidR="000E3FA8" w:rsidRPr="00755C80" w:rsidRDefault="000E3FA8" w:rsidP="000E3FA8">
      <w:pPr>
        <w:pStyle w:val="Tekstprzypisudolnego"/>
        <w:spacing w:line="276" w:lineRule="auto"/>
        <w:jc w:val="both"/>
        <w:rPr>
          <w:rFonts w:ascii="Times New Roman" w:hAnsi="Times New Roman" w:cs="Times New Roman"/>
          <w:sz w:val="18"/>
          <w:szCs w:val="18"/>
        </w:rPr>
      </w:pPr>
      <w:r w:rsidRPr="00755C80">
        <w:rPr>
          <w:rStyle w:val="Odwoanieprzypisudolnego"/>
          <w:rFonts w:ascii="Times New Roman" w:hAnsi="Times New Roman" w:cs="Times New Roman"/>
          <w:sz w:val="18"/>
          <w:szCs w:val="18"/>
        </w:rPr>
        <w:footnoteRef/>
      </w:r>
      <w:r w:rsidRPr="00755C80">
        <w:rPr>
          <w:rFonts w:ascii="Times New Roman" w:hAnsi="Times New Roman" w:cs="Times New Roman"/>
          <w:sz w:val="18"/>
          <w:szCs w:val="18"/>
        </w:rPr>
        <w:t xml:space="preserve"> Druk sejmowy nr 3491 z dn. 18 października 2010</w:t>
      </w:r>
      <w:r>
        <w:rPr>
          <w:rFonts w:ascii="Times New Roman" w:hAnsi="Times New Roman" w:cs="Times New Roman"/>
          <w:sz w:val="18"/>
          <w:szCs w:val="18"/>
        </w:rPr>
        <w:t xml:space="preserve"> </w:t>
      </w:r>
      <w:r w:rsidRPr="00755C80">
        <w:rPr>
          <w:rFonts w:ascii="Times New Roman" w:hAnsi="Times New Roman" w:cs="Times New Roman"/>
          <w:sz w:val="18"/>
          <w:szCs w:val="18"/>
        </w:rPr>
        <w:t>r., Rządowy projekt ustawy o refundacji leków, środków spożywczych specjalnego przeznaczenia żywieniowego oraz wyrobów medycznych, s.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A8"/>
    <w:rsid w:val="00045924"/>
    <w:rsid w:val="000E3FA8"/>
    <w:rsid w:val="001F6ADE"/>
    <w:rsid w:val="002529C1"/>
    <w:rsid w:val="002F3A7F"/>
    <w:rsid w:val="002F7D0F"/>
    <w:rsid w:val="003E1B5C"/>
    <w:rsid w:val="005C4A84"/>
    <w:rsid w:val="005D21DE"/>
    <w:rsid w:val="00602068"/>
    <w:rsid w:val="0064562E"/>
    <w:rsid w:val="006539C3"/>
    <w:rsid w:val="00692A6D"/>
    <w:rsid w:val="00777F86"/>
    <w:rsid w:val="007A0733"/>
    <w:rsid w:val="007A5F73"/>
    <w:rsid w:val="007B55E9"/>
    <w:rsid w:val="008102F5"/>
    <w:rsid w:val="00840285"/>
    <w:rsid w:val="00956C1C"/>
    <w:rsid w:val="00AC33B2"/>
    <w:rsid w:val="00AE660F"/>
    <w:rsid w:val="00B65FF7"/>
    <w:rsid w:val="00B81AD6"/>
    <w:rsid w:val="00BC1F76"/>
    <w:rsid w:val="00D15F1D"/>
    <w:rsid w:val="00FF1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7D48"/>
  <w15:docId w15:val="{AE1B5D94-C074-4267-A294-9B44119D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E3FA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E3F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3FA8"/>
    <w:rPr>
      <w:sz w:val="20"/>
      <w:szCs w:val="20"/>
    </w:rPr>
  </w:style>
  <w:style w:type="character" w:styleId="Odwoanieprzypisudolnego">
    <w:name w:val="footnote reference"/>
    <w:basedOn w:val="Domylnaczcionkaakapitu"/>
    <w:uiPriority w:val="99"/>
    <w:semiHidden/>
    <w:unhideWhenUsed/>
    <w:rsid w:val="000E3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2151</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NEUCA</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Załeńska</dc:creator>
  <cp:lastModifiedBy>Sandra Jedynak</cp:lastModifiedBy>
  <cp:revision>3</cp:revision>
  <dcterms:created xsi:type="dcterms:W3CDTF">2016-10-25T08:16:00Z</dcterms:created>
  <dcterms:modified xsi:type="dcterms:W3CDTF">2016-10-25T08:35:00Z</dcterms:modified>
</cp:coreProperties>
</file>