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CF" w:rsidRDefault="00C324CF" w:rsidP="00C324CF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C324CF" w:rsidSect="00F15856">
          <w:headerReference w:type="even" r:id="rId6"/>
          <w:headerReference w:type="default" r:id="rId7"/>
          <w:headerReference w:type="first" r:id="rId8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2F86CAFB" wp14:editId="6125DA38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F" w:rsidRPr="0058076F" w:rsidRDefault="00C324CF" w:rsidP="00C324CF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C324CF" w:rsidRDefault="00C324CF" w:rsidP="00C324CF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C324CF" w:rsidRPr="00906693" w:rsidRDefault="00C324CF" w:rsidP="00C324CF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Nowicka</w:t>
      </w:r>
      <w:r w:rsidRPr="00906693">
        <w:rPr>
          <w:rFonts w:cs="Calibri"/>
          <w:sz w:val="24"/>
          <w:szCs w:val="24"/>
        </w:rPr>
        <w:t>, PARP</w:t>
      </w:r>
    </w:p>
    <w:p w:rsidR="00C324CF" w:rsidRPr="00E14005" w:rsidRDefault="00C324CF" w:rsidP="00C324CF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0" w:history="1">
        <w:r w:rsidRPr="006C2A41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:rsidR="00C324CF" w:rsidRPr="00906693" w:rsidRDefault="00C324CF" w:rsidP="00C324CF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>
        <w:rPr>
          <w:rFonts w:cs="Calibri"/>
          <w:sz w:val="24"/>
          <w:szCs w:val="24"/>
        </w:rPr>
        <w:t>880 524 959</w:t>
      </w:r>
    </w:p>
    <w:p w:rsidR="00C324CF" w:rsidRPr="00343AAD" w:rsidRDefault="00C324CF" w:rsidP="00C324CF">
      <w:pPr>
        <w:spacing w:after="0" w:line="276" w:lineRule="auto"/>
        <w:rPr>
          <w:rFonts w:cs="Calibri"/>
          <w:sz w:val="24"/>
          <w:szCs w:val="24"/>
        </w:rPr>
      </w:pPr>
    </w:p>
    <w:p w:rsidR="00C324CF" w:rsidRPr="008614C9" w:rsidRDefault="00C324CF" w:rsidP="00C324CF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C324CF" w:rsidRPr="008614C9" w:rsidRDefault="00C324CF" w:rsidP="00C324CF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74472F">
        <w:rPr>
          <w:rFonts w:cs="Calibri"/>
          <w:sz w:val="24"/>
          <w:szCs w:val="24"/>
        </w:rPr>
        <w:t>08.</w:t>
      </w:r>
      <w:r>
        <w:rPr>
          <w:rFonts w:cs="Calibri"/>
          <w:sz w:val="24"/>
          <w:szCs w:val="24"/>
        </w:rPr>
        <w:t>04</w:t>
      </w:r>
      <w:r w:rsidRPr="008614C9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C324CF" w:rsidRPr="008614C9" w:rsidRDefault="00C324CF" w:rsidP="00C324CF">
      <w:pPr>
        <w:spacing w:line="276" w:lineRule="auto"/>
        <w:rPr>
          <w:rFonts w:cs="Calibri"/>
          <w:sz w:val="18"/>
          <w:szCs w:val="18"/>
        </w:rPr>
      </w:pPr>
    </w:p>
    <w:p w:rsidR="00C324CF" w:rsidRDefault="00C324CF" w:rsidP="00C324CF">
      <w:pPr>
        <w:spacing w:line="276" w:lineRule="auto"/>
        <w:rPr>
          <w:b/>
          <w:sz w:val="34"/>
          <w:szCs w:val="34"/>
        </w:rPr>
        <w:sectPr w:rsidR="00C324CF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C324CF" w:rsidRDefault="00C324CF" w:rsidP="002125ED">
      <w:pPr>
        <w:pStyle w:val="Nagwek1"/>
        <w:rPr>
          <w:b w:val="0"/>
        </w:rPr>
      </w:pPr>
    </w:p>
    <w:p w:rsidR="00C324CF" w:rsidRPr="002125ED" w:rsidRDefault="00C324CF" w:rsidP="002125ED">
      <w:pPr>
        <w:pStyle w:val="Nagwek1"/>
        <w:spacing w:before="120" w:after="120" w:line="276" w:lineRule="auto"/>
        <w:rPr>
          <w:rFonts w:cs="Calibri"/>
          <w:b w:val="0"/>
        </w:rPr>
      </w:pPr>
      <w:r w:rsidRPr="002125ED">
        <w:rPr>
          <w:rFonts w:cs="Calibri"/>
        </w:rPr>
        <w:t>Przyszłość branży usług rozwojowych. Czy na rozwój branży wpływać będzie zastosowanie nowoczesnych technologii, kluczowe kompetencje</w:t>
      </w:r>
      <w:r w:rsidR="002125ED" w:rsidRPr="002125ED">
        <w:rPr>
          <w:rFonts w:cs="Calibri"/>
          <w:b w:val="0"/>
        </w:rPr>
        <w:t>,</w:t>
      </w:r>
      <w:r w:rsidRPr="002125ED">
        <w:rPr>
          <w:rFonts w:cs="Calibri"/>
        </w:rPr>
        <w:t xml:space="preserve"> a może innowacje?</w:t>
      </w:r>
    </w:p>
    <w:p w:rsidR="00C324CF" w:rsidRPr="002125ED" w:rsidRDefault="00C324CF" w:rsidP="002125ED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2125ED">
        <w:rPr>
          <w:rFonts w:cs="Calibri"/>
          <w:b/>
          <w:bCs/>
          <w:sz w:val="24"/>
          <w:szCs w:val="24"/>
        </w:rPr>
        <w:t xml:space="preserve">Polska Agencja Rozwoju Przedsiębiorczości zaprasza 21 kwietnia 2022 r. na spotkanie online w ramach cyklu </w:t>
      </w:r>
      <w:r w:rsidR="002125ED">
        <w:rPr>
          <w:rFonts w:cs="Calibri"/>
          <w:b/>
          <w:bCs/>
          <w:sz w:val="24"/>
          <w:szCs w:val="24"/>
        </w:rPr>
        <w:t>„</w:t>
      </w:r>
      <w:r w:rsidRPr="002125ED">
        <w:rPr>
          <w:rFonts w:cs="Calibri"/>
          <w:b/>
          <w:bCs/>
          <w:sz w:val="24"/>
          <w:szCs w:val="24"/>
        </w:rPr>
        <w:t>Branżowe Czwartki</w:t>
      </w:r>
      <w:r w:rsidR="002125ED">
        <w:rPr>
          <w:rFonts w:cs="Calibri"/>
          <w:b/>
          <w:bCs/>
          <w:sz w:val="24"/>
          <w:szCs w:val="24"/>
        </w:rPr>
        <w:t>”</w:t>
      </w:r>
      <w:r w:rsidRPr="002125ED">
        <w:rPr>
          <w:rFonts w:cs="Calibri"/>
          <w:b/>
          <w:bCs/>
          <w:sz w:val="24"/>
          <w:szCs w:val="24"/>
        </w:rPr>
        <w:t>. Zostaną na nim przedstawione wnioski z badania branży usług rozwojowych (UR). Eksperci będą dyskutować o źródłach</w:t>
      </w:r>
      <w:r w:rsidRPr="002125ED">
        <w:rPr>
          <w:rFonts w:cs="Calibri"/>
          <w:b/>
        </w:rPr>
        <w:t xml:space="preserve"> </w:t>
      </w:r>
      <w:r w:rsidRPr="002125ED">
        <w:rPr>
          <w:rFonts w:cs="Calibri"/>
          <w:b/>
          <w:sz w:val="24"/>
          <w:szCs w:val="24"/>
        </w:rPr>
        <w:t>wiedzy i inspiracji w uczeniu</w:t>
      </w:r>
      <w:r w:rsidRPr="002125ED">
        <w:rPr>
          <w:rFonts w:cs="Calibri"/>
          <w:b/>
        </w:rPr>
        <w:t xml:space="preserve"> </w:t>
      </w:r>
      <w:r w:rsidRPr="002125ED">
        <w:rPr>
          <w:rFonts w:cs="Calibri"/>
          <w:b/>
          <w:sz w:val="24"/>
          <w:szCs w:val="24"/>
        </w:rPr>
        <w:t>się edukatorów</w:t>
      </w:r>
      <w:r w:rsidRPr="002125ED">
        <w:rPr>
          <w:rFonts w:cs="Calibri"/>
          <w:b/>
          <w:bCs/>
          <w:sz w:val="24"/>
          <w:szCs w:val="24"/>
        </w:rPr>
        <w:t xml:space="preserve"> oraz o przewidywanych prognozach rozwoju sektora.</w:t>
      </w:r>
    </w:p>
    <w:p w:rsidR="00403909" w:rsidRPr="002125ED" w:rsidRDefault="00C324CF" w:rsidP="002125ED">
      <w:pPr>
        <w:spacing w:before="120" w:after="120" w:line="276" w:lineRule="auto"/>
        <w:rPr>
          <w:rFonts w:cs="Calibri"/>
          <w:bCs/>
          <w:noProof/>
          <w:sz w:val="24"/>
          <w:szCs w:val="24"/>
        </w:rPr>
      </w:pPr>
      <w:r w:rsidRPr="002125ED">
        <w:rPr>
          <w:rFonts w:cs="Calibri"/>
          <w:color w:val="000000"/>
          <w:sz w:val="24"/>
          <w:szCs w:val="24"/>
          <w:shd w:val="clear" w:color="auto" w:fill="FFFFFF"/>
        </w:rPr>
        <w:t>Badania branży usług rozwojowych</w:t>
      </w:r>
      <w:r w:rsidR="001B167D"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 (</w:t>
      </w:r>
      <w:r w:rsidR="00266181" w:rsidRPr="002125ED">
        <w:rPr>
          <w:rFonts w:cs="Calibri"/>
          <w:color w:val="000000"/>
          <w:sz w:val="24"/>
          <w:szCs w:val="24"/>
          <w:shd w:val="clear" w:color="auto" w:fill="FFFFFF"/>
        </w:rPr>
        <w:t>zdefiniowanej jako</w:t>
      </w:r>
      <w:r w:rsidR="001B167D"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 pozaszkolne formy edukacji) </w:t>
      </w:r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były przeprowadzone w 2021 r., zatem w okresie trwającej pandemii. Można było spodziewać się, że rozprzestrzenianie się </w:t>
      </w:r>
      <w:proofErr w:type="spellStart"/>
      <w:r w:rsidRPr="002125ED">
        <w:rPr>
          <w:rFonts w:cs="Calibri"/>
          <w:color w:val="000000"/>
          <w:sz w:val="24"/>
          <w:szCs w:val="24"/>
          <w:shd w:val="clear" w:color="auto" w:fill="FFFFFF"/>
        </w:rPr>
        <w:t>koronawirusa</w:t>
      </w:r>
      <w:proofErr w:type="spellEnd"/>
      <w:r w:rsidR="002125ED">
        <w:rPr>
          <w:rFonts w:cs="Calibri"/>
          <w:color w:val="000000"/>
          <w:sz w:val="24"/>
          <w:szCs w:val="24"/>
          <w:shd w:val="clear" w:color="auto" w:fill="FFFFFF"/>
        </w:rPr>
        <w:t>,</w:t>
      </w:r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 spowoduje szybsze przeniesienie realizacji usług w branży na platformy cyfrowe. Dane pokazują, że z tego rozwiązania skorzystało 34% badanych przedsiębiorstw, a 13% planowało wprowadzić takie usługi w ciągu kolejnych 12 miesięcy od badania. </w:t>
      </w:r>
      <w:r w:rsidR="00403909" w:rsidRPr="002125ED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Pracodawcy z branży usług rozwojowych wydają się być świadomi znaczenia technologii oraz roli umiejętności związanych z tym obszarem. Przypisują bowiem duże znaczenie kompetencjom cyfrowym, jak również planują zmiany w tym zakresie w perspektywie najbliższych 3 lat</w:t>
      </w:r>
      <w:r w:rsidR="002125ED"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r w:rsidR="00403909" w:rsidRPr="002125ED">
        <w:rPr>
          <w:rFonts w:cs="Calibri"/>
          <w:bCs/>
          <w:noProof/>
          <w:sz w:val="24"/>
          <w:szCs w:val="24"/>
        </w:rPr>
        <w:t xml:space="preserve">40% pracodawców przewiduje największe zapotrzebowanie </w:t>
      </w:r>
      <w:r w:rsidR="00BC7609" w:rsidRPr="002125ED">
        <w:rPr>
          <w:rFonts w:cs="Calibri"/>
          <w:bCs/>
          <w:noProof/>
          <w:sz w:val="24"/>
          <w:szCs w:val="24"/>
        </w:rPr>
        <w:t>na podstawowe umiejętności cyfrowe</w:t>
      </w:r>
      <w:r w:rsidR="00403909" w:rsidRPr="002125ED">
        <w:rPr>
          <w:rFonts w:cs="Calibri"/>
          <w:bCs/>
          <w:noProof/>
          <w:sz w:val="24"/>
          <w:szCs w:val="24"/>
        </w:rPr>
        <w:t>.</w:t>
      </w:r>
    </w:p>
    <w:p w:rsidR="00C324CF" w:rsidRPr="002125ED" w:rsidRDefault="00C324CF" w:rsidP="002125ED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Jednocześnie specyfika funkcjonowania branży usług rozwojowych spowodowała, że </w:t>
      </w:r>
      <w:r w:rsidRPr="002125ED">
        <w:rPr>
          <w:rFonts w:cs="Calibri"/>
          <w:sz w:val="24"/>
        </w:rPr>
        <w:t>73% badanych pracodawców oceniło wpływ pandemii na swoją działalność jako negatywny. W szczególnie niekorzystnej sytuacji znalazły się firmy mikro</w:t>
      </w:r>
      <w:r w:rsidR="002125ED">
        <w:rPr>
          <w:rFonts w:cs="Calibri"/>
          <w:sz w:val="24"/>
        </w:rPr>
        <w:t xml:space="preserve"> – </w:t>
      </w:r>
      <w:r w:rsidRPr="002125ED">
        <w:rPr>
          <w:rFonts w:cs="Calibri"/>
          <w:sz w:val="24"/>
        </w:rPr>
        <w:t xml:space="preserve">dwukrotnie częściej niż duże podmioty wskazywały na negatywne skutki pandemii na prowadzoną działalność. </w:t>
      </w:r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C324CF" w:rsidRPr="002125ED" w:rsidRDefault="00C324CF" w:rsidP="002125ED">
      <w:pPr>
        <w:spacing w:before="120" w:after="120" w:line="276" w:lineRule="auto"/>
        <w:rPr>
          <w:rFonts w:cs="Calibri"/>
        </w:rPr>
      </w:pPr>
      <w:r w:rsidRPr="002125ED">
        <w:rPr>
          <w:rFonts w:cs="Calibri"/>
          <w:sz w:val="24"/>
          <w:szCs w:val="24"/>
        </w:rPr>
        <w:t>Branżowy Bilans Kapitału Ludzkiego II (BBKL II) to projekt Polskiej Agencji Rozwoju Przedsiębiorczości, w którym realizowane są badania w 10 branżach: gospodarka wodno-ściekowa i rekultywacja, IT, chemia, żywność wysokiej jakości, handel, komunikacja marketingowa, nowoczesne usługi biznesowe, usługi rozwojowe, odzysk materiałowy surowców, przemysł lotniczo-kosmiczny, telekomunikacja i cyberbezpieczeństwo. Celem BBKL II jest dostarczenie wiedzy na temat obecnego i przyszłego zapotrzebowania na kompetencje</w:t>
      </w:r>
      <w:r w:rsidRPr="002125ED">
        <w:rPr>
          <w:rFonts w:cs="Calibri"/>
        </w:rPr>
        <w:t>.</w:t>
      </w:r>
    </w:p>
    <w:p w:rsidR="004048A5" w:rsidRPr="002125ED" w:rsidRDefault="004048A5" w:rsidP="002125ED">
      <w:pPr>
        <w:spacing w:before="120" w:after="120" w:line="276" w:lineRule="auto"/>
        <w:rPr>
          <w:rFonts w:cs="Calibri"/>
        </w:rPr>
      </w:pPr>
    </w:p>
    <w:p w:rsidR="004048A5" w:rsidRPr="002125ED" w:rsidRDefault="002125ED" w:rsidP="002125E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</w:rPr>
        <w:lastRenderedPageBreak/>
        <w:t>–</w:t>
      </w:r>
      <w:r>
        <w:rPr>
          <w:rFonts w:cs="Calibri"/>
          <w:sz w:val="24"/>
        </w:rPr>
        <w:t xml:space="preserve"> </w:t>
      </w:r>
      <w:r w:rsidR="004048A5" w:rsidRPr="002125ED">
        <w:rPr>
          <w:rFonts w:eastAsia="Times New Roman" w:cs="Calibri"/>
          <w:sz w:val="24"/>
          <w:szCs w:val="24"/>
          <w:lang w:eastAsia="pl-PL"/>
        </w:rPr>
        <w:t>Spotkanie prezentujące wyniki badania BBKL</w:t>
      </w:r>
      <w:r>
        <w:rPr>
          <w:rFonts w:eastAsia="Times New Roman" w:cs="Calibri"/>
          <w:sz w:val="24"/>
          <w:szCs w:val="24"/>
          <w:lang w:eastAsia="pl-PL"/>
        </w:rPr>
        <w:t>,</w:t>
      </w:r>
      <w:r w:rsidR="004048A5" w:rsidRPr="002125ED">
        <w:rPr>
          <w:rFonts w:eastAsia="Times New Roman" w:cs="Calibri"/>
          <w:sz w:val="24"/>
          <w:szCs w:val="24"/>
          <w:lang w:eastAsia="pl-PL"/>
        </w:rPr>
        <w:t xml:space="preserve"> przeprowadzonego w branży usług rozwojowych</w:t>
      </w:r>
      <w:r>
        <w:rPr>
          <w:rFonts w:eastAsia="Times New Roman" w:cs="Calibri"/>
          <w:sz w:val="24"/>
          <w:szCs w:val="24"/>
          <w:lang w:eastAsia="pl-PL"/>
        </w:rPr>
        <w:t xml:space="preserve">, </w:t>
      </w:r>
      <w:r w:rsidR="004048A5" w:rsidRPr="002125ED">
        <w:rPr>
          <w:rFonts w:eastAsia="Times New Roman" w:cs="Calibri"/>
          <w:sz w:val="24"/>
          <w:szCs w:val="24"/>
          <w:lang w:eastAsia="pl-PL"/>
        </w:rPr>
        <w:t xml:space="preserve">jest już </w:t>
      </w:r>
      <w:r w:rsidR="00780DC8" w:rsidRPr="002125ED">
        <w:rPr>
          <w:rFonts w:eastAsia="Times New Roman" w:cs="Calibri"/>
          <w:sz w:val="24"/>
          <w:szCs w:val="24"/>
          <w:lang w:eastAsia="pl-PL"/>
        </w:rPr>
        <w:t xml:space="preserve">szóstym </w:t>
      </w:r>
      <w:r w:rsidR="004048A5" w:rsidRPr="002125ED">
        <w:rPr>
          <w:rFonts w:eastAsia="Times New Roman" w:cs="Calibri"/>
          <w:sz w:val="24"/>
          <w:szCs w:val="24"/>
          <w:lang w:eastAsia="pl-PL"/>
        </w:rPr>
        <w:t xml:space="preserve">spotkaniem w naszym </w:t>
      </w:r>
      <w:r w:rsidR="00780DC8" w:rsidRPr="002125ED">
        <w:rPr>
          <w:rFonts w:eastAsia="Times New Roman" w:cs="Calibri"/>
          <w:sz w:val="24"/>
          <w:szCs w:val="24"/>
          <w:lang w:eastAsia="pl-PL"/>
        </w:rPr>
        <w:t xml:space="preserve">tegorocznym </w:t>
      </w:r>
      <w:r w:rsidR="004048A5" w:rsidRPr="002125ED">
        <w:rPr>
          <w:rFonts w:eastAsia="Times New Roman" w:cs="Calibri"/>
          <w:sz w:val="24"/>
          <w:szCs w:val="24"/>
          <w:lang w:eastAsia="pl-PL"/>
        </w:rPr>
        <w:t>cyklu. Niezwykle istotną częścią naszych spotkań jest prezentacja prognoz rozwoju dane</w:t>
      </w:r>
      <w:r w:rsidR="00891616" w:rsidRPr="002125ED">
        <w:rPr>
          <w:rFonts w:eastAsia="Times New Roman" w:cs="Calibri"/>
          <w:sz w:val="24"/>
          <w:szCs w:val="24"/>
          <w:lang w:eastAsia="pl-PL"/>
        </w:rPr>
        <w:t xml:space="preserve">j branży w zakresie kompetencji pracowników oraz dyskusja w gronie ekspertów – powiedział </w:t>
      </w:r>
      <w:r w:rsidR="00891616" w:rsidRPr="002125ED">
        <w:rPr>
          <w:rFonts w:eastAsia="Times New Roman" w:cs="Calibri"/>
          <w:b/>
          <w:sz w:val="24"/>
          <w:szCs w:val="24"/>
          <w:lang w:eastAsia="pl-PL"/>
        </w:rPr>
        <w:t>Dariusz Budrowski</w:t>
      </w:r>
      <w:r w:rsidR="00891616" w:rsidRPr="002125ED">
        <w:rPr>
          <w:rFonts w:eastAsia="Times New Roman" w:cs="Calibri"/>
          <w:sz w:val="24"/>
          <w:szCs w:val="24"/>
          <w:lang w:eastAsia="pl-PL"/>
        </w:rPr>
        <w:t xml:space="preserve">, </w:t>
      </w:r>
      <w:r>
        <w:rPr>
          <w:rFonts w:eastAsia="Times New Roman" w:cs="Calibri"/>
          <w:sz w:val="24"/>
          <w:szCs w:val="24"/>
          <w:lang w:eastAsia="pl-PL"/>
        </w:rPr>
        <w:t>p</w:t>
      </w:r>
      <w:r w:rsidR="00891616" w:rsidRPr="002125ED">
        <w:rPr>
          <w:rFonts w:eastAsia="Times New Roman" w:cs="Calibri"/>
          <w:sz w:val="24"/>
          <w:szCs w:val="24"/>
          <w:lang w:eastAsia="pl-PL"/>
        </w:rPr>
        <w:t>rezes Polskiej Agencji Rozwoju Przedsiębiorczości.</w:t>
      </w:r>
      <w:r w:rsidR="004048A5" w:rsidRPr="002125ED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C324CF" w:rsidRPr="002125ED" w:rsidRDefault="00C324CF" w:rsidP="002125ED">
      <w:pPr>
        <w:pStyle w:val="Nagwek2"/>
        <w:spacing w:before="120" w:after="120" w:line="276" w:lineRule="auto"/>
        <w:rPr>
          <w:rFonts w:cs="Calibri"/>
          <w:shd w:val="clear" w:color="auto" w:fill="FFFFFF"/>
        </w:rPr>
      </w:pPr>
      <w:r w:rsidRPr="002125ED">
        <w:rPr>
          <w:rFonts w:cs="Calibri"/>
          <w:shd w:val="clear" w:color="auto" w:fill="FFFFFF"/>
        </w:rPr>
        <w:t>Kluczowe kompetencje i ich rozwój</w:t>
      </w:r>
    </w:p>
    <w:p w:rsidR="00C324CF" w:rsidRPr="002125ED" w:rsidRDefault="00C324CF" w:rsidP="002125E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2125ED">
        <w:rPr>
          <w:rFonts w:eastAsia="Times New Roman" w:cs="Calibri"/>
          <w:sz w:val="24"/>
          <w:szCs w:val="24"/>
          <w:lang w:eastAsia="pl-PL"/>
        </w:rPr>
        <w:t xml:space="preserve">W branży wzrasta zapotrzebowanie na pracowników z kompetencjami w obszarach związanych z cyfryzacją. Dużą istotność kompetencji cyfrowych zauważa się nie tylko w projektowaniu czy świadczeniu usług rozwojowych, ale również w ich sprzedaży i promocji. </w:t>
      </w:r>
    </w:p>
    <w:p w:rsidR="00C324CF" w:rsidRPr="002125ED" w:rsidRDefault="00C324CF" w:rsidP="002125ED">
      <w:pPr>
        <w:spacing w:before="120" w:after="120" w:line="276" w:lineRule="auto"/>
        <w:rPr>
          <w:rFonts w:eastAsia="Times New Roman" w:cs="Calibri"/>
          <w:iCs/>
          <w:sz w:val="24"/>
          <w:szCs w:val="24"/>
          <w:lang w:eastAsia="pl-PL"/>
        </w:rPr>
      </w:pPr>
      <w:r w:rsidRPr="002125ED">
        <w:rPr>
          <w:rFonts w:eastAsia="Times New Roman" w:cs="Calibri"/>
          <w:iCs/>
          <w:sz w:val="24"/>
          <w:szCs w:val="24"/>
          <w:lang w:eastAsia="pl-PL"/>
        </w:rPr>
        <w:t>Kolejnym aspektem, który zauważają pracodawcy jest potrzeba zindywidualizowania usług rozwojowych do konkretnych, zaadresowanych wcześniej oczekiwań odbiorcy, co wiąże się ze zmianą podejścia do edukacji – od edukacji „na wszelki wypadek” do tzw. edukacji „</w:t>
      </w:r>
      <w:proofErr w:type="spellStart"/>
      <w:r w:rsidRPr="002125ED">
        <w:rPr>
          <w:rFonts w:eastAsia="Times New Roman" w:cs="Calibri"/>
          <w:iCs/>
          <w:sz w:val="24"/>
          <w:szCs w:val="24"/>
          <w:lang w:eastAsia="pl-PL"/>
        </w:rPr>
        <w:t>just</w:t>
      </w:r>
      <w:proofErr w:type="spellEnd"/>
      <w:r w:rsidRPr="002125ED">
        <w:rPr>
          <w:rFonts w:eastAsia="Times New Roman" w:cs="Calibri"/>
          <w:iCs/>
          <w:sz w:val="24"/>
          <w:szCs w:val="24"/>
          <w:lang w:eastAsia="pl-PL"/>
        </w:rPr>
        <w:t xml:space="preserve"> in </w:t>
      </w:r>
      <w:proofErr w:type="spellStart"/>
      <w:r w:rsidRPr="002125ED">
        <w:rPr>
          <w:rFonts w:eastAsia="Times New Roman" w:cs="Calibri"/>
          <w:iCs/>
          <w:sz w:val="24"/>
          <w:szCs w:val="24"/>
          <w:lang w:eastAsia="pl-PL"/>
        </w:rPr>
        <w:t>time</w:t>
      </w:r>
      <w:proofErr w:type="spellEnd"/>
      <w:r w:rsidRPr="002125ED">
        <w:rPr>
          <w:rFonts w:eastAsia="Times New Roman" w:cs="Calibri"/>
          <w:iCs/>
          <w:sz w:val="24"/>
          <w:szCs w:val="24"/>
          <w:lang w:eastAsia="pl-PL"/>
        </w:rPr>
        <w:t xml:space="preserve">”. W opinii pracodawców, znaczenie kompetencji związanych z projektowaniem usług rozwojowych będzie wzrastać na znaczeniu. </w:t>
      </w:r>
    </w:p>
    <w:p w:rsidR="00C324CF" w:rsidRPr="002125ED" w:rsidRDefault="00C324CF" w:rsidP="002125E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2125ED">
        <w:rPr>
          <w:rFonts w:eastAsia="Times New Roman" w:cs="Calibri"/>
          <w:sz w:val="24"/>
          <w:szCs w:val="24"/>
          <w:lang w:eastAsia="pl-PL"/>
        </w:rPr>
        <w:t>Pracodawcy przewidują także wzrost znaczenia kompetencji związanych z diagnozą potrzeb rozwojowych oraz ewaluacją efektów kształcenia.</w:t>
      </w:r>
    </w:p>
    <w:p w:rsidR="00C324CF" w:rsidRPr="002125ED" w:rsidRDefault="00C324CF" w:rsidP="002125ED">
      <w:pPr>
        <w:spacing w:before="120" w:after="120" w:line="276" w:lineRule="auto"/>
        <w:rPr>
          <w:rFonts w:cs="Calibri"/>
          <w:sz w:val="24"/>
        </w:rPr>
      </w:pPr>
      <w:r w:rsidRPr="002125ED">
        <w:rPr>
          <w:rFonts w:cs="Calibri"/>
          <w:sz w:val="24"/>
        </w:rPr>
        <w:t xml:space="preserve">38% badanych pracodawców w ogóle nie prowadzi oceny umiejętności pracowników, uznając jednocześnie poziom kompetencji swoich pracowników za zadowalający. </w:t>
      </w:r>
      <w:r w:rsidRPr="002125ED">
        <w:rPr>
          <w:rFonts w:cs="Calibri"/>
          <w:color w:val="000000"/>
          <w:sz w:val="24"/>
          <w:szCs w:val="24"/>
          <w:shd w:val="clear" w:color="auto" w:fill="FFFFFF"/>
        </w:rPr>
        <w:t>Wśród tych pracodawców, którzy dokonują takiej oceny</w:t>
      </w:r>
      <w:r w:rsidR="002125ED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r w:rsidRPr="002125ED">
        <w:rPr>
          <w:rFonts w:cs="Calibri"/>
          <w:color w:val="000000"/>
          <w:sz w:val="24"/>
          <w:szCs w:val="24"/>
          <w:shd w:val="clear" w:color="auto" w:fill="FFFFFF"/>
        </w:rPr>
        <w:t>ponad połowa uznaje</w:t>
      </w:r>
      <w:r w:rsidR="002125ED">
        <w:rPr>
          <w:rFonts w:cs="Calibri"/>
          <w:color w:val="000000"/>
          <w:sz w:val="24"/>
          <w:szCs w:val="24"/>
          <w:shd w:val="clear" w:color="auto" w:fill="FFFFFF"/>
        </w:rPr>
        <w:t>,</w:t>
      </w:r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 że umiejętności ich pracowników są zadowalające i nie ma potrzeby ich doskonalenia (58%). Co ciekawe – pracodawcy, którzy oferują możliwości rozwoju w miejscu pracy</w:t>
      </w:r>
      <w:r w:rsidR="002125ED">
        <w:rPr>
          <w:rFonts w:cs="Calibri"/>
          <w:color w:val="000000"/>
          <w:sz w:val="24"/>
          <w:szCs w:val="24"/>
          <w:shd w:val="clear" w:color="auto" w:fill="FFFFFF"/>
        </w:rPr>
        <w:t>,</w:t>
      </w:r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 częściej oceniają kompetencje pracowników jako zadowalające. Przedsiębiorcy zostali również zapytani o możliwości rozwojowe dla swojej kadry. 76% z nich zadeklarowała, że posiada dedykowane oferty podnoszenia kompetencji dla swoich pracowników. </w:t>
      </w:r>
    </w:p>
    <w:p w:rsidR="00C324CF" w:rsidRPr="002125ED" w:rsidRDefault="00C324CF" w:rsidP="002125ED">
      <w:pPr>
        <w:pStyle w:val="Nagwek2"/>
        <w:spacing w:before="120" w:after="120" w:line="276" w:lineRule="auto"/>
        <w:rPr>
          <w:rFonts w:cs="Calibri"/>
          <w:b w:val="0"/>
          <w:bCs/>
          <w:color w:val="000000" w:themeColor="text1"/>
          <w:szCs w:val="28"/>
          <w:shd w:val="clear" w:color="auto" w:fill="FFFFFF"/>
        </w:rPr>
      </w:pPr>
      <w:r w:rsidRPr="002125ED">
        <w:rPr>
          <w:rFonts w:cs="Calibri"/>
          <w:bCs/>
          <w:color w:val="000000" w:themeColor="text1"/>
          <w:szCs w:val="28"/>
          <w:shd w:val="clear" w:color="auto" w:fill="FFFFFF"/>
        </w:rPr>
        <w:t>Przyszłość sektora</w:t>
      </w:r>
    </w:p>
    <w:p w:rsidR="00891616" w:rsidRPr="002125ED" w:rsidRDefault="002125ED" w:rsidP="002125ED">
      <w:pPr>
        <w:spacing w:before="120" w:after="120" w:line="276" w:lineRule="auto"/>
        <w:rPr>
          <w:rFonts w:cs="Calibri"/>
          <w:sz w:val="24"/>
        </w:rPr>
      </w:pPr>
      <w:r w:rsidRPr="002125ED">
        <w:rPr>
          <w:rFonts w:cs="Calibri"/>
          <w:color w:val="000000"/>
          <w:sz w:val="24"/>
          <w:szCs w:val="24"/>
          <w:shd w:val="clear" w:color="auto" w:fill="FFFFFF"/>
        </w:rPr>
        <w:t>–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C324CF"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Plany przedsiębiorców </w:t>
      </w:r>
      <w:r w:rsidR="00891616"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z branży usług rozwojowych </w:t>
      </w:r>
      <w:r w:rsidR="00C324CF"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na kolejne 3 lata dotyczą przede wszystkim </w:t>
      </w:r>
      <w:r w:rsidR="00C324CF" w:rsidRPr="002125ED">
        <w:rPr>
          <w:rFonts w:cs="Calibri"/>
          <w:sz w:val="24"/>
        </w:rPr>
        <w:t>zmian polegających na:</w:t>
      </w:r>
      <w:r w:rsidR="00C324CF" w:rsidRPr="002125ED">
        <w:rPr>
          <w:rFonts w:cs="Calibri"/>
          <w:b/>
          <w:sz w:val="24"/>
        </w:rPr>
        <w:t xml:space="preserve"> </w:t>
      </w:r>
      <w:r w:rsidR="00C324CF" w:rsidRPr="002125ED">
        <w:rPr>
          <w:rFonts w:cs="Calibri"/>
          <w:sz w:val="24"/>
        </w:rPr>
        <w:t>stworzeniu nowych produktów lub usług (46%), podwyższeniu średniej marży sprzedaży (40%) i wprowadzeniu innowacji (36%)</w:t>
      </w:r>
      <w:r w:rsidR="00891616" w:rsidRPr="002125ED">
        <w:rPr>
          <w:rFonts w:cs="Calibri"/>
          <w:b/>
          <w:sz w:val="24"/>
        </w:rPr>
        <w:t xml:space="preserve"> </w:t>
      </w:r>
      <w:r w:rsidR="00891616" w:rsidRPr="002125ED">
        <w:rPr>
          <w:rFonts w:cs="Calibri"/>
          <w:sz w:val="24"/>
        </w:rPr>
        <w:t>–</w:t>
      </w:r>
      <w:r w:rsidR="00891616" w:rsidRPr="002125ED">
        <w:rPr>
          <w:rFonts w:cs="Calibri"/>
          <w:b/>
          <w:sz w:val="24"/>
        </w:rPr>
        <w:t xml:space="preserve"> </w:t>
      </w:r>
      <w:r w:rsidR="00891616" w:rsidRPr="002125ED">
        <w:rPr>
          <w:rFonts w:cs="Calibri"/>
          <w:sz w:val="24"/>
        </w:rPr>
        <w:t>dodaje prezes PARP</w:t>
      </w:r>
      <w:r>
        <w:rPr>
          <w:rFonts w:cs="Calibri"/>
          <w:sz w:val="24"/>
        </w:rPr>
        <w:t xml:space="preserve"> </w:t>
      </w:r>
      <w:r w:rsidR="00891616" w:rsidRPr="002125ED">
        <w:rPr>
          <w:rFonts w:cs="Calibri"/>
          <w:b/>
          <w:sz w:val="24"/>
        </w:rPr>
        <w:t>Dariusz Budrowski</w:t>
      </w:r>
      <w:r w:rsidR="00891616" w:rsidRPr="002125ED">
        <w:rPr>
          <w:rFonts w:cs="Calibri"/>
          <w:sz w:val="24"/>
        </w:rPr>
        <w:t>.</w:t>
      </w:r>
    </w:p>
    <w:p w:rsidR="00C324CF" w:rsidRPr="002125ED" w:rsidRDefault="00891616" w:rsidP="002125ED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2125ED">
        <w:rPr>
          <w:rFonts w:cs="Calibri"/>
          <w:sz w:val="24"/>
        </w:rPr>
        <w:t xml:space="preserve">Według ekspertów </w:t>
      </w:r>
      <w:r w:rsidR="00C324CF" w:rsidRPr="002125ED">
        <w:rPr>
          <w:rFonts w:cs="Calibri"/>
          <w:sz w:val="24"/>
        </w:rPr>
        <w:t>wysoce prawdopodobnym jest, że wprowadzenie innowacji w branży UR jest często tożsame ze stworzeniem nowych produktów/ usług.</w:t>
      </w:r>
    </w:p>
    <w:p w:rsidR="00C324CF" w:rsidRPr="002125ED" w:rsidRDefault="00C324CF" w:rsidP="002125ED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Jednocześnie eksperci branżowi wskazują na cztery możliwe scenariusze rozwoju sektora usług rozwojowych w Polsce. Najkorzystniejszy dla przedsiębiorstw i pracowników byłby ten zakładający </w:t>
      </w:r>
      <w:r w:rsidRPr="002125ED">
        <w:rPr>
          <w:rFonts w:cs="Calibri"/>
          <w:sz w:val="24"/>
          <w:szCs w:val="24"/>
        </w:rPr>
        <w:t>wysoki poziom profesjonalizacji procesu świadczenia usługi oraz powszechne zastosowanie nowoczesnych rozwiązań technologicznych w procesie świadczenia usługi</w:t>
      </w:r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. Najgorsze przewidywania dla sektora zakładają </w:t>
      </w:r>
      <w:r w:rsidRPr="002125ED">
        <w:rPr>
          <w:rFonts w:cs="Calibri"/>
          <w:sz w:val="24"/>
          <w:szCs w:val="24"/>
        </w:rPr>
        <w:t>niski poziom profesjonalizacji procesu świadczenia usługi oraz nikłe zastosowanie nowoczesnych rozwiązań technologicznych w procesie ich świadczenia</w:t>
      </w:r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</w:p>
    <w:p w:rsidR="002125ED" w:rsidRDefault="00C324CF" w:rsidP="002125ED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2125ED">
        <w:rPr>
          <w:rFonts w:cs="Calibri"/>
          <w:color w:val="000000"/>
          <w:sz w:val="24"/>
          <w:szCs w:val="24"/>
          <w:shd w:val="clear" w:color="auto" w:fill="FFFFFF"/>
        </w:rPr>
        <w:lastRenderedPageBreak/>
        <w:t xml:space="preserve">Wszystkie scenariusze rozwoju branży oraz szczegółowe wnioski z raportu zostaną przedstawione na </w:t>
      </w:r>
      <w:proofErr w:type="spellStart"/>
      <w:r w:rsidRPr="002125ED">
        <w:rPr>
          <w:rFonts w:cs="Calibri"/>
          <w:color w:val="000000"/>
          <w:sz w:val="24"/>
          <w:szCs w:val="24"/>
          <w:shd w:val="clear" w:color="auto" w:fill="FFFFFF"/>
        </w:rPr>
        <w:t>webinarze</w:t>
      </w:r>
      <w:proofErr w:type="spellEnd"/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 z cyklu </w:t>
      </w:r>
      <w:r w:rsidR="002125ED">
        <w:rPr>
          <w:rFonts w:cs="Calibri"/>
          <w:color w:val="000000"/>
          <w:sz w:val="24"/>
          <w:szCs w:val="24"/>
          <w:shd w:val="clear" w:color="auto" w:fill="FFFFFF"/>
        </w:rPr>
        <w:t>„</w:t>
      </w:r>
      <w:r w:rsidRPr="002125ED">
        <w:rPr>
          <w:rFonts w:cs="Calibri"/>
          <w:color w:val="000000"/>
          <w:sz w:val="24"/>
          <w:szCs w:val="24"/>
          <w:shd w:val="clear" w:color="auto" w:fill="FFFFFF"/>
        </w:rPr>
        <w:t xml:space="preserve">Branżowy Bilans Kapitału Ludzkiego", który odbędzie się 21 kwietnia 2022 r. </w:t>
      </w:r>
    </w:p>
    <w:p w:rsidR="00C324CF" w:rsidRPr="002125ED" w:rsidRDefault="00C324CF" w:rsidP="002125ED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2125ED">
        <w:rPr>
          <w:rFonts w:cs="Calibri"/>
          <w:color w:val="000000"/>
          <w:sz w:val="24"/>
          <w:szCs w:val="24"/>
          <w:shd w:val="clear" w:color="auto" w:fill="FFFFFF"/>
        </w:rPr>
        <w:t>Więcej informacji na</w:t>
      </w:r>
      <w:hyperlink r:id="rId11" w:history="1">
        <w:r w:rsidRPr="002125ED">
          <w:rPr>
            <w:rStyle w:val="Hipercze"/>
            <w:rFonts w:cs="Calibri"/>
            <w:sz w:val="24"/>
            <w:szCs w:val="24"/>
            <w:shd w:val="clear" w:color="auto" w:fill="FFFFFF"/>
          </w:rPr>
          <w:t xml:space="preserve"> stronie PARP</w:t>
        </w:r>
      </w:hyperlink>
      <w:r w:rsidRPr="002125ED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:rsidR="00C324CF" w:rsidRPr="005F41F4" w:rsidRDefault="00C324CF" w:rsidP="00C324CF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C324CF" w:rsidRDefault="00C324CF" w:rsidP="00C324CF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4318AC9" wp14:editId="7BA5FED5">
            <wp:extent cx="2057400" cy="44291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KL_II-rgb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3332" cy="46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CF" w:rsidRPr="0095591D" w:rsidRDefault="00C324CF" w:rsidP="00C324CF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A2E2BF7" wp14:editId="48595C80">
            <wp:extent cx="6120130" cy="46228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WE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C23" w:rsidRDefault="00572C23"/>
    <w:sectPr w:rsidR="00572C23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160" w:rsidRDefault="009A5160">
      <w:pPr>
        <w:spacing w:after="0" w:line="240" w:lineRule="auto"/>
      </w:pPr>
      <w:r>
        <w:separator/>
      </w:r>
    </w:p>
  </w:endnote>
  <w:endnote w:type="continuationSeparator" w:id="0">
    <w:p w:rsidR="009A5160" w:rsidRDefault="009A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160" w:rsidRDefault="009A5160">
      <w:pPr>
        <w:spacing w:after="0" w:line="240" w:lineRule="auto"/>
      </w:pPr>
      <w:r>
        <w:separator/>
      </w:r>
    </w:p>
  </w:footnote>
  <w:footnote w:type="continuationSeparator" w:id="0">
    <w:p w:rsidR="009A5160" w:rsidRDefault="009A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426B29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07C814A" wp14:editId="6378C18B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426B29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AA5E8E5" wp14:editId="39E470DC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426B29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0BCA6F55" wp14:editId="701DC75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CF"/>
    <w:rsid w:val="001B167D"/>
    <w:rsid w:val="002125ED"/>
    <w:rsid w:val="00266181"/>
    <w:rsid w:val="003A10F2"/>
    <w:rsid w:val="00403909"/>
    <w:rsid w:val="004048A5"/>
    <w:rsid w:val="00426B29"/>
    <w:rsid w:val="00514A6D"/>
    <w:rsid w:val="00572C23"/>
    <w:rsid w:val="0074472F"/>
    <w:rsid w:val="00780DC8"/>
    <w:rsid w:val="007E38FF"/>
    <w:rsid w:val="00891616"/>
    <w:rsid w:val="009A5160"/>
    <w:rsid w:val="00AC3EAE"/>
    <w:rsid w:val="00B151A8"/>
    <w:rsid w:val="00BC7609"/>
    <w:rsid w:val="00C324CF"/>
    <w:rsid w:val="00C923CB"/>
    <w:rsid w:val="00C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CEC7"/>
  <w15:chartTrackingRefBased/>
  <w15:docId w15:val="{41F2F025-4E37-432E-A478-6C01034E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4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5E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24C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25ED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24CF"/>
    <w:rPr>
      <w:rFonts w:ascii="Calibri" w:eastAsiaTheme="majorEastAsia" w:hAnsi="Calibri" w:cstheme="majorBidi"/>
      <w:b/>
      <w:sz w:val="28"/>
      <w:szCs w:val="26"/>
    </w:rPr>
  </w:style>
  <w:style w:type="character" w:styleId="Hipercze">
    <w:name w:val="Hyperlink"/>
    <w:uiPriority w:val="99"/>
    <w:unhideWhenUsed/>
    <w:rsid w:val="00C324C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4CF"/>
    <w:rPr>
      <w:rFonts w:ascii="Calibri" w:eastAsia="Calibri" w:hAnsi="Calibri" w:cs="Times New Roman"/>
    </w:rPr>
  </w:style>
  <w:style w:type="character" w:customStyle="1" w:styleId="eop">
    <w:name w:val="eop"/>
    <w:basedOn w:val="Domylnaczcionkaakapitu"/>
    <w:rsid w:val="00C324CF"/>
  </w:style>
  <w:style w:type="character" w:styleId="Odwoaniedokomentarza">
    <w:name w:val="annotation reference"/>
    <w:basedOn w:val="Domylnaczcionkaakapitu"/>
    <w:uiPriority w:val="99"/>
    <w:semiHidden/>
    <w:unhideWhenUsed/>
    <w:rsid w:val="00C32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4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4C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4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parp.gov.pl/component/parpevents/?view=details&amp;id=253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uiza_nowicka@parp.gov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Józefowicz-Krakowiak Agnieszka</dc:creator>
  <cp:keywords/>
  <dc:description/>
  <cp:lastModifiedBy>Nowicka Luiza</cp:lastModifiedBy>
  <cp:revision>2</cp:revision>
  <dcterms:created xsi:type="dcterms:W3CDTF">2022-04-08T09:42:00Z</dcterms:created>
  <dcterms:modified xsi:type="dcterms:W3CDTF">2022-04-08T09:42:00Z</dcterms:modified>
</cp:coreProperties>
</file>