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80" w:rsidRPr="0058076F" w:rsidRDefault="00440080" w:rsidP="00440080">
      <w:pPr>
        <w:spacing w:after="0" w:line="276" w:lineRule="auto"/>
        <w:rPr>
          <w:rFonts w:cs="Calibri"/>
          <w:sz w:val="24"/>
          <w:szCs w:val="24"/>
        </w:rPr>
      </w:pPr>
    </w:p>
    <w:p w:rsidR="00440080" w:rsidRDefault="00440080" w:rsidP="00440080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440080" w:rsidRPr="00906693" w:rsidRDefault="00440080" w:rsidP="00440080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Nowicka</w:t>
      </w:r>
      <w:r w:rsidRPr="00906693">
        <w:rPr>
          <w:rFonts w:cs="Calibri"/>
          <w:sz w:val="24"/>
          <w:szCs w:val="24"/>
        </w:rPr>
        <w:t>, PARP</w:t>
      </w:r>
    </w:p>
    <w:p w:rsidR="00440080" w:rsidRPr="00E14005" w:rsidRDefault="00440080" w:rsidP="00440080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6" w:history="1">
        <w:r w:rsidRPr="00FC08AD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:rsidR="00440080" w:rsidRPr="00906693" w:rsidRDefault="00440080" w:rsidP="00440080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>
        <w:rPr>
          <w:rFonts w:cs="Calibri"/>
          <w:sz w:val="24"/>
          <w:szCs w:val="24"/>
        </w:rPr>
        <w:t>880 524 959</w:t>
      </w:r>
    </w:p>
    <w:p w:rsidR="00440080" w:rsidRPr="00343AAD" w:rsidRDefault="00440080" w:rsidP="00440080">
      <w:pPr>
        <w:spacing w:after="0" w:line="276" w:lineRule="auto"/>
        <w:rPr>
          <w:rFonts w:cs="Calibri"/>
          <w:sz w:val="24"/>
          <w:szCs w:val="24"/>
        </w:rPr>
      </w:pPr>
    </w:p>
    <w:p w:rsidR="00440080" w:rsidRPr="008614C9" w:rsidRDefault="00440080" w:rsidP="00440080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:rsidR="00440080" w:rsidRPr="008614C9" w:rsidRDefault="00440080" w:rsidP="00440080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>
        <w:rPr>
          <w:rFonts w:cs="Calibri"/>
          <w:sz w:val="24"/>
          <w:szCs w:val="24"/>
        </w:rPr>
        <w:t>20</w:t>
      </w:r>
      <w:r w:rsidRPr="008614C9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04</w:t>
      </w:r>
      <w:r w:rsidRPr="008614C9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:rsidR="00440080" w:rsidRPr="008614C9" w:rsidRDefault="00440080" w:rsidP="00440080">
      <w:pPr>
        <w:spacing w:line="276" w:lineRule="auto"/>
        <w:rPr>
          <w:rFonts w:cs="Calibri"/>
          <w:sz w:val="18"/>
          <w:szCs w:val="18"/>
        </w:rPr>
      </w:pPr>
    </w:p>
    <w:p w:rsidR="00440080" w:rsidRDefault="00440080" w:rsidP="00440080">
      <w:pPr>
        <w:spacing w:line="276" w:lineRule="auto"/>
        <w:rPr>
          <w:b/>
          <w:sz w:val="34"/>
          <w:szCs w:val="34"/>
        </w:rPr>
        <w:sectPr w:rsidR="00440080" w:rsidSect="00440080">
          <w:headerReference w:type="default" r:id="rId7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440080" w:rsidRDefault="00440080" w:rsidP="00440080">
      <w:pPr>
        <w:spacing w:before="120" w:after="12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440080" w:rsidRPr="00296952" w:rsidRDefault="00440080" w:rsidP="00440080">
      <w:pPr>
        <w:pStyle w:val="Nagwek1"/>
        <w:spacing w:before="120" w:after="120" w:line="276" w:lineRule="auto"/>
        <w:jc w:val="center"/>
        <w:rPr>
          <w:b w:val="0"/>
          <w:bCs/>
          <w:color w:val="000000" w:themeColor="text1"/>
        </w:rPr>
      </w:pPr>
      <w:r w:rsidRPr="00296952">
        <w:rPr>
          <w:bCs/>
          <w:color w:val="000000" w:themeColor="text1"/>
        </w:rPr>
        <w:t>Europa stawia na gospodarkę o obiegu zamkniętym</w:t>
      </w:r>
    </w:p>
    <w:p w:rsidR="00440080" w:rsidRPr="00440080" w:rsidRDefault="00440080" w:rsidP="00440080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440080">
        <w:rPr>
          <w:rFonts w:cs="Calibri"/>
          <w:b/>
          <w:bCs/>
          <w:sz w:val="24"/>
          <w:szCs w:val="24"/>
        </w:rPr>
        <w:t>Nowe trendy proekologiczne, związane z gospodarką o obiegu zamkniętym, pomogą Unii Europejskiej osiągnąć neutralność klimatyczną do 2050 r. Przedsiębiorcy i pracownicy potrzebują wsparcia merytorycznego i finansowego do wdrożenia nowych planów biznesowych, które nie będą oddziaływały negatywnie na środowisko. Taką pomoc mają zapewnić również działania koordynowane przez Polską Agencję Rozwoju Przedsiębiorczości w nowej perspektywie 2021-2027.</w:t>
      </w:r>
    </w:p>
    <w:p w:rsidR="00440080" w:rsidRPr="00296952" w:rsidRDefault="00440080" w:rsidP="0044008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Gospodarka o obiegu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zamkniętym </w:t>
      </w:r>
      <w:r w:rsidRPr="00781FB3">
        <w:rPr>
          <w:rFonts w:cstheme="minorHAnsi"/>
          <w:color w:val="000000"/>
          <w:sz w:val="24"/>
          <w:szCs w:val="24"/>
          <w:shd w:val="clear" w:color="auto" w:fill="FFFFFF"/>
        </w:rPr>
        <w:t xml:space="preserve">(GOZ)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to 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koncepcj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, w której surowce i produkty pozostają w gospodarce tak długo, jak to możliwe, a wytwarzanie odpadów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 użycie energii 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jest zminimalizowane. Chodzi zatem o odejście od zasady „weź – wyprodukuj – zużyj – wyrzuć”, w której odpady często traktowane są jako ostatni etap cyklu życia. Gospodarka o obiegu zamkniętym proponuje wykorzystanie odpadów jako surowców wtórnych. Ta idea uwzględnia cały cykl życia produktu, zaczynając od jego projektowania, poprzez produkcję, konsumpcję, zbieranie odpadów, aż do ich zagospodarowania.</w:t>
      </w:r>
    </w:p>
    <w:p w:rsidR="00440080" w:rsidRDefault="00440080" w:rsidP="0044008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W ogólnej świadomości społecznej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na temat GOZ 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dominują trendy związane z gospodarką odpadami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takie jak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recykling i odzysk. Jednak jest to niewielki wycinek całej idei. </w:t>
      </w:r>
    </w:p>
    <w:p w:rsidR="00440080" w:rsidRDefault="00440080" w:rsidP="0044008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Hlk101355616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Na rynku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widzimy 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powstawanie nowych trendów, które mają szansę sprawić, że Unia Europejska osiągnie neutralność klimatyczną do 2050 r. Są to m.in. nowe odnawialne źródła energii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zwiększanie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efektywnoś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ci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energetyczn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ej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, selektywna zbiórka odpadów i recykling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 Także bardzo ważne są z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miany </w:t>
      </w:r>
      <w:proofErr w:type="spellStart"/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zachowań</w:t>
      </w:r>
      <w:proofErr w:type="spellEnd"/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konsumentów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oraz zmiany w prawodawstwie i politykach publicznych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skomentowała Agnieszka Józefowicz-Krakowiak z Polskiej Agencji Rozwoju Przedsiębiorczości i dodała – Temat gospodarki o zamkniętym obiegu będzie jednym z istotnych elementów działań PARP w przyszłej perspektywie, zarówno w zakresie inwestycyjnym, jak i szkoleniowo-doradczym.</w:t>
      </w:r>
    </w:p>
    <w:bookmarkEnd w:id="0"/>
    <w:p w:rsidR="00440080" w:rsidRPr="00440080" w:rsidRDefault="00440080" w:rsidP="00440080">
      <w:pPr>
        <w:pStyle w:val="Nagwek2"/>
        <w:spacing w:before="120" w:after="120" w:line="276" w:lineRule="auto"/>
      </w:pPr>
      <w:r w:rsidRPr="00440080">
        <w:t>Przedsiębiorcom brakuje wiedzy i funduszy</w:t>
      </w:r>
    </w:p>
    <w:p w:rsidR="00440080" w:rsidRPr="00296952" w:rsidRDefault="00440080" w:rsidP="0044008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Z analizy rynku wynika, że czynnikami mającymi największy wpływ na problem z wdrażaniem rozwiązań GOZ są przede wszystkim niska świadomość i wiedza uczestników rynku na temat klimatu oraz ograniczone zasoby finansowe. Przedsiębiorcy często są świadomi, że ich biznes może negatywnie wpływać na środowisko, jednak część z nich nie podejmuje żadnych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kroków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, żeby temu przeciwdziałać. Aby skutecznie zniwelować te bariery, które występują przekrojowo i dotyczą różnych aspektów gospodarki i społeczeństwa, należy zaprojektować i wdrożyć nowe formy 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wsparcia. Działania powinny być ukierunkowane na eliminowanie niskiej świadomości uczestników rynku, luki kompetencyjnej oraz wyzwań dotyczących finansowania rozwoju i wdrażania rozwiązań GOZ. W takich sytuacjach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ważne jest wsparcie podmiotów ogólnokrajowych i międzynarodowych.</w:t>
      </w:r>
    </w:p>
    <w:p w:rsidR="00440080" w:rsidRPr="00296952" w:rsidRDefault="00440080" w:rsidP="0044008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Nowe trendy związane z GOZ pojawiają się w planach oraz działaniach projektów europejskich. Z uchwały nr 5/2022 Rady Ministrów wynika, że w związku z regulacjami związanymi z Europejskim Zielonym Ładem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przewiduje się wsparcie MŚP z Polski Wschodniej w zakresie transformacji modeli biznesowych. Pomoc zostanie przeznaczona na wdrożenie nowego modelu biznesowego opartego na GOZ oraz wdrożenie działań wynikających z opracowanego modelu, np. zaprojektowanie prac dostosowawczych oraz zakup nowych technologii. Ważnym elementem wsparcia będą także działania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mające na celu uświadamianie przedsiębiorcom korzyści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ekonomicznych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marketingowych, wynikających z wprowadzenia zmian dot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yczących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GOZ w firmie. Na obszar Polski Wschodniej oddziałują specyficzne uwarunkowania, wyróżniające region od innych, m.in. mniejsza skala działalności dużych przedsiębiorstw oraz ponadprzeciętny udział firm związanych z rolnictwem, budownictwem, transportem i logistyką. Te czynniki mogą charakteryzować się znaczący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potencjałem dla rozwoju GOZ.</w:t>
      </w:r>
    </w:p>
    <w:p w:rsidR="00440080" w:rsidRPr="00296952" w:rsidRDefault="00440080" w:rsidP="0044008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Proekologiczne działania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wdrożą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F</w:t>
      </w:r>
      <w:bookmarkStart w:id="1" w:name="_GoBack"/>
      <w:bookmarkEnd w:id="1"/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undusze Europejskie dla Nowoczesnej Gospodarki, które również wesprą przedsiębiorstwa w drodze do zrównoważonego rozwoju i gospodarki o obiegu zamkniętym. Realizacja działań ma wpływać na zmianę myślenia przedsiębior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ców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o całości prowadzonej działalności gospodarczej, uwzględni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ni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aspektów środowiskowych i przestawi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>ni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biznesu na model cyrkularny: od wyboru kontrahentów i zasobów, przez projektowanie produktów i usług, aż po zrównoważoną produkcję i zarządzanie odpadami.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Polska Agencja Rozwoju Przedsiębiorczości, jako instytucja pośrednicząca w tym programie, przekieruje </w:t>
      </w:r>
      <w:r w:rsidRPr="0083000C">
        <w:rPr>
          <w:rFonts w:cstheme="minorHAnsi"/>
          <w:color w:val="000000"/>
          <w:sz w:val="24"/>
          <w:szCs w:val="24"/>
          <w:shd w:val="clear" w:color="auto" w:fill="FFFFFF"/>
        </w:rPr>
        <w:t>pomoc unijn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ą na </w:t>
      </w:r>
      <w:r w:rsidRPr="0083000C">
        <w:rPr>
          <w:sz w:val="24"/>
          <w:szCs w:val="24"/>
        </w:rPr>
        <w:t>kompleksowe projekty badawczo-rozwojowo-inwestycyjne</w:t>
      </w:r>
      <w:r w:rsidRPr="0083000C">
        <w:rPr>
          <w:rFonts w:cstheme="minorHAnsi"/>
          <w:color w:val="000000"/>
          <w:sz w:val="24"/>
          <w:szCs w:val="24"/>
          <w:shd w:val="clear" w:color="auto" w:fill="FFFFFF"/>
        </w:rPr>
        <w:t xml:space="preserve">, w tym </w:t>
      </w:r>
      <w:r w:rsidRPr="0083000C">
        <w:rPr>
          <w:sz w:val="24"/>
          <w:szCs w:val="24"/>
        </w:rPr>
        <w:t>„zazielenianie” działalności przedsiębiorstw.</w:t>
      </w:r>
    </w:p>
    <w:p w:rsidR="00440080" w:rsidRDefault="00440080" w:rsidP="0044008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W ramach Funduszy Europejskich dla Rozwoju Społecznego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będą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również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prowadzone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szkolenia i doradztwo dla pracowników i przedsiębiorców w zakresie zerowej i niskiej emisyjności oraz GOZ. Wsparcie dotyczyć będzie m.in. korzyści biznesowych wynikających ze stosowania rozwiązań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29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wpisujących się w obszar zielonej ekonomii.</w:t>
      </w:r>
    </w:p>
    <w:p w:rsidR="00440080" w:rsidRPr="0095591D" w:rsidRDefault="00440080" w:rsidP="0044008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AE8FC84" wp14:editId="772C0195">
            <wp:simplePos x="0" y="0"/>
            <wp:positionH relativeFrom="margin">
              <wp:posOffset>-549910</wp:posOffset>
            </wp:positionH>
            <wp:positionV relativeFrom="paragraph">
              <wp:posOffset>1007745</wp:posOffset>
            </wp:positionV>
            <wp:extent cx="7315200" cy="867532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óln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6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00C">
        <w:rPr>
          <w:rFonts w:cstheme="minorHAnsi"/>
          <w:color w:val="000000"/>
          <w:sz w:val="24"/>
          <w:szCs w:val="24"/>
          <w:shd w:val="clear" w:color="auto" w:fill="FFFFFF"/>
        </w:rPr>
        <w:t>Nowa perspektywa w PARP to także Krajowy Plan Odbudowy i Zwiększania Odporności. To „</w:t>
      </w:r>
      <w:r w:rsidRPr="0083000C">
        <w:rPr>
          <w:sz w:val="24"/>
          <w:szCs w:val="24"/>
        </w:rPr>
        <w:t>finansowy zastrzyk” dla przedsiębiorców, którzy zdecydują się na inwestycje związane z wdrażaniem technologii środowiskowych, których efektem będzie lepsza gospodarka materiałowa, zwiększenie efektywności energetycznej i zmiana filozofii firmy w kierunku zero waste.</w:t>
      </w:r>
    </w:p>
    <w:p w:rsidR="00F80333" w:rsidRDefault="0060562A"/>
    <w:sectPr w:rsidR="00F80333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2A" w:rsidRDefault="0060562A" w:rsidP="00440080">
      <w:pPr>
        <w:spacing w:after="0" w:line="240" w:lineRule="auto"/>
      </w:pPr>
      <w:r>
        <w:separator/>
      </w:r>
    </w:p>
  </w:endnote>
  <w:endnote w:type="continuationSeparator" w:id="0">
    <w:p w:rsidR="0060562A" w:rsidRDefault="0060562A" w:rsidP="0044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2A" w:rsidRDefault="0060562A" w:rsidP="00440080">
      <w:pPr>
        <w:spacing w:after="0" w:line="240" w:lineRule="auto"/>
      </w:pPr>
      <w:r>
        <w:separator/>
      </w:r>
    </w:p>
  </w:footnote>
  <w:footnote w:type="continuationSeparator" w:id="0">
    <w:p w:rsidR="0060562A" w:rsidRDefault="0060562A" w:rsidP="0044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80" w:rsidRPr="00440080" w:rsidRDefault="00440080" w:rsidP="00440080">
    <w:pPr>
      <w:pStyle w:val="Nagwek"/>
    </w:pPr>
    <w:r>
      <w:rPr>
        <w:rFonts w:eastAsia="Times New Roman" w:cs="Calibri"/>
        <w:b/>
        <w:noProof/>
        <w:color w:val="000000"/>
        <w:sz w:val="32"/>
        <w:szCs w:val="32"/>
        <w:lang w:val="en-US" w:eastAsia="pl-PL"/>
      </w:rPr>
      <w:drawing>
        <wp:inline distT="0" distB="0" distL="0" distR="0" wp14:anchorId="405975B2" wp14:editId="4304FE83">
          <wp:extent cx="6120130" cy="609474"/>
          <wp:effectExtent l="0" t="0" r="0" b="635"/>
          <wp:docPr id="1" name="Obraz 31" descr="Logo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Logo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80"/>
    <w:rsid w:val="00440080"/>
    <w:rsid w:val="0060562A"/>
    <w:rsid w:val="00770DA6"/>
    <w:rsid w:val="00A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652AE7-8160-4C61-A6D0-07268F9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08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08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0080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0080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styleId="Hipercze">
    <w:name w:val="Hyperlink"/>
    <w:uiPriority w:val="99"/>
    <w:unhideWhenUsed/>
    <w:rsid w:val="0044008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0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0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za_nowicka@parp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Luiza</dc:creator>
  <cp:keywords/>
  <dc:description/>
  <cp:lastModifiedBy>Nowicka Luiza</cp:lastModifiedBy>
  <cp:revision>1</cp:revision>
  <dcterms:created xsi:type="dcterms:W3CDTF">2022-04-20T13:35:00Z</dcterms:created>
  <dcterms:modified xsi:type="dcterms:W3CDTF">2022-04-20T13:39:00Z</dcterms:modified>
</cp:coreProperties>
</file>