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6732" w14:textId="11BCF26B" w:rsidR="009460CC" w:rsidRDefault="009460CC" w:rsidP="009460CC">
      <w:pPr>
        <w:spacing w:before="240" w:after="240" w:line="259" w:lineRule="auto"/>
        <w:ind w:left="6373"/>
        <w:jc w:val="right"/>
        <w:rPr>
          <w:sz w:val="22"/>
        </w:rPr>
      </w:pPr>
      <w:bookmarkStart w:id="0" w:name="_Hlk101870376"/>
      <w:r>
        <w:rPr>
          <w:sz w:val="22"/>
        </w:rPr>
        <w:t xml:space="preserve">Warszawa, </w:t>
      </w:r>
      <w:r w:rsidR="00051D0F">
        <w:rPr>
          <w:sz w:val="22"/>
        </w:rPr>
        <w:t>2</w:t>
      </w:r>
      <w:r w:rsidR="0034752F">
        <w:rPr>
          <w:sz w:val="22"/>
        </w:rPr>
        <w:t>8</w:t>
      </w:r>
      <w:r>
        <w:rPr>
          <w:sz w:val="22"/>
        </w:rPr>
        <w:t>.0</w:t>
      </w:r>
      <w:r w:rsidR="00EB532F">
        <w:rPr>
          <w:sz w:val="22"/>
        </w:rPr>
        <w:t>4</w:t>
      </w:r>
      <w:r>
        <w:rPr>
          <w:sz w:val="22"/>
        </w:rPr>
        <w:t xml:space="preserve">.2022 r. </w:t>
      </w:r>
    </w:p>
    <w:p w14:paraId="1D21B8F8" w14:textId="0B992CBA" w:rsidR="009460CC" w:rsidRDefault="009460CC" w:rsidP="009460CC">
      <w:pPr>
        <w:spacing w:before="480" w:after="480" w:line="259" w:lineRule="auto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</w:p>
    <w:p w14:paraId="025159A9" w14:textId="77777777" w:rsidR="00B566B0" w:rsidRDefault="00B566B0" w:rsidP="009460CC">
      <w:pPr>
        <w:spacing w:before="240" w:after="240" w:line="259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1144EE42" w14:textId="5F52B0B1" w:rsidR="00E16A5F" w:rsidRDefault="00051D0F" w:rsidP="009460CC">
      <w:pPr>
        <w:spacing w:before="240" w:after="240" w:line="259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BIG </w:t>
      </w:r>
      <w:proofErr w:type="spellStart"/>
      <w:r>
        <w:rPr>
          <w:rFonts w:ascii="Calibri" w:eastAsia="Calibri" w:hAnsi="Calibri" w:cs="Times New Roman"/>
          <w:b/>
          <w:bCs/>
          <w:sz w:val="32"/>
          <w:szCs w:val="32"/>
        </w:rPr>
        <w:t>InfoMonitor</w:t>
      </w:r>
      <w:proofErr w:type="spellEnd"/>
      <w:r>
        <w:rPr>
          <w:rFonts w:ascii="Calibri" w:eastAsia="Calibri" w:hAnsi="Calibri" w:cs="Times New Roman"/>
          <w:b/>
          <w:bCs/>
          <w:sz w:val="32"/>
          <w:szCs w:val="32"/>
        </w:rPr>
        <w:t xml:space="preserve">: </w:t>
      </w:r>
      <w:r w:rsidR="00C4151E">
        <w:rPr>
          <w:rFonts w:ascii="Calibri" w:eastAsia="Calibri" w:hAnsi="Calibri" w:cs="Times New Roman"/>
          <w:b/>
          <w:bCs/>
          <w:sz w:val="32"/>
          <w:szCs w:val="32"/>
        </w:rPr>
        <w:t xml:space="preserve">Majówka nie dla każdego. </w:t>
      </w:r>
      <w:r w:rsidR="00C94260">
        <w:rPr>
          <w:rFonts w:ascii="Calibri" w:eastAsia="Calibri" w:hAnsi="Calibri" w:cs="Times New Roman"/>
          <w:b/>
          <w:bCs/>
          <w:sz w:val="32"/>
          <w:szCs w:val="32"/>
        </w:rPr>
        <w:t>Pr</w:t>
      </w:r>
      <w:r w:rsidR="00BE04F3">
        <w:rPr>
          <w:rFonts w:ascii="Calibri" w:eastAsia="Calibri" w:hAnsi="Calibri" w:cs="Times New Roman"/>
          <w:b/>
          <w:bCs/>
          <w:sz w:val="32"/>
          <w:szCs w:val="32"/>
        </w:rPr>
        <w:t xml:space="preserve">zez inflację </w:t>
      </w:r>
      <w:r w:rsidR="00C4151E">
        <w:rPr>
          <w:rFonts w:ascii="Calibri" w:eastAsia="Calibri" w:hAnsi="Calibri" w:cs="Times New Roman"/>
          <w:b/>
          <w:bCs/>
          <w:sz w:val="32"/>
          <w:szCs w:val="32"/>
        </w:rPr>
        <w:t xml:space="preserve">oszczędzamy na wyjazdach, rozrywce, </w:t>
      </w:r>
      <w:r w:rsidR="003A1D9B">
        <w:rPr>
          <w:rFonts w:ascii="Calibri" w:eastAsia="Calibri" w:hAnsi="Calibri" w:cs="Times New Roman"/>
          <w:b/>
          <w:bCs/>
          <w:sz w:val="32"/>
          <w:szCs w:val="32"/>
        </w:rPr>
        <w:t>uprawianiu hobby</w:t>
      </w:r>
    </w:p>
    <w:p w14:paraId="63A19541" w14:textId="77777777" w:rsidR="00B566B0" w:rsidRDefault="00B566B0" w:rsidP="00DB0096">
      <w:pPr>
        <w:spacing w:before="240" w:after="240" w:line="259" w:lineRule="auto"/>
        <w:jc w:val="both"/>
        <w:rPr>
          <w:b/>
          <w:bCs/>
          <w:sz w:val="22"/>
        </w:rPr>
      </w:pPr>
    </w:p>
    <w:p w14:paraId="6C054D29" w14:textId="05648114" w:rsidR="00DB0096" w:rsidRDefault="00BB5107" w:rsidP="00DB0096">
      <w:pPr>
        <w:spacing w:before="240" w:after="240" w:line="259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To nie będzie majówka taka jak zwykle</w:t>
      </w:r>
      <w:r w:rsidR="009F5169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="009F5169">
        <w:rPr>
          <w:b/>
          <w:bCs/>
          <w:sz w:val="22"/>
        </w:rPr>
        <w:t>P</w:t>
      </w:r>
      <w:r w:rsidR="00D13719" w:rsidRPr="00D13719">
        <w:rPr>
          <w:b/>
          <w:bCs/>
          <w:sz w:val="22"/>
        </w:rPr>
        <w:t>onad połowa Polaków wyda mniej</w:t>
      </w:r>
      <w:r w:rsidR="00822B50">
        <w:rPr>
          <w:b/>
          <w:bCs/>
          <w:sz w:val="22"/>
        </w:rPr>
        <w:t xml:space="preserve"> niż </w:t>
      </w:r>
      <w:r w:rsidR="00822B50" w:rsidRPr="00FA514E">
        <w:rPr>
          <w:b/>
          <w:bCs/>
          <w:sz w:val="22"/>
        </w:rPr>
        <w:t>dotychczas</w:t>
      </w:r>
      <w:r w:rsidR="00822B50">
        <w:rPr>
          <w:b/>
          <w:bCs/>
          <w:sz w:val="22"/>
        </w:rPr>
        <w:t xml:space="preserve"> na rozrywkę czy </w:t>
      </w:r>
      <w:r w:rsidR="00822B50" w:rsidRPr="00FA514E">
        <w:rPr>
          <w:b/>
          <w:bCs/>
          <w:sz w:val="22"/>
        </w:rPr>
        <w:t>wyjścia na miasto</w:t>
      </w:r>
      <w:r w:rsidR="00355EA7" w:rsidRPr="00FA514E">
        <w:rPr>
          <w:b/>
          <w:bCs/>
          <w:sz w:val="22"/>
        </w:rPr>
        <w:t xml:space="preserve">, a </w:t>
      </w:r>
      <w:r w:rsidR="00DB31B5" w:rsidRPr="00FA514E">
        <w:rPr>
          <w:b/>
          <w:bCs/>
          <w:sz w:val="22"/>
        </w:rPr>
        <w:t xml:space="preserve">czterech na dziesięciu </w:t>
      </w:r>
      <w:r w:rsidR="00BD7EEA" w:rsidRPr="00FA514E">
        <w:rPr>
          <w:b/>
          <w:bCs/>
          <w:sz w:val="22"/>
        </w:rPr>
        <w:t>ograniczy wydatki</w:t>
      </w:r>
      <w:r w:rsidR="00355EA7" w:rsidRPr="00FA514E">
        <w:rPr>
          <w:b/>
          <w:bCs/>
          <w:sz w:val="22"/>
        </w:rPr>
        <w:t xml:space="preserve"> na krótkie wyjazdy</w:t>
      </w:r>
      <w:r>
        <w:rPr>
          <w:b/>
          <w:bCs/>
          <w:sz w:val="22"/>
        </w:rPr>
        <w:t xml:space="preserve"> – wynika </w:t>
      </w:r>
      <w:r w:rsidR="0008145D" w:rsidRPr="00FA514E">
        <w:rPr>
          <w:b/>
          <w:bCs/>
          <w:sz w:val="22"/>
        </w:rPr>
        <w:t xml:space="preserve">z badania </w:t>
      </w:r>
      <w:r>
        <w:rPr>
          <w:b/>
          <w:bCs/>
          <w:sz w:val="22"/>
        </w:rPr>
        <w:t>„I</w:t>
      </w:r>
      <w:r w:rsidR="00355EA7">
        <w:rPr>
          <w:b/>
          <w:bCs/>
          <w:sz w:val="22"/>
        </w:rPr>
        <w:t>nflacj</w:t>
      </w:r>
      <w:r>
        <w:rPr>
          <w:b/>
          <w:bCs/>
          <w:sz w:val="22"/>
        </w:rPr>
        <w:t>a</w:t>
      </w:r>
      <w:r w:rsidR="00355EA7">
        <w:rPr>
          <w:b/>
          <w:bCs/>
          <w:sz w:val="22"/>
        </w:rPr>
        <w:t xml:space="preserve"> i wojn</w:t>
      </w:r>
      <w:r>
        <w:rPr>
          <w:b/>
          <w:bCs/>
          <w:sz w:val="22"/>
        </w:rPr>
        <w:t>a</w:t>
      </w:r>
      <w:r w:rsidR="00355EA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</w:t>
      </w:r>
      <w:r w:rsidR="00355EA7">
        <w:rPr>
          <w:b/>
          <w:bCs/>
          <w:sz w:val="22"/>
        </w:rPr>
        <w:t xml:space="preserve"> Ukrainie </w:t>
      </w:r>
      <w:r>
        <w:rPr>
          <w:b/>
          <w:bCs/>
          <w:sz w:val="22"/>
        </w:rPr>
        <w:t>a</w:t>
      </w:r>
      <w:r w:rsidR="00355EA7">
        <w:rPr>
          <w:b/>
          <w:bCs/>
          <w:sz w:val="22"/>
        </w:rPr>
        <w:t xml:space="preserve"> </w:t>
      </w:r>
      <w:r w:rsidR="0008145D">
        <w:rPr>
          <w:b/>
          <w:bCs/>
          <w:sz w:val="22"/>
        </w:rPr>
        <w:t>budżety domowe Polaków</w:t>
      </w:r>
      <w:r>
        <w:rPr>
          <w:b/>
          <w:bCs/>
          <w:sz w:val="22"/>
        </w:rPr>
        <w:t>”</w:t>
      </w:r>
      <w:r w:rsidR="009F5169">
        <w:rPr>
          <w:b/>
          <w:bCs/>
          <w:sz w:val="22"/>
        </w:rPr>
        <w:t>,</w:t>
      </w:r>
      <w:r w:rsidR="00120F79">
        <w:rPr>
          <w:b/>
          <w:bCs/>
          <w:sz w:val="22"/>
        </w:rPr>
        <w:t xml:space="preserve"> wykonanego dla Rejestru Dłużników BIG </w:t>
      </w:r>
      <w:proofErr w:type="spellStart"/>
      <w:r w:rsidR="00120F79">
        <w:rPr>
          <w:b/>
          <w:bCs/>
          <w:sz w:val="22"/>
        </w:rPr>
        <w:t>InfoMonitor</w:t>
      </w:r>
      <w:proofErr w:type="spellEnd"/>
      <w:r w:rsidR="00B711E5">
        <w:rPr>
          <w:b/>
          <w:bCs/>
          <w:sz w:val="22"/>
        </w:rPr>
        <w:t xml:space="preserve">. </w:t>
      </w:r>
      <w:r w:rsidR="00E5655B">
        <w:rPr>
          <w:b/>
          <w:bCs/>
          <w:sz w:val="22"/>
        </w:rPr>
        <w:t xml:space="preserve">Powód? Na codzienne życie potrzeba dziś od 100 do 500 zł więcej. </w:t>
      </w:r>
    </w:p>
    <w:p w14:paraId="4212DE29" w14:textId="337692A2" w:rsidR="00F12A44" w:rsidRDefault="00DB31B5" w:rsidP="00355EA7">
      <w:pPr>
        <w:spacing w:before="240" w:after="240" w:line="259" w:lineRule="auto"/>
        <w:jc w:val="both"/>
        <w:rPr>
          <w:bCs/>
          <w:sz w:val="22"/>
        </w:rPr>
      </w:pPr>
      <w:r>
        <w:rPr>
          <w:bCs/>
          <w:sz w:val="22"/>
        </w:rPr>
        <w:t>Tegoroczną majówkę nie każdy z nas spędzi tak, jakby sobie wymarzył</w:t>
      </w:r>
      <w:r w:rsidR="00717E05">
        <w:rPr>
          <w:bCs/>
          <w:sz w:val="22"/>
        </w:rPr>
        <w:t>, choć jeszcze niedawno po dwóch latach pandemicznych ograniczeń wydawało się, że wreszcie będzie to możliwe</w:t>
      </w:r>
      <w:r>
        <w:rPr>
          <w:bCs/>
          <w:sz w:val="22"/>
        </w:rPr>
        <w:t xml:space="preserve">. </w:t>
      </w:r>
      <w:r w:rsidR="00717E05">
        <w:rPr>
          <w:bCs/>
          <w:sz w:val="22"/>
        </w:rPr>
        <w:t>Niestety, z</w:t>
      </w:r>
      <w:r w:rsidR="00FD61EF">
        <w:rPr>
          <w:bCs/>
          <w:sz w:val="22"/>
        </w:rPr>
        <w:t xml:space="preserve"> jednej strony wojna i inne podejście do rozrywek, a z drugiej inflacja i obawy o sytuację finansową</w:t>
      </w:r>
      <w:r w:rsidR="00717E05">
        <w:rPr>
          <w:bCs/>
          <w:sz w:val="22"/>
        </w:rPr>
        <w:t xml:space="preserve"> znów</w:t>
      </w:r>
      <w:r w:rsidR="00334B91">
        <w:rPr>
          <w:bCs/>
          <w:sz w:val="22"/>
        </w:rPr>
        <w:t xml:space="preserve"> </w:t>
      </w:r>
      <w:r w:rsidR="00717E05">
        <w:rPr>
          <w:bCs/>
          <w:sz w:val="22"/>
        </w:rPr>
        <w:t>nie pozwalają swobodnie planować</w:t>
      </w:r>
      <w:r w:rsidR="00334B91">
        <w:rPr>
          <w:bCs/>
          <w:sz w:val="22"/>
        </w:rPr>
        <w:t>.</w:t>
      </w:r>
      <w:r w:rsidR="00FD61EF">
        <w:rPr>
          <w:bCs/>
          <w:sz w:val="22"/>
        </w:rPr>
        <w:t xml:space="preserve"> </w:t>
      </w:r>
      <w:r w:rsidR="00334B91">
        <w:rPr>
          <w:bCs/>
          <w:sz w:val="22"/>
        </w:rPr>
        <w:t>W</w:t>
      </w:r>
      <w:r w:rsidR="00FD61EF">
        <w:rPr>
          <w:bCs/>
          <w:sz w:val="22"/>
        </w:rPr>
        <w:t>pływa</w:t>
      </w:r>
      <w:r w:rsidR="00334B91">
        <w:rPr>
          <w:bCs/>
          <w:sz w:val="22"/>
        </w:rPr>
        <w:t>ją</w:t>
      </w:r>
      <w:r w:rsidR="00FD61EF">
        <w:rPr>
          <w:bCs/>
          <w:sz w:val="22"/>
        </w:rPr>
        <w:t xml:space="preserve"> na nasze życie i codzienne decyzje, szczególnie te dotyczące</w:t>
      </w:r>
      <w:r w:rsidR="000C7F42">
        <w:rPr>
          <w:bCs/>
          <w:sz w:val="22"/>
        </w:rPr>
        <w:t xml:space="preserve"> przyjemności</w:t>
      </w:r>
      <w:r w:rsidR="000D04EF">
        <w:rPr>
          <w:bCs/>
          <w:sz w:val="22"/>
        </w:rPr>
        <w:t>,</w:t>
      </w:r>
      <w:r w:rsidR="000C7F42">
        <w:rPr>
          <w:bCs/>
          <w:sz w:val="22"/>
        </w:rPr>
        <w:t xml:space="preserve"> w tym równi</w:t>
      </w:r>
      <w:r w:rsidR="00FD61EF">
        <w:rPr>
          <w:bCs/>
          <w:sz w:val="22"/>
        </w:rPr>
        <w:t>eż wyjazdów</w:t>
      </w:r>
      <w:r w:rsidR="007B5ADA">
        <w:rPr>
          <w:bCs/>
          <w:sz w:val="22"/>
        </w:rPr>
        <w:t xml:space="preserve">. </w:t>
      </w:r>
      <w:r w:rsidR="00855D68">
        <w:rPr>
          <w:bCs/>
          <w:sz w:val="22"/>
        </w:rPr>
        <w:t>Na to</w:t>
      </w:r>
      <w:r w:rsidR="00EB5B0D">
        <w:rPr>
          <w:bCs/>
          <w:sz w:val="22"/>
        </w:rPr>
        <w:t xml:space="preserve"> nakłada się konflikt między Polską Agencją Żeglugi Powietrznej a kontrolerami </w:t>
      </w:r>
      <w:r w:rsidR="008555D2">
        <w:rPr>
          <w:bCs/>
          <w:sz w:val="22"/>
        </w:rPr>
        <w:t>ruchu lotniczego</w:t>
      </w:r>
      <w:r w:rsidR="0049712D">
        <w:rPr>
          <w:bCs/>
          <w:sz w:val="22"/>
        </w:rPr>
        <w:t>,</w:t>
      </w:r>
      <w:r w:rsidR="00EB5B0D">
        <w:rPr>
          <w:bCs/>
          <w:sz w:val="22"/>
        </w:rPr>
        <w:t xml:space="preserve"> co </w:t>
      </w:r>
      <w:r w:rsidR="00F12A44">
        <w:rPr>
          <w:bCs/>
          <w:sz w:val="22"/>
        </w:rPr>
        <w:t xml:space="preserve">jak wynika z zapowiedzi, </w:t>
      </w:r>
      <w:r w:rsidR="00EB5B0D">
        <w:rPr>
          <w:bCs/>
          <w:sz w:val="22"/>
        </w:rPr>
        <w:t>może spowodowa</w:t>
      </w:r>
      <w:r w:rsidR="00F12A44">
        <w:rPr>
          <w:bCs/>
          <w:sz w:val="22"/>
        </w:rPr>
        <w:t xml:space="preserve">ć </w:t>
      </w:r>
      <w:r w:rsidR="00EB5B0D">
        <w:rPr>
          <w:bCs/>
          <w:sz w:val="22"/>
        </w:rPr>
        <w:t>odwołanie kilkuset</w:t>
      </w:r>
      <w:r w:rsidR="00855D68">
        <w:rPr>
          <w:bCs/>
          <w:sz w:val="22"/>
        </w:rPr>
        <w:t xml:space="preserve"> </w:t>
      </w:r>
      <w:r w:rsidR="00EB5B0D">
        <w:rPr>
          <w:bCs/>
          <w:sz w:val="22"/>
        </w:rPr>
        <w:t xml:space="preserve">rejsów. </w:t>
      </w:r>
      <w:r w:rsidR="00855D68">
        <w:rPr>
          <w:bCs/>
          <w:sz w:val="22"/>
        </w:rPr>
        <w:t xml:space="preserve">Swoje zapewne dołoży też pogoda, która już nieraz potrafiła w </w:t>
      </w:r>
      <w:r w:rsidR="00F12A44">
        <w:rPr>
          <w:bCs/>
          <w:sz w:val="22"/>
        </w:rPr>
        <w:t xml:space="preserve">długi </w:t>
      </w:r>
      <w:r w:rsidR="00855D68">
        <w:rPr>
          <w:bCs/>
          <w:sz w:val="22"/>
        </w:rPr>
        <w:t xml:space="preserve">weekend majowy zakpić z najambitniejszych planów i wydatków. </w:t>
      </w:r>
    </w:p>
    <w:p w14:paraId="0D967A85" w14:textId="1FD15936" w:rsidR="008F49C1" w:rsidRDefault="008F49C1" w:rsidP="00355EA7">
      <w:pPr>
        <w:spacing w:before="240" w:after="240" w:line="259" w:lineRule="auto"/>
        <w:jc w:val="both"/>
        <w:rPr>
          <w:bCs/>
          <w:sz w:val="22"/>
        </w:rPr>
      </w:pPr>
      <w:r>
        <w:rPr>
          <w:bCs/>
          <w:sz w:val="22"/>
        </w:rPr>
        <w:t>Pozostanie w domu jednak zaboli, bo krótkie wyjazdy to</w:t>
      </w:r>
      <w:r w:rsidR="00A27697">
        <w:rPr>
          <w:bCs/>
          <w:sz w:val="22"/>
        </w:rPr>
        <w:t xml:space="preserve"> </w:t>
      </w:r>
      <w:r w:rsidR="009774ED">
        <w:rPr>
          <w:bCs/>
          <w:sz w:val="22"/>
        </w:rPr>
        <w:t>niemal</w:t>
      </w:r>
      <w:r w:rsidR="00334B91">
        <w:rPr>
          <w:bCs/>
          <w:sz w:val="22"/>
        </w:rPr>
        <w:t xml:space="preserve"> </w:t>
      </w:r>
      <w:r w:rsidR="009774ED">
        <w:rPr>
          <w:bCs/>
          <w:sz w:val="22"/>
        </w:rPr>
        <w:t xml:space="preserve">nasz </w:t>
      </w:r>
      <w:r>
        <w:rPr>
          <w:bCs/>
          <w:sz w:val="22"/>
        </w:rPr>
        <w:t>„sport narodowy”</w:t>
      </w:r>
      <w:r w:rsidR="00334B91">
        <w:rPr>
          <w:bCs/>
          <w:sz w:val="22"/>
        </w:rPr>
        <w:t>. O</w:t>
      </w:r>
      <w:r w:rsidR="002B600E">
        <w:rPr>
          <w:bCs/>
          <w:sz w:val="22"/>
        </w:rPr>
        <w:t>rganizuje je 8 na 10 Polaków</w:t>
      </w:r>
      <w:r w:rsidR="004558A7">
        <w:rPr>
          <w:bCs/>
          <w:sz w:val="22"/>
        </w:rPr>
        <w:t xml:space="preserve">, </w:t>
      </w:r>
      <w:r>
        <w:rPr>
          <w:bCs/>
          <w:sz w:val="22"/>
        </w:rPr>
        <w:t xml:space="preserve">czyli </w:t>
      </w:r>
      <w:r w:rsidR="004558A7">
        <w:rPr>
          <w:bCs/>
          <w:sz w:val="22"/>
        </w:rPr>
        <w:t>więcej niż czyta książki i czasopisma, czy chodzi do restauracji i kina</w:t>
      </w:r>
      <w:r w:rsidR="009F5169">
        <w:rPr>
          <w:bCs/>
          <w:sz w:val="22"/>
        </w:rPr>
        <w:t>,</w:t>
      </w:r>
      <w:r w:rsidR="00334B91">
        <w:rPr>
          <w:bCs/>
          <w:sz w:val="22"/>
        </w:rPr>
        <w:t xml:space="preserve"> nie wspominając o </w:t>
      </w:r>
      <w:r w:rsidR="009774ED">
        <w:rPr>
          <w:bCs/>
          <w:sz w:val="22"/>
        </w:rPr>
        <w:t xml:space="preserve">wizytach na </w:t>
      </w:r>
      <w:r w:rsidR="00334B91">
        <w:rPr>
          <w:bCs/>
          <w:sz w:val="22"/>
        </w:rPr>
        <w:t>siłowni</w:t>
      </w:r>
      <w:r w:rsidR="002B600E">
        <w:rPr>
          <w:bCs/>
          <w:sz w:val="22"/>
        </w:rPr>
        <w:t>.</w:t>
      </w:r>
      <w:r>
        <w:rPr>
          <w:bCs/>
          <w:sz w:val="22"/>
        </w:rPr>
        <w:t xml:space="preserve"> Jednak w obecnej sytuacji 42 proc. </w:t>
      </w:r>
      <w:r w:rsidR="00583942">
        <w:rPr>
          <w:bCs/>
          <w:sz w:val="22"/>
        </w:rPr>
        <w:t>ankietowanych,</w:t>
      </w:r>
      <w:r>
        <w:rPr>
          <w:bCs/>
          <w:sz w:val="22"/>
        </w:rPr>
        <w:t xml:space="preserve"> korzystających z krótkich wyjazdów</w:t>
      </w:r>
      <w:r w:rsidR="00583942">
        <w:rPr>
          <w:bCs/>
          <w:sz w:val="22"/>
        </w:rPr>
        <w:t>,</w:t>
      </w:r>
      <w:r>
        <w:rPr>
          <w:bCs/>
          <w:sz w:val="22"/>
        </w:rPr>
        <w:t xml:space="preserve"> przewiduje mniejsze niż dotychczas wydatki na takie wypady lub częściową z nich rezygnację </w:t>
      </w:r>
      <w:r w:rsidR="009F5169">
        <w:rPr>
          <w:bCs/>
          <w:sz w:val="22"/>
        </w:rPr>
        <w:t>–</w:t>
      </w:r>
      <w:r>
        <w:rPr>
          <w:bCs/>
          <w:sz w:val="22"/>
        </w:rPr>
        <w:t xml:space="preserve"> wynika z </w:t>
      </w:r>
      <w:r w:rsidRPr="00BD24AA">
        <w:rPr>
          <w:bCs/>
          <w:sz w:val="22"/>
        </w:rPr>
        <w:t>badania „Inflacja i wojna w Ukrainie a budżety domowe Polaków”</w:t>
      </w:r>
      <w:r w:rsidR="009F5169">
        <w:rPr>
          <w:bCs/>
          <w:sz w:val="22"/>
        </w:rPr>
        <w:t>,</w:t>
      </w:r>
      <w:r w:rsidRPr="00BD24AA">
        <w:rPr>
          <w:bCs/>
          <w:sz w:val="22"/>
        </w:rPr>
        <w:t xml:space="preserve"> zrealizowanego przez </w:t>
      </w:r>
      <w:proofErr w:type="spellStart"/>
      <w:r w:rsidRPr="00BD24AA">
        <w:rPr>
          <w:bCs/>
          <w:sz w:val="22"/>
        </w:rPr>
        <w:t>Quality</w:t>
      </w:r>
      <w:proofErr w:type="spellEnd"/>
      <w:r w:rsidRPr="00BD24AA">
        <w:rPr>
          <w:bCs/>
          <w:sz w:val="22"/>
        </w:rPr>
        <w:t xml:space="preserve"> Watch dla Rejestru Dłużników BIG </w:t>
      </w:r>
      <w:proofErr w:type="spellStart"/>
      <w:r w:rsidRPr="00BD24AA">
        <w:rPr>
          <w:bCs/>
          <w:sz w:val="22"/>
        </w:rPr>
        <w:t>InfoMonitor</w:t>
      </w:r>
      <w:proofErr w:type="spellEnd"/>
      <w:r w:rsidR="00031F34">
        <w:rPr>
          <w:bCs/>
          <w:sz w:val="22"/>
        </w:rPr>
        <w:t>.</w:t>
      </w:r>
    </w:p>
    <w:p w14:paraId="0D20EBB1" w14:textId="3D5823FD" w:rsidR="007814B0" w:rsidRDefault="00677CF3" w:rsidP="00355EA7">
      <w:pPr>
        <w:spacing w:before="240" w:after="240" w:line="259" w:lineRule="auto"/>
        <w:jc w:val="both"/>
        <w:rPr>
          <w:bCs/>
          <w:sz w:val="22"/>
        </w:rPr>
      </w:pPr>
      <w:r>
        <w:rPr>
          <w:bCs/>
          <w:sz w:val="22"/>
        </w:rPr>
        <w:t>Ci, którzy pozostaną w</w:t>
      </w:r>
      <w:r w:rsidR="00366654">
        <w:rPr>
          <w:bCs/>
          <w:sz w:val="22"/>
        </w:rPr>
        <w:t xml:space="preserve"> swoim miejscu zamieszkania</w:t>
      </w:r>
      <w:r w:rsidR="004E144A">
        <w:rPr>
          <w:bCs/>
          <w:sz w:val="22"/>
        </w:rPr>
        <w:t>,</w:t>
      </w:r>
      <w:r>
        <w:rPr>
          <w:bCs/>
          <w:sz w:val="22"/>
        </w:rPr>
        <w:t xml:space="preserve"> także nie planują </w:t>
      </w:r>
      <w:r w:rsidR="004E144A">
        <w:rPr>
          <w:bCs/>
          <w:sz w:val="22"/>
        </w:rPr>
        <w:t xml:space="preserve">wydać </w:t>
      </w:r>
      <w:r>
        <w:rPr>
          <w:bCs/>
          <w:sz w:val="22"/>
        </w:rPr>
        <w:t xml:space="preserve">zbyt wiele </w:t>
      </w:r>
      <w:r w:rsidR="004E144A">
        <w:rPr>
          <w:bCs/>
          <w:sz w:val="22"/>
        </w:rPr>
        <w:t xml:space="preserve">na </w:t>
      </w:r>
      <w:r>
        <w:rPr>
          <w:bCs/>
          <w:sz w:val="22"/>
        </w:rPr>
        <w:t>rozryw</w:t>
      </w:r>
      <w:r w:rsidR="004E144A">
        <w:rPr>
          <w:bCs/>
          <w:sz w:val="22"/>
        </w:rPr>
        <w:t>kę</w:t>
      </w:r>
      <w:r>
        <w:rPr>
          <w:bCs/>
          <w:sz w:val="22"/>
        </w:rPr>
        <w:t xml:space="preserve"> poza domem. </w:t>
      </w:r>
      <w:r w:rsidR="004558A7">
        <w:rPr>
          <w:bCs/>
          <w:sz w:val="22"/>
        </w:rPr>
        <w:t>Drożyzna i</w:t>
      </w:r>
      <w:r w:rsidR="004E144A">
        <w:rPr>
          <w:bCs/>
          <w:sz w:val="22"/>
        </w:rPr>
        <w:t xml:space="preserve"> wojna</w:t>
      </w:r>
      <w:r w:rsidR="006F651F">
        <w:rPr>
          <w:bCs/>
          <w:sz w:val="22"/>
        </w:rPr>
        <w:t xml:space="preserve"> sprawiają</w:t>
      </w:r>
      <w:r w:rsidR="007814B0">
        <w:rPr>
          <w:bCs/>
          <w:sz w:val="22"/>
        </w:rPr>
        <w:t xml:space="preserve"> bowiem</w:t>
      </w:r>
      <w:r w:rsidR="004E144A">
        <w:rPr>
          <w:bCs/>
          <w:sz w:val="22"/>
        </w:rPr>
        <w:t>,</w:t>
      </w:r>
      <w:r w:rsidR="006F651F">
        <w:rPr>
          <w:bCs/>
          <w:sz w:val="22"/>
        </w:rPr>
        <w:t xml:space="preserve"> że 54 proc. badanych </w:t>
      </w:r>
      <w:r w:rsidR="009774ED">
        <w:rPr>
          <w:bCs/>
          <w:sz w:val="22"/>
        </w:rPr>
        <w:t xml:space="preserve">mówi o </w:t>
      </w:r>
      <w:r w:rsidR="006F651F">
        <w:rPr>
          <w:bCs/>
          <w:sz w:val="22"/>
        </w:rPr>
        <w:t>ogranicz</w:t>
      </w:r>
      <w:r w:rsidR="009774ED">
        <w:rPr>
          <w:bCs/>
          <w:sz w:val="22"/>
        </w:rPr>
        <w:t xml:space="preserve">aniu </w:t>
      </w:r>
      <w:r w:rsidR="006F651F">
        <w:rPr>
          <w:bCs/>
          <w:sz w:val="22"/>
        </w:rPr>
        <w:t>wydatk</w:t>
      </w:r>
      <w:r w:rsidR="009774ED">
        <w:rPr>
          <w:bCs/>
          <w:sz w:val="22"/>
        </w:rPr>
        <w:t>ów</w:t>
      </w:r>
      <w:r w:rsidR="006F651F">
        <w:rPr>
          <w:bCs/>
          <w:sz w:val="22"/>
        </w:rPr>
        <w:t xml:space="preserve"> na </w:t>
      </w:r>
      <w:r w:rsidR="009774ED">
        <w:rPr>
          <w:bCs/>
          <w:sz w:val="22"/>
        </w:rPr>
        <w:t>bywanie w</w:t>
      </w:r>
      <w:r w:rsidR="00E81926">
        <w:rPr>
          <w:bCs/>
          <w:sz w:val="22"/>
        </w:rPr>
        <w:t xml:space="preserve"> restauracj</w:t>
      </w:r>
      <w:r w:rsidR="009774ED">
        <w:rPr>
          <w:bCs/>
          <w:sz w:val="22"/>
        </w:rPr>
        <w:t>ach</w:t>
      </w:r>
      <w:r w:rsidR="00E81926">
        <w:rPr>
          <w:bCs/>
          <w:sz w:val="22"/>
        </w:rPr>
        <w:t xml:space="preserve"> czy kawiarni</w:t>
      </w:r>
      <w:r w:rsidR="009774ED">
        <w:rPr>
          <w:bCs/>
          <w:sz w:val="22"/>
        </w:rPr>
        <w:t>ach</w:t>
      </w:r>
      <w:r w:rsidR="00E81926">
        <w:rPr>
          <w:bCs/>
          <w:sz w:val="22"/>
        </w:rPr>
        <w:t>. T</w:t>
      </w:r>
      <w:r w:rsidR="006F651F">
        <w:rPr>
          <w:bCs/>
          <w:sz w:val="22"/>
        </w:rPr>
        <w:t>yle samo</w:t>
      </w:r>
      <w:r w:rsidR="007814B0">
        <w:rPr>
          <w:bCs/>
          <w:sz w:val="22"/>
        </w:rPr>
        <w:t xml:space="preserve"> deklarujących, że korzystają</w:t>
      </w:r>
      <w:r w:rsidR="00E81926">
        <w:rPr>
          <w:bCs/>
          <w:sz w:val="22"/>
        </w:rPr>
        <w:t xml:space="preserve"> </w:t>
      </w:r>
      <w:r w:rsidR="007814B0">
        <w:rPr>
          <w:bCs/>
          <w:sz w:val="22"/>
        </w:rPr>
        <w:t>z takich wyjść</w:t>
      </w:r>
      <w:r w:rsidR="00E5655B">
        <w:rPr>
          <w:bCs/>
          <w:sz w:val="22"/>
        </w:rPr>
        <w:t xml:space="preserve">, </w:t>
      </w:r>
      <w:r w:rsidR="00E81926">
        <w:rPr>
          <w:bCs/>
          <w:sz w:val="22"/>
        </w:rPr>
        <w:t>będzie</w:t>
      </w:r>
      <w:r w:rsidR="00FD0656">
        <w:rPr>
          <w:bCs/>
          <w:sz w:val="22"/>
        </w:rPr>
        <w:t xml:space="preserve"> teraz</w:t>
      </w:r>
      <w:r w:rsidR="00E81926">
        <w:rPr>
          <w:bCs/>
          <w:sz w:val="22"/>
        </w:rPr>
        <w:t xml:space="preserve"> </w:t>
      </w:r>
      <w:r w:rsidR="006F651F">
        <w:rPr>
          <w:bCs/>
          <w:sz w:val="22"/>
        </w:rPr>
        <w:t xml:space="preserve">rzadziej </w:t>
      </w:r>
      <w:r w:rsidR="002579C6">
        <w:rPr>
          <w:bCs/>
          <w:sz w:val="22"/>
        </w:rPr>
        <w:t xml:space="preserve">odwiedzać kina i teatry czy </w:t>
      </w:r>
      <w:r w:rsidR="00E81926">
        <w:rPr>
          <w:bCs/>
          <w:sz w:val="22"/>
        </w:rPr>
        <w:t>chodzić na koncerty</w:t>
      </w:r>
      <w:r w:rsidR="002579C6">
        <w:rPr>
          <w:bCs/>
          <w:sz w:val="22"/>
        </w:rPr>
        <w:t xml:space="preserve"> lub inne imprezy rozrywkowe</w:t>
      </w:r>
      <w:r w:rsidR="00E81926">
        <w:rPr>
          <w:bCs/>
          <w:sz w:val="22"/>
        </w:rPr>
        <w:t xml:space="preserve">. </w:t>
      </w:r>
    </w:p>
    <w:p w14:paraId="71E29D77" w14:textId="5867DF74" w:rsidR="00B566B0" w:rsidRDefault="00B566B0" w:rsidP="00355EA7">
      <w:pPr>
        <w:spacing w:before="240" w:after="240" w:line="259" w:lineRule="auto"/>
        <w:jc w:val="both"/>
        <w:rPr>
          <w:bCs/>
          <w:sz w:val="22"/>
        </w:rPr>
      </w:pPr>
      <w:r>
        <w:rPr>
          <w:noProof/>
        </w:rPr>
        <w:lastRenderedPageBreak/>
        <w:drawing>
          <wp:inline distT="0" distB="0" distL="0" distR="0" wp14:anchorId="6C3C0746" wp14:editId="4DAF0A75">
            <wp:extent cx="5981700" cy="3949700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19B03414-969E-4AB3-8626-A852D7161E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94ECF2" w14:textId="77777777" w:rsidR="00B566B0" w:rsidRPr="00031F34" w:rsidRDefault="00B566B0" w:rsidP="00B566B0">
      <w:pPr>
        <w:spacing w:before="240" w:after="240" w:line="259" w:lineRule="auto"/>
        <w:jc w:val="both"/>
        <w:rPr>
          <w:bCs/>
          <w:i/>
          <w:iCs/>
          <w:sz w:val="18"/>
          <w:szCs w:val="18"/>
        </w:rPr>
      </w:pPr>
      <w:r w:rsidRPr="00031F34">
        <w:rPr>
          <w:bCs/>
          <w:i/>
          <w:iCs/>
          <w:sz w:val="18"/>
          <w:szCs w:val="18"/>
        </w:rPr>
        <w:t xml:space="preserve">Źródło: badanie </w:t>
      </w:r>
      <w:proofErr w:type="spellStart"/>
      <w:r w:rsidRPr="00031F34">
        <w:rPr>
          <w:bCs/>
          <w:i/>
          <w:iCs/>
          <w:sz w:val="18"/>
          <w:szCs w:val="18"/>
        </w:rPr>
        <w:t>Quality</w:t>
      </w:r>
      <w:proofErr w:type="spellEnd"/>
      <w:r w:rsidRPr="00031F34">
        <w:rPr>
          <w:bCs/>
          <w:i/>
          <w:iCs/>
          <w:sz w:val="18"/>
          <w:szCs w:val="18"/>
        </w:rPr>
        <w:t xml:space="preserve"> Watch dla Rejestru Dłużników BIG </w:t>
      </w:r>
      <w:proofErr w:type="spellStart"/>
      <w:r w:rsidRPr="00031F34">
        <w:rPr>
          <w:bCs/>
          <w:i/>
          <w:iCs/>
          <w:sz w:val="18"/>
          <w:szCs w:val="18"/>
        </w:rPr>
        <w:t>InfoMonitor</w:t>
      </w:r>
      <w:proofErr w:type="spellEnd"/>
    </w:p>
    <w:p w14:paraId="7FB22C3B" w14:textId="77777777" w:rsidR="00B566B0" w:rsidRDefault="00B566B0" w:rsidP="00355EA7">
      <w:pPr>
        <w:spacing w:before="240" w:after="240" w:line="259" w:lineRule="auto"/>
        <w:jc w:val="both"/>
        <w:rPr>
          <w:b/>
          <w:bCs/>
          <w:sz w:val="22"/>
        </w:rPr>
      </w:pPr>
    </w:p>
    <w:p w14:paraId="51460356" w14:textId="48E7CD0C" w:rsidR="0039247B" w:rsidRPr="001558DE" w:rsidRDefault="00B942D1" w:rsidP="00355EA7">
      <w:pPr>
        <w:spacing w:before="240" w:after="240" w:line="259" w:lineRule="auto"/>
        <w:jc w:val="both"/>
        <w:rPr>
          <w:b/>
          <w:bCs/>
          <w:sz w:val="22"/>
        </w:rPr>
      </w:pPr>
      <w:r w:rsidRPr="001558DE">
        <w:rPr>
          <w:b/>
          <w:bCs/>
          <w:sz w:val="22"/>
        </w:rPr>
        <w:t xml:space="preserve">Przez inflację blisko 1/3 </w:t>
      </w:r>
      <w:r w:rsidR="00F67C7B">
        <w:rPr>
          <w:b/>
          <w:bCs/>
          <w:sz w:val="22"/>
        </w:rPr>
        <w:t xml:space="preserve">Polaków </w:t>
      </w:r>
      <w:r w:rsidRPr="001558DE">
        <w:rPr>
          <w:b/>
          <w:bCs/>
          <w:sz w:val="22"/>
        </w:rPr>
        <w:t xml:space="preserve">ma problemy finansowe </w:t>
      </w:r>
    </w:p>
    <w:p w14:paraId="7451A075" w14:textId="796983AA" w:rsidR="009774ED" w:rsidRDefault="00E906CE" w:rsidP="009774ED">
      <w:pPr>
        <w:spacing w:before="240" w:after="240" w:line="259" w:lineRule="auto"/>
        <w:jc w:val="both"/>
        <w:rPr>
          <w:bCs/>
          <w:sz w:val="22"/>
        </w:rPr>
      </w:pPr>
      <w:r>
        <w:rPr>
          <w:bCs/>
          <w:sz w:val="22"/>
        </w:rPr>
        <w:t>–</w:t>
      </w:r>
      <w:r w:rsidR="009774ED">
        <w:rPr>
          <w:bCs/>
          <w:sz w:val="22"/>
        </w:rPr>
        <w:t xml:space="preserve"> </w:t>
      </w:r>
      <w:r w:rsidR="001558DE" w:rsidRPr="0034752F">
        <w:rPr>
          <w:bCs/>
          <w:i/>
          <w:iCs/>
          <w:sz w:val="22"/>
        </w:rPr>
        <w:t>R</w:t>
      </w:r>
      <w:r w:rsidR="00FD0656" w:rsidRPr="0034752F">
        <w:rPr>
          <w:bCs/>
          <w:i/>
          <w:iCs/>
          <w:sz w:val="22"/>
        </w:rPr>
        <w:t>ozrywka zawsze jest pierwsza na liście wydatków do cięcia, gdy pojawiają się obawy o finanse, nie wspominając już o realnych kłopotach. A</w:t>
      </w:r>
      <w:r w:rsidR="00D37204" w:rsidRPr="0034752F">
        <w:rPr>
          <w:bCs/>
          <w:i/>
          <w:iCs/>
          <w:sz w:val="22"/>
        </w:rPr>
        <w:t xml:space="preserve"> te zaczynają już o sobie dawać znać. </w:t>
      </w:r>
      <w:r w:rsidR="00FD0656" w:rsidRPr="0034752F">
        <w:rPr>
          <w:bCs/>
          <w:i/>
          <w:iCs/>
          <w:sz w:val="22"/>
        </w:rPr>
        <w:t xml:space="preserve"> </w:t>
      </w:r>
      <w:r w:rsidR="009774ED" w:rsidRPr="0034752F">
        <w:rPr>
          <w:bCs/>
          <w:i/>
          <w:iCs/>
          <w:sz w:val="22"/>
        </w:rPr>
        <w:t>W związku z wysoką inflacją już niemal jedna trzecia Polaków doświadcza problemów z bieżącymi zobowiązaniami finansowymi i podstawowymi wydatkami, a ponad połowa obawia się tego rodzaju problemów</w:t>
      </w:r>
      <w:r w:rsidR="009774ED">
        <w:rPr>
          <w:bCs/>
          <w:sz w:val="22"/>
        </w:rPr>
        <w:t xml:space="preserve"> – mówi </w:t>
      </w:r>
      <w:r w:rsidR="009774ED" w:rsidRPr="0034752F">
        <w:rPr>
          <w:b/>
          <w:sz w:val="22"/>
        </w:rPr>
        <w:t>Sławomir Grzelczak</w:t>
      </w:r>
      <w:r w:rsidR="009774ED">
        <w:rPr>
          <w:sz w:val="22"/>
        </w:rPr>
        <w:t xml:space="preserve">, prezes BIG </w:t>
      </w:r>
      <w:proofErr w:type="spellStart"/>
      <w:r w:rsidR="009774ED">
        <w:rPr>
          <w:sz w:val="22"/>
        </w:rPr>
        <w:t>InfoMonitor</w:t>
      </w:r>
      <w:proofErr w:type="spellEnd"/>
      <w:r w:rsidR="009774ED">
        <w:rPr>
          <w:sz w:val="22"/>
        </w:rPr>
        <w:t>, prowadzącego rejestr dłużników konsumentów i firm.</w:t>
      </w:r>
    </w:p>
    <w:p w14:paraId="3986C19D" w14:textId="3962876D" w:rsidR="00D37204" w:rsidRDefault="00D37204" w:rsidP="00F67C7B">
      <w:pPr>
        <w:spacing w:before="240" w:after="240" w:line="259" w:lineRule="auto"/>
        <w:jc w:val="both"/>
        <w:rPr>
          <w:bCs/>
          <w:sz w:val="22"/>
        </w:rPr>
      </w:pPr>
      <w:r>
        <w:rPr>
          <w:bCs/>
          <w:sz w:val="22"/>
        </w:rPr>
        <w:t>A</w:t>
      </w:r>
      <w:r w:rsidR="00FD0656">
        <w:rPr>
          <w:bCs/>
          <w:sz w:val="22"/>
        </w:rPr>
        <w:t xml:space="preserve">ż </w:t>
      </w:r>
      <w:r w:rsidR="00732171">
        <w:rPr>
          <w:bCs/>
          <w:sz w:val="22"/>
        </w:rPr>
        <w:t xml:space="preserve">87 proc. Polaków odczuło w ostatnich </w:t>
      </w:r>
      <w:r w:rsidR="00FD0656">
        <w:rPr>
          <w:bCs/>
          <w:sz w:val="22"/>
        </w:rPr>
        <w:t>tygodniach</w:t>
      </w:r>
      <w:r w:rsidR="00732171">
        <w:rPr>
          <w:bCs/>
          <w:sz w:val="22"/>
        </w:rPr>
        <w:t xml:space="preserve"> wzrost </w:t>
      </w:r>
      <w:r w:rsidR="00FD0656">
        <w:rPr>
          <w:bCs/>
          <w:sz w:val="22"/>
        </w:rPr>
        <w:t xml:space="preserve">kosztów </w:t>
      </w:r>
      <w:r w:rsidR="00275E5D">
        <w:rPr>
          <w:bCs/>
          <w:sz w:val="22"/>
        </w:rPr>
        <w:t>codzienne</w:t>
      </w:r>
      <w:r w:rsidR="00FD0656">
        <w:rPr>
          <w:bCs/>
          <w:sz w:val="22"/>
        </w:rPr>
        <w:t>go</w:t>
      </w:r>
      <w:r w:rsidR="00275E5D">
        <w:rPr>
          <w:bCs/>
          <w:sz w:val="22"/>
        </w:rPr>
        <w:t xml:space="preserve"> </w:t>
      </w:r>
      <w:r w:rsidR="00732171">
        <w:rPr>
          <w:bCs/>
          <w:sz w:val="22"/>
        </w:rPr>
        <w:t>życi</w:t>
      </w:r>
      <w:r w:rsidR="00FD0656">
        <w:rPr>
          <w:bCs/>
          <w:sz w:val="22"/>
        </w:rPr>
        <w:t>a</w:t>
      </w:r>
      <w:r w:rsidR="00732171">
        <w:rPr>
          <w:bCs/>
          <w:sz w:val="22"/>
        </w:rPr>
        <w:t xml:space="preserve">, </w:t>
      </w:r>
      <w:r w:rsidR="00275E5D">
        <w:rPr>
          <w:bCs/>
          <w:sz w:val="22"/>
        </w:rPr>
        <w:t>z czego</w:t>
      </w:r>
      <w:r w:rsidR="007276F1">
        <w:rPr>
          <w:bCs/>
          <w:sz w:val="22"/>
        </w:rPr>
        <w:t xml:space="preserve"> blisko 60 proc. w sposób zdecydowany. </w:t>
      </w:r>
      <w:r w:rsidR="00072D58">
        <w:rPr>
          <w:bCs/>
          <w:sz w:val="22"/>
        </w:rPr>
        <w:t>Wśród badanych, któr</w:t>
      </w:r>
      <w:r>
        <w:rPr>
          <w:bCs/>
          <w:sz w:val="22"/>
        </w:rPr>
        <w:t>zy</w:t>
      </w:r>
      <w:r w:rsidR="00072D58">
        <w:rPr>
          <w:bCs/>
          <w:sz w:val="22"/>
        </w:rPr>
        <w:t xml:space="preserve"> przyzna</w:t>
      </w:r>
      <w:r>
        <w:rPr>
          <w:bCs/>
          <w:sz w:val="22"/>
        </w:rPr>
        <w:t>li</w:t>
      </w:r>
      <w:r w:rsidR="00072D58">
        <w:rPr>
          <w:bCs/>
          <w:sz w:val="22"/>
        </w:rPr>
        <w:t xml:space="preserve">, że ich wydatki </w:t>
      </w:r>
      <w:r w:rsidR="00FD0656">
        <w:rPr>
          <w:bCs/>
          <w:sz w:val="22"/>
        </w:rPr>
        <w:t>poszły w górę</w:t>
      </w:r>
      <w:r w:rsidR="00072D58">
        <w:rPr>
          <w:bCs/>
          <w:sz w:val="22"/>
        </w:rPr>
        <w:t xml:space="preserve">, </w:t>
      </w:r>
      <w:r w:rsidR="00D60C4D">
        <w:rPr>
          <w:bCs/>
          <w:sz w:val="22"/>
        </w:rPr>
        <w:t xml:space="preserve">83 proc. stwierdziło, że przeciętnie </w:t>
      </w:r>
      <w:r w:rsidR="00FD0656">
        <w:rPr>
          <w:bCs/>
          <w:sz w:val="22"/>
        </w:rPr>
        <w:t>w</w:t>
      </w:r>
      <w:r w:rsidR="00D60C4D">
        <w:rPr>
          <w:bCs/>
          <w:sz w:val="22"/>
        </w:rPr>
        <w:t xml:space="preserve"> miesiąc</w:t>
      </w:r>
      <w:r w:rsidR="00FD0656">
        <w:rPr>
          <w:bCs/>
          <w:sz w:val="22"/>
        </w:rPr>
        <w:t>u</w:t>
      </w:r>
      <w:r w:rsidR="00D60C4D">
        <w:rPr>
          <w:bCs/>
          <w:sz w:val="22"/>
        </w:rPr>
        <w:t xml:space="preserve"> muszą </w:t>
      </w:r>
      <w:r>
        <w:rPr>
          <w:bCs/>
          <w:sz w:val="22"/>
        </w:rPr>
        <w:t xml:space="preserve">teraz wygospodarować </w:t>
      </w:r>
      <w:r w:rsidR="00D60C4D">
        <w:rPr>
          <w:bCs/>
          <w:sz w:val="22"/>
        </w:rPr>
        <w:t xml:space="preserve">od 100 do 500 zł więcej niż wcześniej. </w:t>
      </w:r>
    </w:p>
    <w:p w14:paraId="13F224DC" w14:textId="49151A51" w:rsidR="00AE1B5B" w:rsidRDefault="00AE1B5B" w:rsidP="00F67C7B">
      <w:pPr>
        <w:spacing w:before="240" w:after="240" w:line="259" w:lineRule="auto"/>
        <w:jc w:val="both"/>
        <w:rPr>
          <w:bCs/>
          <w:sz w:val="22"/>
        </w:rPr>
      </w:pPr>
      <w:r>
        <w:rPr>
          <w:noProof/>
        </w:rPr>
        <w:lastRenderedPageBreak/>
        <w:drawing>
          <wp:inline distT="0" distB="0" distL="0" distR="0" wp14:anchorId="2FAD32BE" wp14:editId="44167301">
            <wp:extent cx="5359400" cy="297815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90D2F563-E65E-40E5-935B-3AF7D8D3B1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EE207E" w14:textId="77777777" w:rsidR="00AE1B5B" w:rsidRPr="00031F34" w:rsidRDefault="00AE1B5B" w:rsidP="00AE1B5B">
      <w:pPr>
        <w:spacing w:before="240" w:after="240" w:line="259" w:lineRule="auto"/>
        <w:jc w:val="both"/>
        <w:rPr>
          <w:bCs/>
          <w:i/>
          <w:iCs/>
          <w:sz w:val="18"/>
          <w:szCs w:val="18"/>
        </w:rPr>
      </w:pPr>
      <w:r w:rsidRPr="00031F34">
        <w:rPr>
          <w:bCs/>
          <w:i/>
          <w:iCs/>
          <w:sz w:val="18"/>
          <w:szCs w:val="18"/>
        </w:rPr>
        <w:t xml:space="preserve">Źródło: badanie </w:t>
      </w:r>
      <w:proofErr w:type="spellStart"/>
      <w:r w:rsidRPr="00031F34">
        <w:rPr>
          <w:bCs/>
          <w:i/>
          <w:iCs/>
          <w:sz w:val="18"/>
          <w:szCs w:val="18"/>
        </w:rPr>
        <w:t>Quality</w:t>
      </w:r>
      <w:proofErr w:type="spellEnd"/>
      <w:r w:rsidRPr="00031F34">
        <w:rPr>
          <w:bCs/>
          <w:i/>
          <w:iCs/>
          <w:sz w:val="18"/>
          <w:szCs w:val="18"/>
        </w:rPr>
        <w:t xml:space="preserve"> Watch dla Rejestru Dłużników BIG </w:t>
      </w:r>
      <w:proofErr w:type="spellStart"/>
      <w:r w:rsidRPr="00031F34">
        <w:rPr>
          <w:bCs/>
          <w:i/>
          <w:iCs/>
          <w:sz w:val="18"/>
          <w:szCs w:val="18"/>
        </w:rPr>
        <w:t>InfoMonitor</w:t>
      </w:r>
      <w:proofErr w:type="spellEnd"/>
    </w:p>
    <w:p w14:paraId="52AECE0C" w14:textId="313615BC" w:rsidR="007605C6" w:rsidRDefault="007605C6" w:rsidP="007605C6">
      <w:pPr>
        <w:spacing w:before="240" w:after="240" w:line="259" w:lineRule="auto"/>
        <w:jc w:val="both"/>
        <w:rPr>
          <w:b/>
          <w:bCs/>
          <w:sz w:val="22"/>
        </w:rPr>
      </w:pPr>
      <w:r>
        <w:rPr>
          <w:sz w:val="22"/>
        </w:rPr>
        <w:t xml:space="preserve">– </w:t>
      </w:r>
      <w:r w:rsidR="00FA253A">
        <w:rPr>
          <w:i/>
          <w:iCs/>
          <w:sz w:val="22"/>
        </w:rPr>
        <w:t>Niestety problemy finansowe Polaków nie przekładają się jedynie na ograniczanie wydatków n</w:t>
      </w:r>
      <w:r w:rsidR="0076113E">
        <w:rPr>
          <w:i/>
          <w:iCs/>
          <w:sz w:val="22"/>
        </w:rPr>
        <w:t>a wyjazdy i przyjemnoś</w:t>
      </w:r>
      <w:r w:rsidR="00FC4410">
        <w:rPr>
          <w:i/>
          <w:iCs/>
          <w:sz w:val="22"/>
        </w:rPr>
        <w:t xml:space="preserve">ci. Poważniejszym zagadnieniem </w:t>
      </w:r>
      <w:r w:rsidR="00334B91">
        <w:rPr>
          <w:i/>
          <w:iCs/>
          <w:sz w:val="22"/>
        </w:rPr>
        <w:t xml:space="preserve">w takich momentach </w:t>
      </w:r>
      <w:r w:rsidR="00FC4410">
        <w:rPr>
          <w:i/>
          <w:iCs/>
          <w:sz w:val="22"/>
        </w:rPr>
        <w:t xml:space="preserve">staje się kwestia regulowania zobowiązań. W obliczu </w:t>
      </w:r>
      <w:r w:rsidR="00BF0C6B">
        <w:rPr>
          <w:i/>
          <w:iCs/>
          <w:sz w:val="22"/>
        </w:rPr>
        <w:t>tarapatów finansowych</w:t>
      </w:r>
      <w:r w:rsidR="00B7355A">
        <w:rPr>
          <w:i/>
          <w:iCs/>
          <w:sz w:val="22"/>
        </w:rPr>
        <w:t xml:space="preserve"> spowodowanych rosnącą inflacją</w:t>
      </w:r>
      <w:r w:rsidR="00BF0C6B">
        <w:rPr>
          <w:i/>
          <w:iCs/>
          <w:sz w:val="22"/>
        </w:rPr>
        <w:t xml:space="preserve">, odraczanie płatności jest dla wielu </w:t>
      </w:r>
      <w:r w:rsidR="009B36D4">
        <w:rPr>
          <w:i/>
          <w:iCs/>
          <w:sz w:val="22"/>
        </w:rPr>
        <w:t>osób</w:t>
      </w:r>
      <w:r w:rsidR="00BF0C6B">
        <w:rPr>
          <w:i/>
          <w:iCs/>
          <w:sz w:val="22"/>
        </w:rPr>
        <w:t xml:space="preserve"> realną opcją. </w:t>
      </w:r>
      <w:r w:rsidR="00E530DE">
        <w:rPr>
          <w:i/>
          <w:iCs/>
          <w:sz w:val="22"/>
        </w:rPr>
        <w:t>Na pytanie o zobowiązania, które mogłyby zostać opóźnione w pierwszej kolejności</w:t>
      </w:r>
      <w:r w:rsidR="0074672A">
        <w:rPr>
          <w:i/>
          <w:iCs/>
          <w:sz w:val="22"/>
        </w:rPr>
        <w:t>,</w:t>
      </w:r>
      <w:r w:rsidR="00E530DE">
        <w:rPr>
          <w:i/>
          <w:iCs/>
          <w:sz w:val="22"/>
        </w:rPr>
        <w:t xml:space="preserve"> </w:t>
      </w:r>
      <w:r w:rsidR="00B7355A">
        <w:rPr>
          <w:i/>
          <w:iCs/>
          <w:sz w:val="22"/>
        </w:rPr>
        <w:t xml:space="preserve">29 proc. Polaków wymieniło abonament za telewizję kablową, </w:t>
      </w:r>
      <w:r w:rsidR="0074672A">
        <w:rPr>
          <w:i/>
          <w:iCs/>
          <w:sz w:val="22"/>
        </w:rPr>
        <w:t xml:space="preserve">a 23 proc. rachunki za telefon oraz </w:t>
      </w:r>
      <w:proofErr w:type="spellStart"/>
      <w:r w:rsidR="0074672A">
        <w:rPr>
          <w:i/>
          <w:iCs/>
          <w:sz w:val="22"/>
        </w:rPr>
        <w:t>internet</w:t>
      </w:r>
      <w:proofErr w:type="spellEnd"/>
      <w:r w:rsidR="0074672A">
        <w:rPr>
          <w:i/>
          <w:iCs/>
          <w:sz w:val="22"/>
        </w:rPr>
        <w:t xml:space="preserve"> </w:t>
      </w:r>
      <w:r w:rsidR="0074672A">
        <w:rPr>
          <w:sz w:val="22"/>
        </w:rPr>
        <w:t xml:space="preserve">– informuje </w:t>
      </w:r>
      <w:r w:rsidR="0074672A" w:rsidRPr="008221D2">
        <w:rPr>
          <w:b/>
          <w:bCs/>
          <w:sz w:val="22"/>
        </w:rPr>
        <w:t>Sławomir Grzelczak</w:t>
      </w:r>
      <w:r w:rsidR="009774ED" w:rsidRPr="0034752F">
        <w:rPr>
          <w:sz w:val="22"/>
        </w:rPr>
        <w:t>.</w:t>
      </w:r>
      <w:r w:rsidR="009774ED">
        <w:rPr>
          <w:b/>
          <w:bCs/>
          <w:sz w:val="22"/>
        </w:rPr>
        <w:t xml:space="preserve"> </w:t>
      </w:r>
    </w:p>
    <w:p w14:paraId="02EC94EF" w14:textId="7909076A" w:rsidR="002068FE" w:rsidRDefault="002068FE" w:rsidP="007605C6">
      <w:pPr>
        <w:spacing w:before="240" w:after="240" w:line="259" w:lineRule="auto"/>
        <w:jc w:val="both"/>
      </w:pPr>
      <w:r>
        <w:rPr>
          <w:noProof/>
        </w:rPr>
        <w:drawing>
          <wp:inline distT="0" distB="0" distL="0" distR="0" wp14:anchorId="316DE0E7" wp14:editId="5B57ADAF">
            <wp:extent cx="5759450" cy="328295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C4399062-7642-4327-91FB-D6435F684A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FD2DEA" w14:textId="77777777" w:rsidR="002068FE" w:rsidRPr="00031F34" w:rsidRDefault="002068FE" w:rsidP="002068FE">
      <w:pPr>
        <w:spacing w:before="240" w:after="240" w:line="259" w:lineRule="auto"/>
        <w:jc w:val="both"/>
        <w:rPr>
          <w:bCs/>
          <w:i/>
          <w:iCs/>
          <w:sz w:val="18"/>
          <w:szCs w:val="18"/>
        </w:rPr>
      </w:pPr>
      <w:r w:rsidRPr="00031F34">
        <w:rPr>
          <w:bCs/>
          <w:i/>
          <w:iCs/>
          <w:sz w:val="18"/>
          <w:szCs w:val="18"/>
        </w:rPr>
        <w:t xml:space="preserve">Źródło: badanie </w:t>
      </w:r>
      <w:proofErr w:type="spellStart"/>
      <w:r w:rsidRPr="00031F34">
        <w:rPr>
          <w:bCs/>
          <w:i/>
          <w:iCs/>
          <w:sz w:val="18"/>
          <w:szCs w:val="18"/>
        </w:rPr>
        <w:t>Quality</w:t>
      </w:r>
      <w:proofErr w:type="spellEnd"/>
      <w:r w:rsidRPr="00031F34">
        <w:rPr>
          <w:bCs/>
          <w:i/>
          <w:iCs/>
          <w:sz w:val="18"/>
          <w:szCs w:val="18"/>
        </w:rPr>
        <w:t xml:space="preserve"> Watch dla Rejestru Dłużników BIG </w:t>
      </w:r>
      <w:proofErr w:type="spellStart"/>
      <w:r w:rsidRPr="00031F34">
        <w:rPr>
          <w:bCs/>
          <w:i/>
          <w:iCs/>
          <w:sz w:val="18"/>
          <w:szCs w:val="18"/>
        </w:rPr>
        <w:t>InfoMonitor</w:t>
      </w:r>
      <w:proofErr w:type="spellEnd"/>
    </w:p>
    <w:p w14:paraId="44FD87FD" w14:textId="13F8B188" w:rsidR="007817CE" w:rsidRDefault="007817CE" w:rsidP="007605C6">
      <w:pPr>
        <w:spacing w:before="240" w:after="240" w:line="259" w:lineRule="auto"/>
        <w:jc w:val="both"/>
        <w:rPr>
          <w:bCs/>
          <w:sz w:val="22"/>
        </w:rPr>
      </w:pPr>
      <w:r w:rsidRPr="0034752F">
        <w:rPr>
          <w:bCs/>
          <w:sz w:val="22"/>
        </w:rPr>
        <w:t xml:space="preserve">Obecnie </w:t>
      </w:r>
      <w:r w:rsidR="004E6A27" w:rsidRPr="0034752F">
        <w:rPr>
          <w:bCs/>
          <w:sz w:val="22"/>
        </w:rPr>
        <w:t xml:space="preserve">z danych Grupy BIK </w:t>
      </w:r>
      <w:r w:rsidR="003761E5" w:rsidRPr="0034752F">
        <w:rPr>
          <w:bCs/>
          <w:sz w:val="22"/>
        </w:rPr>
        <w:t>w</w:t>
      </w:r>
      <w:r w:rsidR="00784CCA">
        <w:rPr>
          <w:bCs/>
          <w:sz w:val="22"/>
        </w:rPr>
        <w:t>ynika</w:t>
      </w:r>
      <w:r w:rsidR="003761E5" w:rsidRPr="0034752F">
        <w:rPr>
          <w:bCs/>
          <w:sz w:val="22"/>
        </w:rPr>
        <w:t>, że problemy z obsług</w:t>
      </w:r>
      <w:r w:rsidR="004E6A27" w:rsidRPr="0034752F">
        <w:rPr>
          <w:bCs/>
          <w:sz w:val="22"/>
        </w:rPr>
        <w:t>ą</w:t>
      </w:r>
      <w:r w:rsidR="003761E5" w:rsidRPr="0034752F">
        <w:rPr>
          <w:bCs/>
          <w:sz w:val="22"/>
        </w:rPr>
        <w:t xml:space="preserve"> bieżących zobowiązań i kredytów ma 2,69 mln </w:t>
      </w:r>
      <w:r w:rsidR="001752E4">
        <w:rPr>
          <w:bCs/>
          <w:sz w:val="22"/>
        </w:rPr>
        <w:t>osób</w:t>
      </w:r>
      <w:r w:rsidR="004E6A27" w:rsidRPr="0034752F">
        <w:rPr>
          <w:bCs/>
          <w:sz w:val="22"/>
        </w:rPr>
        <w:t xml:space="preserve">. </w:t>
      </w:r>
      <w:r w:rsidR="001752E4">
        <w:rPr>
          <w:bCs/>
          <w:sz w:val="22"/>
        </w:rPr>
        <w:t xml:space="preserve">Z tego </w:t>
      </w:r>
      <w:r w:rsidR="003761E5" w:rsidRPr="0034752F">
        <w:rPr>
          <w:bCs/>
          <w:sz w:val="22"/>
        </w:rPr>
        <w:t xml:space="preserve">2,15 mln zostało zgłoszonych przez wierzycieli </w:t>
      </w:r>
      <w:r w:rsidR="008578FE">
        <w:rPr>
          <w:bCs/>
          <w:sz w:val="22"/>
        </w:rPr>
        <w:t xml:space="preserve">m.in. firmy telekomunikacyjne, </w:t>
      </w:r>
      <w:r w:rsidR="008578FE">
        <w:rPr>
          <w:bCs/>
          <w:sz w:val="22"/>
        </w:rPr>
        <w:lastRenderedPageBreak/>
        <w:t>zarządców nieruchomości</w:t>
      </w:r>
      <w:r w:rsidR="00784CCA">
        <w:rPr>
          <w:bCs/>
          <w:sz w:val="22"/>
        </w:rPr>
        <w:t xml:space="preserve"> czy firmy pożyczkowe</w:t>
      </w:r>
      <w:r w:rsidR="008578FE">
        <w:rPr>
          <w:bCs/>
          <w:sz w:val="22"/>
        </w:rPr>
        <w:t xml:space="preserve"> </w:t>
      </w:r>
      <w:r w:rsidR="003761E5" w:rsidRPr="0034752F">
        <w:rPr>
          <w:bCs/>
          <w:sz w:val="22"/>
        </w:rPr>
        <w:t xml:space="preserve">do prowadzonego przez BIG </w:t>
      </w:r>
      <w:proofErr w:type="spellStart"/>
      <w:r w:rsidR="003761E5" w:rsidRPr="0034752F">
        <w:rPr>
          <w:bCs/>
          <w:sz w:val="22"/>
        </w:rPr>
        <w:t>InfoMonitor</w:t>
      </w:r>
      <w:proofErr w:type="spellEnd"/>
      <w:r w:rsidR="003761E5" w:rsidRPr="0034752F">
        <w:rPr>
          <w:bCs/>
          <w:sz w:val="22"/>
        </w:rPr>
        <w:t xml:space="preserve"> rejestru</w:t>
      </w:r>
      <w:r w:rsidR="00E906CE">
        <w:rPr>
          <w:bCs/>
          <w:sz w:val="22"/>
        </w:rPr>
        <w:t xml:space="preserve"> dłużników</w:t>
      </w:r>
      <w:r w:rsidR="003761E5" w:rsidRPr="0034752F">
        <w:rPr>
          <w:bCs/>
          <w:sz w:val="22"/>
        </w:rPr>
        <w:t xml:space="preserve">, a 1,12 mln ma kłopoty z obsługą </w:t>
      </w:r>
      <w:r w:rsidR="004E6A27" w:rsidRPr="0034752F">
        <w:rPr>
          <w:bCs/>
          <w:sz w:val="22"/>
        </w:rPr>
        <w:t>kredytów</w:t>
      </w:r>
      <w:r w:rsidR="00E472DE">
        <w:rPr>
          <w:bCs/>
          <w:sz w:val="22"/>
        </w:rPr>
        <w:t>,</w:t>
      </w:r>
      <w:r w:rsidR="004E6A27" w:rsidRPr="0034752F">
        <w:rPr>
          <w:bCs/>
          <w:sz w:val="22"/>
        </w:rPr>
        <w:t xml:space="preserve"> co widać w bazie informacji kredytowych BIK</w:t>
      </w:r>
      <w:r w:rsidR="001752E4">
        <w:rPr>
          <w:bCs/>
          <w:sz w:val="22"/>
        </w:rPr>
        <w:t xml:space="preserve">. </w:t>
      </w:r>
      <w:r w:rsidR="004E6A27" w:rsidRPr="0034752F">
        <w:rPr>
          <w:bCs/>
          <w:sz w:val="22"/>
        </w:rPr>
        <w:t xml:space="preserve">22 proc. </w:t>
      </w:r>
      <w:r w:rsidR="00FE4193">
        <w:rPr>
          <w:bCs/>
          <w:sz w:val="22"/>
        </w:rPr>
        <w:t>n</w:t>
      </w:r>
      <w:r w:rsidR="00784CCA">
        <w:rPr>
          <w:bCs/>
          <w:sz w:val="22"/>
        </w:rPr>
        <w:t xml:space="preserve">iesolidnych dłużników </w:t>
      </w:r>
      <w:r w:rsidR="004E6A27" w:rsidRPr="0034752F">
        <w:rPr>
          <w:bCs/>
          <w:sz w:val="22"/>
        </w:rPr>
        <w:t xml:space="preserve">ma zarówno kłopoty związane z bieżącymi płatnościami, </w:t>
      </w:r>
      <w:r w:rsidR="0071617E" w:rsidRPr="0034752F">
        <w:rPr>
          <w:bCs/>
          <w:sz w:val="22"/>
        </w:rPr>
        <w:t>długami wobec firm windykacyjnych</w:t>
      </w:r>
      <w:r w:rsidR="00E472DE">
        <w:rPr>
          <w:bCs/>
          <w:sz w:val="22"/>
        </w:rPr>
        <w:t>,</w:t>
      </w:r>
      <w:r w:rsidR="0071617E" w:rsidRPr="0034752F">
        <w:rPr>
          <w:bCs/>
          <w:sz w:val="22"/>
        </w:rPr>
        <w:t xml:space="preserve"> jak i opóźnione lub nieuregulowane raty kredytów. Łączn</w:t>
      </w:r>
      <w:r w:rsidR="00784CCA">
        <w:rPr>
          <w:bCs/>
          <w:sz w:val="22"/>
        </w:rPr>
        <w:t xml:space="preserve">a kwota </w:t>
      </w:r>
      <w:r w:rsidR="0071617E" w:rsidRPr="0034752F">
        <w:rPr>
          <w:bCs/>
          <w:sz w:val="22"/>
        </w:rPr>
        <w:t>zaległości</w:t>
      </w:r>
      <w:r w:rsidR="001752E4">
        <w:rPr>
          <w:bCs/>
          <w:sz w:val="22"/>
        </w:rPr>
        <w:t xml:space="preserve"> 2,69 mln konsumentów wyniosła </w:t>
      </w:r>
      <w:r w:rsidR="0071617E" w:rsidRPr="0034752F">
        <w:rPr>
          <w:bCs/>
          <w:sz w:val="22"/>
        </w:rPr>
        <w:t>na koniec lutego</w:t>
      </w:r>
      <w:r w:rsidR="00784CCA">
        <w:rPr>
          <w:bCs/>
          <w:sz w:val="22"/>
        </w:rPr>
        <w:t xml:space="preserve"> </w:t>
      </w:r>
      <w:r w:rsidR="0071617E" w:rsidRPr="0034752F">
        <w:rPr>
          <w:bCs/>
          <w:sz w:val="22"/>
        </w:rPr>
        <w:t>75,9 mld zł</w:t>
      </w:r>
      <w:r w:rsidR="00784CCA">
        <w:rPr>
          <w:bCs/>
          <w:sz w:val="22"/>
        </w:rPr>
        <w:t xml:space="preserve">, </w:t>
      </w:r>
      <w:r w:rsidR="001752E4">
        <w:rPr>
          <w:bCs/>
          <w:sz w:val="22"/>
        </w:rPr>
        <w:t xml:space="preserve">to </w:t>
      </w:r>
      <w:r w:rsidR="00784CCA">
        <w:rPr>
          <w:bCs/>
          <w:sz w:val="22"/>
        </w:rPr>
        <w:t>ok. 5 mld zł mniej niż przed rokiem</w:t>
      </w:r>
      <w:r w:rsidR="00E472DE">
        <w:rPr>
          <w:bCs/>
          <w:sz w:val="22"/>
        </w:rPr>
        <w:t>,</w:t>
      </w:r>
      <w:r w:rsidR="00784CCA">
        <w:rPr>
          <w:bCs/>
          <w:sz w:val="22"/>
        </w:rPr>
        <w:t xml:space="preserve"> przy ponad 100 tys. niższej liczbie dłużników</w:t>
      </w:r>
      <w:r w:rsidR="0071617E" w:rsidRPr="0034752F">
        <w:rPr>
          <w:bCs/>
          <w:sz w:val="22"/>
        </w:rPr>
        <w:t xml:space="preserve">. </w:t>
      </w:r>
    </w:p>
    <w:p w14:paraId="5F0BAC88" w14:textId="09799DEA" w:rsidR="008578FE" w:rsidRPr="0034752F" w:rsidRDefault="00E472DE" w:rsidP="0034752F">
      <w:pPr>
        <w:spacing w:before="240" w:after="240" w:line="259" w:lineRule="auto"/>
        <w:jc w:val="both"/>
        <w:rPr>
          <w:bCs/>
          <w:sz w:val="22"/>
        </w:rPr>
      </w:pPr>
      <w:r>
        <w:rPr>
          <w:sz w:val="22"/>
        </w:rPr>
        <w:t>–</w:t>
      </w:r>
      <w:r w:rsidR="00A27697">
        <w:rPr>
          <w:bCs/>
          <w:sz w:val="22"/>
        </w:rPr>
        <w:t xml:space="preserve"> </w:t>
      </w:r>
      <w:r w:rsidR="0075001E" w:rsidRPr="0034752F">
        <w:rPr>
          <w:bCs/>
          <w:i/>
          <w:iCs/>
          <w:sz w:val="22"/>
        </w:rPr>
        <w:t>Już widać, że w</w:t>
      </w:r>
      <w:r w:rsidR="00784CCA" w:rsidRPr="0034752F">
        <w:rPr>
          <w:bCs/>
          <w:i/>
          <w:iCs/>
          <w:sz w:val="22"/>
        </w:rPr>
        <w:t xml:space="preserve">ojna </w:t>
      </w:r>
      <w:r w:rsidR="008578FE" w:rsidRPr="0034752F">
        <w:rPr>
          <w:bCs/>
          <w:i/>
          <w:iCs/>
          <w:sz w:val="22"/>
        </w:rPr>
        <w:t>w Ukrainie</w:t>
      </w:r>
      <w:r w:rsidR="00784CCA" w:rsidRPr="0034752F">
        <w:rPr>
          <w:bCs/>
          <w:i/>
          <w:iCs/>
          <w:sz w:val="22"/>
        </w:rPr>
        <w:t xml:space="preserve"> i inflacja</w:t>
      </w:r>
      <w:r w:rsidR="008578FE" w:rsidRPr="0034752F">
        <w:rPr>
          <w:bCs/>
          <w:i/>
          <w:iCs/>
          <w:sz w:val="22"/>
        </w:rPr>
        <w:t xml:space="preserve">, </w:t>
      </w:r>
      <w:r w:rsidR="0075001E" w:rsidRPr="0034752F">
        <w:rPr>
          <w:bCs/>
          <w:i/>
          <w:iCs/>
          <w:sz w:val="22"/>
        </w:rPr>
        <w:t xml:space="preserve">tak jak </w:t>
      </w:r>
      <w:r w:rsidR="008578FE" w:rsidRPr="0034752F">
        <w:rPr>
          <w:bCs/>
          <w:i/>
          <w:iCs/>
          <w:sz w:val="22"/>
        </w:rPr>
        <w:t>pandemia</w:t>
      </w:r>
      <w:r>
        <w:rPr>
          <w:bCs/>
          <w:i/>
          <w:iCs/>
          <w:sz w:val="22"/>
        </w:rPr>
        <w:t>,</w:t>
      </w:r>
      <w:r w:rsidR="00784CCA" w:rsidRPr="0034752F">
        <w:rPr>
          <w:bCs/>
          <w:i/>
          <w:iCs/>
          <w:sz w:val="22"/>
        </w:rPr>
        <w:t xml:space="preserve"> </w:t>
      </w:r>
      <w:r w:rsidR="008578FE" w:rsidRPr="0034752F">
        <w:rPr>
          <w:bCs/>
          <w:i/>
          <w:iCs/>
          <w:sz w:val="22"/>
        </w:rPr>
        <w:t>skł</w:t>
      </w:r>
      <w:r w:rsidR="0075001E" w:rsidRPr="0034752F">
        <w:rPr>
          <w:bCs/>
          <w:i/>
          <w:iCs/>
          <w:sz w:val="22"/>
        </w:rPr>
        <w:t xml:space="preserve">aniają </w:t>
      </w:r>
      <w:r w:rsidR="008578FE" w:rsidRPr="0034752F">
        <w:rPr>
          <w:bCs/>
          <w:i/>
          <w:iCs/>
          <w:sz w:val="22"/>
        </w:rPr>
        <w:t xml:space="preserve">do większego namysłu nad wydatkami, co przynajmniej części osób pozwoli uniknąć kłopotów i </w:t>
      </w:r>
      <w:r w:rsidR="0075001E" w:rsidRPr="0034752F">
        <w:rPr>
          <w:bCs/>
          <w:i/>
          <w:iCs/>
          <w:sz w:val="22"/>
        </w:rPr>
        <w:t xml:space="preserve">brania na siebie </w:t>
      </w:r>
      <w:r w:rsidR="008578FE" w:rsidRPr="0034752F">
        <w:rPr>
          <w:bCs/>
          <w:i/>
          <w:iCs/>
          <w:sz w:val="22"/>
        </w:rPr>
        <w:t xml:space="preserve">zobowiązań </w:t>
      </w:r>
      <w:r w:rsidR="0075001E" w:rsidRPr="0034752F">
        <w:rPr>
          <w:bCs/>
          <w:i/>
          <w:iCs/>
          <w:sz w:val="22"/>
        </w:rPr>
        <w:t>przekraczających możliwości</w:t>
      </w:r>
      <w:r w:rsidR="00A27697">
        <w:rPr>
          <w:bCs/>
          <w:i/>
          <w:iCs/>
          <w:sz w:val="22"/>
        </w:rPr>
        <w:t>. W okresie pandemii tego typu podejście</w:t>
      </w:r>
      <w:r w:rsidR="0075001E" w:rsidRPr="0034752F">
        <w:rPr>
          <w:bCs/>
          <w:i/>
          <w:iCs/>
          <w:sz w:val="22"/>
        </w:rPr>
        <w:t xml:space="preserve"> da</w:t>
      </w:r>
      <w:r w:rsidR="00A27697">
        <w:rPr>
          <w:bCs/>
          <w:i/>
          <w:iCs/>
          <w:sz w:val="22"/>
        </w:rPr>
        <w:t>wa</w:t>
      </w:r>
      <w:r w:rsidR="0075001E" w:rsidRPr="0034752F">
        <w:rPr>
          <w:bCs/>
          <w:i/>
          <w:iCs/>
          <w:sz w:val="22"/>
        </w:rPr>
        <w:t>ło pozytywne rezultaty</w:t>
      </w:r>
      <w:r w:rsidR="001752E4">
        <w:rPr>
          <w:bCs/>
          <w:i/>
          <w:iCs/>
          <w:sz w:val="22"/>
        </w:rPr>
        <w:t xml:space="preserve"> i</w:t>
      </w:r>
      <w:r w:rsidR="0075001E" w:rsidRPr="0034752F">
        <w:rPr>
          <w:bCs/>
          <w:i/>
          <w:iCs/>
          <w:sz w:val="22"/>
        </w:rPr>
        <w:t xml:space="preserve"> przełożyło się na zmniejszenie skali problemów</w:t>
      </w:r>
      <w:r w:rsidR="00A27697">
        <w:rPr>
          <w:bCs/>
          <w:i/>
          <w:iCs/>
          <w:sz w:val="22"/>
        </w:rPr>
        <w:t xml:space="preserve"> związanych z zaległościami</w:t>
      </w:r>
      <w:r w:rsidR="008578FE" w:rsidRPr="0034752F">
        <w:rPr>
          <w:bCs/>
          <w:i/>
          <w:iCs/>
          <w:sz w:val="22"/>
        </w:rPr>
        <w:t>. Z drugiej jednak strony, towarzysząca gospodarce wysoka inflacja wynikająca</w:t>
      </w:r>
      <w:r w:rsidR="00A27697">
        <w:rPr>
          <w:bCs/>
          <w:i/>
          <w:iCs/>
          <w:sz w:val="22"/>
        </w:rPr>
        <w:t xml:space="preserve"> m.in. </w:t>
      </w:r>
      <w:r w:rsidR="008578FE" w:rsidRPr="0034752F">
        <w:rPr>
          <w:bCs/>
          <w:i/>
          <w:iCs/>
          <w:sz w:val="22"/>
        </w:rPr>
        <w:t>z wojny</w:t>
      </w:r>
      <w:r>
        <w:rPr>
          <w:bCs/>
          <w:i/>
          <w:iCs/>
          <w:sz w:val="22"/>
        </w:rPr>
        <w:t>,</w:t>
      </w:r>
      <w:r w:rsidR="008578FE" w:rsidRPr="0034752F">
        <w:rPr>
          <w:bCs/>
          <w:i/>
          <w:iCs/>
          <w:sz w:val="22"/>
        </w:rPr>
        <w:t xml:space="preserve"> może mieć fatalny wpływ na kondycję finansową części gospodarstw domowych. A w takich warunkach nawet </w:t>
      </w:r>
      <w:r w:rsidR="0075001E" w:rsidRPr="0034752F">
        <w:rPr>
          <w:bCs/>
          <w:i/>
          <w:iCs/>
          <w:sz w:val="22"/>
        </w:rPr>
        <w:t xml:space="preserve">cięcia wydatków i </w:t>
      </w:r>
      <w:r w:rsidR="00A27697">
        <w:rPr>
          <w:bCs/>
          <w:i/>
          <w:iCs/>
          <w:sz w:val="22"/>
        </w:rPr>
        <w:t xml:space="preserve">żelazna </w:t>
      </w:r>
      <w:r w:rsidR="008578FE" w:rsidRPr="0034752F">
        <w:rPr>
          <w:bCs/>
          <w:i/>
          <w:iCs/>
          <w:sz w:val="22"/>
        </w:rPr>
        <w:t>dyscyplina mo</w:t>
      </w:r>
      <w:r w:rsidR="0075001E" w:rsidRPr="0034752F">
        <w:rPr>
          <w:bCs/>
          <w:i/>
          <w:iCs/>
          <w:sz w:val="22"/>
        </w:rPr>
        <w:t xml:space="preserve">gą </w:t>
      </w:r>
      <w:r w:rsidR="008578FE" w:rsidRPr="0034752F">
        <w:rPr>
          <w:bCs/>
          <w:i/>
          <w:iCs/>
          <w:sz w:val="22"/>
        </w:rPr>
        <w:t>nie wystarczyć, aby zapobiec kłopotom</w:t>
      </w:r>
      <w:r w:rsidR="0075001E" w:rsidRPr="0034752F">
        <w:rPr>
          <w:bCs/>
          <w:i/>
          <w:iCs/>
          <w:sz w:val="22"/>
        </w:rPr>
        <w:t xml:space="preserve"> </w:t>
      </w:r>
      <w:r w:rsidR="0075001E">
        <w:rPr>
          <w:bCs/>
          <w:sz w:val="22"/>
        </w:rPr>
        <w:t xml:space="preserve">– zaznacza </w:t>
      </w:r>
      <w:r w:rsidR="00A27697" w:rsidRPr="0034752F">
        <w:rPr>
          <w:b/>
          <w:sz w:val="22"/>
        </w:rPr>
        <w:t>Sławomir Grzelczak</w:t>
      </w:r>
      <w:r w:rsidR="008578FE" w:rsidRPr="0034752F">
        <w:rPr>
          <w:bCs/>
          <w:sz w:val="22"/>
        </w:rPr>
        <w:t>.  </w:t>
      </w:r>
    </w:p>
    <w:p w14:paraId="63F3180A" w14:textId="3159A2B9" w:rsidR="00A35645" w:rsidRPr="00B566B0" w:rsidRDefault="00A35645" w:rsidP="00B506B9">
      <w:pPr>
        <w:spacing w:before="240" w:after="240" w:line="259" w:lineRule="auto"/>
        <w:jc w:val="both"/>
        <w:rPr>
          <w:b/>
          <w:sz w:val="18"/>
          <w:szCs w:val="18"/>
        </w:rPr>
      </w:pPr>
      <w:r w:rsidRPr="00B566B0">
        <w:rPr>
          <w:b/>
          <w:sz w:val="18"/>
          <w:szCs w:val="18"/>
        </w:rPr>
        <w:t>O badaniu</w:t>
      </w:r>
    </w:p>
    <w:p w14:paraId="56C46361" w14:textId="137D02D4" w:rsidR="00A35645" w:rsidRPr="00B566B0" w:rsidRDefault="00A35645" w:rsidP="006001DA">
      <w:pPr>
        <w:spacing w:before="240" w:after="240" w:line="259" w:lineRule="auto"/>
        <w:jc w:val="both"/>
        <w:rPr>
          <w:i/>
          <w:sz w:val="18"/>
          <w:szCs w:val="18"/>
        </w:rPr>
      </w:pPr>
      <w:r w:rsidRPr="00B566B0">
        <w:rPr>
          <w:i/>
          <w:sz w:val="18"/>
          <w:szCs w:val="18"/>
        </w:rPr>
        <w:t xml:space="preserve">Badanie </w:t>
      </w:r>
      <w:proofErr w:type="spellStart"/>
      <w:r w:rsidR="00717E05" w:rsidRPr="00B566B0">
        <w:rPr>
          <w:i/>
          <w:sz w:val="18"/>
          <w:szCs w:val="18"/>
        </w:rPr>
        <w:t>Quality</w:t>
      </w:r>
      <w:proofErr w:type="spellEnd"/>
      <w:r w:rsidR="00717E05" w:rsidRPr="00B566B0">
        <w:rPr>
          <w:i/>
          <w:sz w:val="18"/>
          <w:szCs w:val="18"/>
        </w:rPr>
        <w:t xml:space="preserve"> Watch „I</w:t>
      </w:r>
      <w:r w:rsidRPr="00B566B0">
        <w:rPr>
          <w:i/>
          <w:sz w:val="18"/>
          <w:szCs w:val="18"/>
        </w:rPr>
        <w:t>nflacj</w:t>
      </w:r>
      <w:r w:rsidR="00717E05" w:rsidRPr="00B566B0">
        <w:rPr>
          <w:i/>
          <w:sz w:val="18"/>
          <w:szCs w:val="18"/>
        </w:rPr>
        <w:t>a</w:t>
      </w:r>
      <w:r w:rsidRPr="00B566B0">
        <w:rPr>
          <w:i/>
          <w:sz w:val="18"/>
          <w:szCs w:val="18"/>
        </w:rPr>
        <w:t xml:space="preserve"> i wojn</w:t>
      </w:r>
      <w:r w:rsidR="00E472DE">
        <w:rPr>
          <w:i/>
          <w:sz w:val="18"/>
          <w:szCs w:val="18"/>
        </w:rPr>
        <w:t>a w Ukrainie</w:t>
      </w:r>
      <w:r w:rsidRPr="00B566B0">
        <w:rPr>
          <w:i/>
          <w:sz w:val="18"/>
          <w:szCs w:val="18"/>
        </w:rPr>
        <w:t xml:space="preserve"> a budżety domowe Polaków</w:t>
      </w:r>
      <w:r w:rsidR="00717E05" w:rsidRPr="00B566B0">
        <w:rPr>
          <w:i/>
          <w:sz w:val="18"/>
          <w:szCs w:val="18"/>
        </w:rPr>
        <w:t>”</w:t>
      </w:r>
      <w:r w:rsidR="006001DA" w:rsidRPr="00B566B0">
        <w:rPr>
          <w:i/>
          <w:sz w:val="18"/>
          <w:szCs w:val="18"/>
        </w:rPr>
        <w:t xml:space="preserve"> zrealizowan</w:t>
      </w:r>
      <w:r w:rsidR="00717E05" w:rsidRPr="00B566B0">
        <w:rPr>
          <w:i/>
          <w:sz w:val="18"/>
          <w:szCs w:val="18"/>
        </w:rPr>
        <w:t xml:space="preserve">e zostało </w:t>
      </w:r>
      <w:r w:rsidR="006001DA" w:rsidRPr="00B566B0">
        <w:rPr>
          <w:i/>
          <w:sz w:val="18"/>
          <w:szCs w:val="18"/>
        </w:rPr>
        <w:t>w dniach 25 – 28 marca</w:t>
      </w:r>
      <w:r w:rsidR="00C56657">
        <w:rPr>
          <w:i/>
          <w:sz w:val="18"/>
          <w:szCs w:val="18"/>
        </w:rPr>
        <w:t xml:space="preserve"> </w:t>
      </w:r>
      <w:r w:rsidR="006001DA" w:rsidRPr="00B566B0">
        <w:rPr>
          <w:i/>
          <w:sz w:val="18"/>
          <w:szCs w:val="18"/>
        </w:rPr>
        <w:t>2022 roku</w:t>
      </w:r>
      <w:r w:rsidR="00E472DE">
        <w:rPr>
          <w:i/>
          <w:sz w:val="18"/>
          <w:szCs w:val="18"/>
        </w:rPr>
        <w:t>,</w:t>
      </w:r>
      <w:r w:rsidR="006001DA" w:rsidRPr="00B566B0">
        <w:rPr>
          <w:i/>
          <w:sz w:val="18"/>
          <w:szCs w:val="18"/>
        </w:rPr>
        <w:t xml:space="preserve"> metodą CAWI</w:t>
      </w:r>
      <w:r w:rsidR="00E472DE">
        <w:rPr>
          <w:i/>
          <w:sz w:val="18"/>
          <w:szCs w:val="18"/>
        </w:rPr>
        <w:t>,</w:t>
      </w:r>
      <w:r w:rsidR="006001DA" w:rsidRPr="00B566B0">
        <w:rPr>
          <w:i/>
          <w:sz w:val="18"/>
          <w:szCs w:val="18"/>
        </w:rPr>
        <w:t xml:space="preserve"> na próbie 1056 Polaków w wieku powyżej 18 lat. </w:t>
      </w:r>
    </w:p>
    <w:p w14:paraId="063C39DB" w14:textId="77777777" w:rsidR="00082787" w:rsidRDefault="00082787" w:rsidP="009460CC">
      <w:pPr>
        <w:spacing w:before="240" w:after="120" w:line="259" w:lineRule="auto"/>
        <w:jc w:val="both"/>
        <w:rPr>
          <w:bCs/>
          <w:sz w:val="22"/>
        </w:rPr>
      </w:pPr>
    </w:p>
    <w:p w14:paraId="4D06238B" w14:textId="3DE22EE5" w:rsidR="009460CC" w:rsidRPr="00CA6058" w:rsidRDefault="009460CC" w:rsidP="009460CC">
      <w:pPr>
        <w:spacing w:before="240" w:after="120" w:line="259" w:lineRule="auto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</w:t>
      </w:r>
      <w:proofErr w:type="spellStart"/>
      <w:r w:rsidRPr="00CA6058">
        <w:rPr>
          <w:b/>
          <w:bCs/>
          <w:color w:val="595959" w:themeColor="text1" w:themeTint="A6"/>
          <w:sz w:val="18"/>
          <w:szCs w:val="18"/>
        </w:rPr>
        <w:t>InfoMonitor</w:t>
      </w:r>
      <w:proofErr w:type="spellEnd"/>
      <w:r w:rsidRPr="00CA6058">
        <w:rPr>
          <w:b/>
          <w:bCs/>
          <w:color w:val="595959" w:themeColor="text1" w:themeTint="A6"/>
          <w:sz w:val="18"/>
          <w:szCs w:val="18"/>
        </w:rPr>
        <w:t xml:space="preserve"> </w:t>
      </w:r>
      <w:r w:rsidRPr="00CA6058">
        <w:rPr>
          <w:bCs/>
          <w:color w:val="595959" w:themeColor="text1" w:themeTint="A6"/>
          <w:sz w:val="18"/>
          <w:szCs w:val="18"/>
        </w:rPr>
        <w:t xml:space="preserve">(BIG </w:t>
      </w:r>
      <w:proofErr w:type="spellStart"/>
      <w:r w:rsidRPr="00CA6058">
        <w:rPr>
          <w:bCs/>
          <w:color w:val="595959" w:themeColor="text1" w:themeTint="A6"/>
          <w:sz w:val="18"/>
          <w:szCs w:val="18"/>
        </w:rPr>
        <w:t>InfoMonitor</w:t>
      </w:r>
      <w:proofErr w:type="spellEnd"/>
      <w:r w:rsidRPr="00CA6058">
        <w:rPr>
          <w:bCs/>
          <w:color w:val="595959" w:themeColor="text1" w:themeTint="A6"/>
          <w:sz w:val="18"/>
          <w:szCs w:val="18"/>
        </w:rPr>
        <w:t xml:space="preserve">) prowadzi Rejestr Dłużników BIG. Działając w oparciu o Ustawę o udostępnianiu informacji gospodarczych i wymianie danych gospodarczych przyjmuje, przechowuje i udostępnia informacje gospodarcze o przeterminowanym zadłużeniu osób i firm. BIG </w:t>
      </w:r>
      <w:proofErr w:type="spellStart"/>
      <w:r w:rsidRPr="00CA6058">
        <w:rPr>
          <w:bCs/>
          <w:color w:val="595959" w:themeColor="text1" w:themeTint="A6"/>
          <w:sz w:val="18"/>
          <w:szCs w:val="18"/>
        </w:rPr>
        <w:t>InfoMonitor</w:t>
      </w:r>
      <w:proofErr w:type="spellEnd"/>
      <w:r w:rsidRPr="00CA6058">
        <w:rPr>
          <w:bCs/>
          <w:color w:val="595959" w:themeColor="text1" w:themeTint="A6"/>
          <w:sz w:val="18"/>
          <w:szCs w:val="18"/>
        </w:rPr>
        <w:t xml:space="preserve">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</w:t>
      </w:r>
      <w:proofErr w:type="spellStart"/>
      <w:r w:rsidRPr="00CA6058">
        <w:rPr>
          <w:bCs/>
          <w:color w:val="595959" w:themeColor="text1" w:themeTint="A6"/>
          <w:sz w:val="18"/>
          <w:szCs w:val="18"/>
        </w:rPr>
        <w:t>InfoMonitor</w:t>
      </w:r>
      <w:proofErr w:type="spellEnd"/>
      <w:r w:rsidRPr="00CA6058">
        <w:rPr>
          <w:bCs/>
          <w:color w:val="595959" w:themeColor="text1" w:themeTint="A6"/>
          <w:sz w:val="18"/>
          <w:szCs w:val="18"/>
        </w:rPr>
        <w:t xml:space="preserve"> jest spółką zależną sektora bankowego </w:t>
      </w:r>
      <w:r w:rsidR="00E472DE" w:rsidRPr="00CA6058">
        <w:rPr>
          <w:bCs/>
          <w:color w:val="595959" w:themeColor="text1" w:themeTint="A6"/>
          <w:sz w:val="18"/>
          <w:szCs w:val="18"/>
        </w:rPr>
        <w:t>–</w:t>
      </w:r>
      <w:r w:rsidRPr="00CA6058">
        <w:rPr>
          <w:bCs/>
          <w:color w:val="595959" w:themeColor="text1" w:themeTint="A6"/>
          <w:sz w:val="18"/>
          <w:szCs w:val="18"/>
        </w:rPr>
        <w:t xml:space="preserve"> poprzez Biuro Informacji Kredytowej – swojego głównego akcjonariusza.</w:t>
      </w:r>
      <w:r w:rsidR="00A35645" w:rsidRPr="00A35645">
        <w:t xml:space="preserve"> </w:t>
      </w:r>
      <w:r w:rsidR="00A35645" w:rsidRPr="00A35645">
        <w:rPr>
          <w:bCs/>
          <w:color w:val="595959" w:themeColor="text1" w:themeTint="A6"/>
          <w:sz w:val="18"/>
          <w:szCs w:val="18"/>
        </w:rPr>
        <w:t xml:space="preserve">Więcej na </w:t>
      </w:r>
      <w:hyperlink r:id="rId10" w:history="1">
        <w:r w:rsidR="00A35645" w:rsidRPr="00770F7A">
          <w:rPr>
            <w:rStyle w:val="Hipercze"/>
            <w:bCs/>
            <w:sz w:val="18"/>
            <w:szCs w:val="18"/>
          </w:rPr>
          <w:t>www.big.pl</w:t>
        </w:r>
      </w:hyperlink>
      <w:r w:rsidR="00A35645">
        <w:rPr>
          <w:bCs/>
          <w:color w:val="595959" w:themeColor="text1" w:themeTint="A6"/>
          <w:sz w:val="18"/>
          <w:szCs w:val="18"/>
        </w:rPr>
        <w:t xml:space="preserve"> </w:t>
      </w:r>
    </w:p>
    <w:p w14:paraId="7F8E5DD7" w14:textId="77777777" w:rsidR="009460CC" w:rsidRDefault="009460CC" w:rsidP="009460CC">
      <w:pPr>
        <w:spacing w:before="240" w:after="120" w:line="259" w:lineRule="auto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 xml:space="preserve">Kontakt dla </w:t>
      </w:r>
      <w:r>
        <w:rPr>
          <w:rFonts w:cs="Arial"/>
          <w:b/>
          <w:color w:val="595959" w:themeColor="text1" w:themeTint="A6"/>
          <w:sz w:val="18"/>
          <w:szCs w:val="18"/>
        </w:rPr>
        <w:t>mediów</w:t>
      </w:r>
      <w:r w:rsidRPr="00F303A7">
        <w:rPr>
          <w:rFonts w:cs="Arial"/>
          <w:b/>
          <w:color w:val="595959" w:themeColor="text1" w:themeTint="A6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9460CC" w:rsidRPr="00F303A7" w14:paraId="4D69E177" w14:textId="77777777" w:rsidTr="00BF30B9">
        <w:tc>
          <w:tcPr>
            <w:tcW w:w="4533" w:type="dxa"/>
            <w:hideMark/>
          </w:tcPr>
          <w:p w14:paraId="13B2F2DA" w14:textId="77777777" w:rsidR="009460CC" w:rsidRPr="00F303A7" w:rsidRDefault="009460CC" w:rsidP="00BF30B9">
            <w:pPr>
              <w:spacing w:line="259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531B3E7B" w14:textId="77777777" w:rsidR="009460CC" w:rsidRPr="00F303A7" w:rsidRDefault="009460CC" w:rsidP="00BF30B9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5738D1BE" w14:textId="77777777" w:rsidR="009460CC" w:rsidRPr="00F303A7" w:rsidRDefault="009460CC" w:rsidP="00BF30B9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39D356CB" w14:textId="77777777" w:rsidR="009460CC" w:rsidRDefault="009460CC" w:rsidP="00BF30B9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</w:t>
            </w:r>
            <w:r>
              <w:rPr>
                <w:rFonts w:cs="Arial"/>
                <w:color w:val="595959" w:themeColor="text1" w:themeTint="A6"/>
                <w:sz w:val="18"/>
                <w:szCs w:val="18"/>
              </w:rPr>
              <w:t> </w:t>
            </w: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010</w:t>
            </w:r>
          </w:p>
          <w:p w14:paraId="7BB56B61" w14:textId="77777777" w:rsidR="009460CC" w:rsidRPr="00F303A7" w:rsidRDefault="00432258" w:rsidP="00BF30B9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9460CC" w:rsidRPr="00422ABB">
                <w:rPr>
                  <w:rStyle w:val="Hipercze"/>
                </w:rPr>
                <w:t>h</w:t>
              </w:r>
              <w:r w:rsidR="009460CC" w:rsidRPr="00422ABB">
                <w:rPr>
                  <w:rStyle w:val="Hipercze"/>
                  <w:sz w:val="18"/>
                  <w:szCs w:val="18"/>
                </w:rPr>
                <w:t>alina.kochalska@big.pl</w:t>
              </w:r>
            </w:hyperlink>
          </w:p>
        </w:tc>
        <w:tc>
          <w:tcPr>
            <w:tcW w:w="4539" w:type="dxa"/>
            <w:hideMark/>
          </w:tcPr>
          <w:p w14:paraId="79E56CEF" w14:textId="77777777" w:rsidR="009460CC" w:rsidRPr="00F303A7" w:rsidRDefault="009460CC" w:rsidP="00BF30B9">
            <w:pPr>
              <w:spacing w:line="259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71910109" w14:textId="77777777" w:rsidR="009460CC" w:rsidRPr="00F303A7" w:rsidRDefault="009460CC" w:rsidP="00BF30B9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62E1ABFB" w14:textId="77777777" w:rsidR="009460CC" w:rsidRPr="00F303A7" w:rsidRDefault="009460CC" w:rsidP="00BF30B9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068FA3D0" w14:textId="77777777" w:rsidR="009460CC" w:rsidRPr="00F303A7" w:rsidRDefault="009460CC" w:rsidP="00BF30B9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4F8C1E0E" w14:textId="77777777" w:rsidR="009460CC" w:rsidRPr="00F303A7" w:rsidRDefault="00432258" w:rsidP="00BF30B9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2" w:history="1">
              <w:r w:rsidR="009460CC" w:rsidRPr="00422ABB">
                <w:rPr>
                  <w:rStyle w:val="Hipercze"/>
                </w:rPr>
                <w:t>d</w:t>
              </w:r>
              <w:r w:rsidR="009460CC" w:rsidRPr="00422ABB">
                <w:rPr>
                  <w:rStyle w:val="Hipercze"/>
                  <w:sz w:val="18"/>
                  <w:szCs w:val="18"/>
                </w:rPr>
                <w:t>iana.borowiecka@big.pl</w:t>
              </w:r>
            </w:hyperlink>
            <w:r w:rsidR="009460CC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71FB7F06" w14:textId="77777777" w:rsidR="009460CC" w:rsidRDefault="009460CC" w:rsidP="009460CC">
      <w:pPr>
        <w:spacing w:line="259" w:lineRule="auto"/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5844FF7E" w14:textId="77777777" w:rsidR="009460CC" w:rsidRPr="002B3FE4" w:rsidRDefault="009460CC" w:rsidP="009460CC">
      <w:pPr>
        <w:spacing w:line="259" w:lineRule="auto"/>
      </w:pPr>
    </w:p>
    <w:bookmarkEnd w:id="0"/>
    <w:p w14:paraId="3693F261" w14:textId="77777777" w:rsidR="00B7681E" w:rsidRPr="009460CC" w:rsidRDefault="00B7681E">
      <w:pPr>
        <w:rPr>
          <w:b/>
          <w:bCs/>
        </w:rPr>
      </w:pPr>
    </w:p>
    <w:sectPr w:rsidR="00B7681E" w:rsidRPr="009460CC" w:rsidSect="009460CC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34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DBAF" w14:textId="77777777" w:rsidR="00432258" w:rsidRDefault="00432258" w:rsidP="009460CC">
      <w:pPr>
        <w:spacing w:line="240" w:lineRule="auto"/>
      </w:pPr>
      <w:r>
        <w:separator/>
      </w:r>
    </w:p>
  </w:endnote>
  <w:endnote w:type="continuationSeparator" w:id="0">
    <w:p w14:paraId="6A623C46" w14:textId="77777777" w:rsidR="00432258" w:rsidRDefault="00432258" w:rsidP="00946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460C" w14:textId="77777777" w:rsidR="00671B08" w:rsidRDefault="00432258"/>
  <w:p w14:paraId="0383EBAB" w14:textId="77777777" w:rsidR="00671B08" w:rsidRDefault="004322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4912" w14:textId="77777777" w:rsidR="00671B08" w:rsidRPr="00725618" w:rsidRDefault="00F73DDA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3682956" wp14:editId="60E8F4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2bd4f7091d996ced69e765d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0A576B" w14:textId="3D2A93CF" w:rsidR="00671B08" w:rsidRPr="00D5570D" w:rsidRDefault="00D5570D" w:rsidP="00D5570D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D5570D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82956" id="_x0000_t202" coordsize="21600,21600" o:spt="202" path="m,l,21600r21600,l21600,xe">
              <v:stroke joinstyle="miter"/>
              <v:path gradientshapeok="t" o:connecttype="rect"/>
            </v:shapetype>
            <v:shape id="MSIPCM72bd4f7091d996ced69e765d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6A0A576B" w14:textId="3D2A93CF" w:rsidR="00671B08" w:rsidRPr="00D5570D" w:rsidRDefault="00D5570D" w:rsidP="00D5570D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D5570D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2C37D8" wp14:editId="17670CF3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E09A5" w14:textId="77777777" w:rsidR="00671B08" w:rsidRPr="00456AF4" w:rsidRDefault="00F73DDA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1D14A934" w14:textId="77777777" w:rsidR="00671B08" w:rsidRPr="00334AB6" w:rsidRDefault="00F73DDA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334AB6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334AB6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2C37D8" id="Pole tekstowe 2" o:spid="_x0000_s1027" type="#_x0000_t202" style="position:absolute;margin-left:-6.75pt;margin-top:.15pt;width:3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" stroked="f">
              <v:textbox style="mso-fit-shape-to-text:t">
                <w:txbxContent>
                  <w:p w14:paraId="0D8E09A5" w14:textId="77777777" w:rsidR="00671B08" w:rsidRPr="00456AF4" w:rsidRDefault="00F73DDA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1D14A934" w14:textId="77777777" w:rsidR="00671B08" w:rsidRPr="00334AB6" w:rsidRDefault="00F73DDA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334AB6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334AB6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725618">
      <w:t xml:space="preserve"> </w:t>
    </w:r>
  </w:p>
  <w:p w14:paraId="294CFAE7" w14:textId="76850241" w:rsidR="00671B08" w:rsidRPr="00943829" w:rsidRDefault="00F73DDA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B820B9">
      <w:rPr>
        <w:noProof/>
      </w:rPr>
      <w:t>2</w:t>
    </w:r>
    <w:r>
      <w:fldChar w:fldCharType="end"/>
    </w:r>
    <w:r>
      <w:t>/</w:t>
    </w:r>
    <w:r w:rsidR="00432258">
      <w:fldChar w:fldCharType="begin"/>
    </w:r>
    <w:r w:rsidR="00432258">
      <w:instrText>NUMPAGES  \* Arabic  \* MERGEFORMAT</w:instrText>
    </w:r>
    <w:r w:rsidR="00432258">
      <w:fldChar w:fldCharType="separate"/>
    </w:r>
    <w:r w:rsidR="00B820B9">
      <w:rPr>
        <w:noProof/>
      </w:rPr>
      <w:t>2</w:t>
    </w:r>
    <w:r w:rsidR="00432258">
      <w:rPr>
        <w:noProof/>
      </w:rPr>
      <w:fldChar w:fldCharType="end"/>
    </w:r>
  </w:p>
  <w:p w14:paraId="09422EB6" w14:textId="77777777" w:rsidR="00671B08" w:rsidRDefault="00432258" w:rsidP="00996627">
    <w:pPr>
      <w:pStyle w:val="BIK-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30C8" w14:textId="77777777" w:rsidR="00671B08" w:rsidRPr="00725618" w:rsidRDefault="00F73DD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0C38C53" wp14:editId="286C1C7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6bb4ff9b7fa036bf76d3b6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CDC156" w14:textId="009F472A" w:rsidR="00671B08" w:rsidRPr="00D5570D" w:rsidRDefault="00D5570D" w:rsidP="00D5570D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D5570D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38C53" id="_x0000_t202" coordsize="21600,21600" o:spt="202" path="m,l,21600r21600,l21600,xe">
              <v:stroke joinstyle="miter"/>
              <v:path gradientshapeok="t" o:connecttype="rect"/>
            </v:shapetype>
            <v:shape id="MSIPCMf6bb4ff9b7fa036bf76d3b66" o:spid="_x0000_s1028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OkGw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" o:allowincell="f" filled="f" stroked="f" strokeweight=".5pt">
              <v:textbox inset=",0,20pt,0">
                <w:txbxContent>
                  <w:p w14:paraId="2BCDC156" w14:textId="009F472A" w:rsidR="00671B08" w:rsidRPr="00D5570D" w:rsidRDefault="00D5570D" w:rsidP="00D5570D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D5570D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C0A90A" wp14:editId="4121EC07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B8AAC" w14:textId="77777777" w:rsidR="00671B08" w:rsidRPr="00456AF4" w:rsidRDefault="00F73DDA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23239093" w14:textId="77777777" w:rsidR="00671B08" w:rsidRPr="00334AB6" w:rsidRDefault="00F73DDA" w:rsidP="004C799A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334AB6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334AB6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C0A90A" id="_x0000_s1029" type="#_x0000_t202" style="position:absolute;margin-left:-6.75pt;margin-top:.15pt;width:36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kGEw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" stroked="f">
              <v:textbox style="mso-fit-shape-to-text:t">
                <w:txbxContent>
                  <w:p w14:paraId="0D9B8AAC" w14:textId="77777777" w:rsidR="00671B08" w:rsidRPr="00456AF4" w:rsidRDefault="00F73DDA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23239093" w14:textId="77777777" w:rsidR="00671B08" w:rsidRPr="00334AB6" w:rsidRDefault="00F73DDA" w:rsidP="004C799A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b/>
                        <w:bCs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334AB6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334AB6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725618">
      <w:t xml:space="preserve"> </w:t>
    </w:r>
  </w:p>
  <w:p w14:paraId="469E2E44" w14:textId="0CFEF0AA" w:rsidR="00671B08" w:rsidRPr="00943829" w:rsidRDefault="00F73DDA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CF553D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CF553D">
      <w:rPr>
        <w:noProof/>
      </w:rPr>
      <w:t>2</w:t>
    </w:r>
    <w:r>
      <w:rPr>
        <w:noProof/>
      </w:rPr>
      <w:fldChar w:fldCharType="end"/>
    </w:r>
  </w:p>
  <w:p w14:paraId="3D61B6BA" w14:textId="77777777" w:rsidR="00671B08" w:rsidRDefault="00432258" w:rsidP="00CC4824">
    <w:pPr>
      <w:pStyle w:val="BIK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3649" w14:textId="77777777" w:rsidR="00432258" w:rsidRDefault="00432258" w:rsidP="009460CC">
      <w:pPr>
        <w:spacing w:line="240" w:lineRule="auto"/>
      </w:pPr>
      <w:r>
        <w:separator/>
      </w:r>
    </w:p>
  </w:footnote>
  <w:footnote w:type="continuationSeparator" w:id="0">
    <w:p w14:paraId="28A17F16" w14:textId="77777777" w:rsidR="00432258" w:rsidRDefault="00432258" w:rsidP="00946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FA4" w14:textId="77777777" w:rsidR="00671B08" w:rsidRDefault="00432258"/>
  <w:p w14:paraId="7629D895" w14:textId="77777777" w:rsidR="00671B08" w:rsidRDefault="004322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5DAA" w14:textId="77777777" w:rsidR="00671B08" w:rsidRDefault="00F73DDA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687195" wp14:editId="2CDA60E2">
          <wp:simplePos x="0" y="0"/>
          <wp:positionH relativeFrom="column">
            <wp:posOffset>-438150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12332" w14:textId="77777777" w:rsidR="00671B08" w:rsidRDefault="00432258"/>
  <w:p w14:paraId="4B8FDFDF" w14:textId="77777777" w:rsidR="00671B08" w:rsidRDefault="00432258"/>
  <w:p w14:paraId="698C5C61" w14:textId="77777777" w:rsidR="00671B08" w:rsidRDefault="00432258"/>
  <w:p w14:paraId="48C0E46F" w14:textId="77777777" w:rsidR="00671B08" w:rsidRDefault="00432258" w:rsidP="00984334">
    <w:pPr>
      <w:ind w:firstLine="708"/>
    </w:pPr>
  </w:p>
  <w:p w14:paraId="2B083F15" w14:textId="77777777" w:rsidR="00671B08" w:rsidRDefault="004322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CC"/>
    <w:rsid w:val="00002D6A"/>
    <w:rsid w:val="000203F4"/>
    <w:rsid w:val="00030BBD"/>
    <w:rsid w:val="00031F34"/>
    <w:rsid w:val="0004534E"/>
    <w:rsid w:val="00051D0F"/>
    <w:rsid w:val="00052451"/>
    <w:rsid w:val="0005500D"/>
    <w:rsid w:val="000667F1"/>
    <w:rsid w:val="00072D58"/>
    <w:rsid w:val="000731B7"/>
    <w:rsid w:val="00073658"/>
    <w:rsid w:val="0008145D"/>
    <w:rsid w:val="00082787"/>
    <w:rsid w:val="000863F1"/>
    <w:rsid w:val="000969BB"/>
    <w:rsid w:val="000A3F5C"/>
    <w:rsid w:val="000B0378"/>
    <w:rsid w:val="000B3109"/>
    <w:rsid w:val="000B7223"/>
    <w:rsid w:val="000C7F42"/>
    <w:rsid w:val="000D04EF"/>
    <w:rsid w:val="000E187D"/>
    <w:rsid w:val="000F54BB"/>
    <w:rsid w:val="00107C29"/>
    <w:rsid w:val="001149CB"/>
    <w:rsid w:val="00120F79"/>
    <w:rsid w:val="001249DD"/>
    <w:rsid w:val="00127E45"/>
    <w:rsid w:val="00137E4D"/>
    <w:rsid w:val="00141EA6"/>
    <w:rsid w:val="00150BE5"/>
    <w:rsid w:val="001558DE"/>
    <w:rsid w:val="00156334"/>
    <w:rsid w:val="00165739"/>
    <w:rsid w:val="00166963"/>
    <w:rsid w:val="001752E4"/>
    <w:rsid w:val="00177B76"/>
    <w:rsid w:val="001831D1"/>
    <w:rsid w:val="001872EC"/>
    <w:rsid w:val="00191B10"/>
    <w:rsid w:val="001924F6"/>
    <w:rsid w:val="001A3FF2"/>
    <w:rsid w:val="001B18EB"/>
    <w:rsid w:val="001B4B70"/>
    <w:rsid w:val="001B7899"/>
    <w:rsid w:val="001D56E1"/>
    <w:rsid w:val="001E2D9C"/>
    <w:rsid w:val="001E75B5"/>
    <w:rsid w:val="001F1B66"/>
    <w:rsid w:val="001F497A"/>
    <w:rsid w:val="00204F78"/>
    <w:rsid w:val="002068FE"/>
    <w:rsid w:val="002104E9"/>
    <w:rsid w:val="00210E12"/>
    <w:rsid w:val="00216F96"/>
    <w:rsid w:val="00223D7A"/>
    <w:rsid w:val="00224D76"/>
    <w:rsid w:val="0023166C"/>
    <w:rsid w:val="002454BC"/>
    <w:rsid w:val="002459A9"/>
    <w:rsid w:val="00245DED"/>
    <w:rsid w:val="00247890"/>
    <w:rsid w:val="00252A32"/>
    <w:rsid w:val="00255EDB"/>
    <w:rsid w:val="002579C6"/>
    <w:rsid w:val="00261E19"/>
    <w:rsid w:val="002625F1"/>
    <w:rsid w:val="002636FD"/>
    <w:rsid w:val="00267398"/>
    <w:rsid w:val="00275E5D"/>
    <w:rsid w:val="002844DB"/>
    <w:rsid w:val="00294DEC"/>
    <w:rsid w:val="00296E51"/>
    <w:rsid w:val="002A0646"/>
    <w:rsid w:val="002A293F"/>
    <w:rsid w:val="002B20DD"/>
    <w:rsid w:val="002B600E"/>
    <w:rsid w:val="002B6854"/>
    <w:rsid w:val="002C234E"/>
    <w:rsid w:val="002D4F0E"/>
    <w:rsid w:val="002D56F0"/>
    <w:rsid w:val="003004A2"/>
    <w:rsid w:val="003062B7"/>
    <w:rsid w:val="00314451"/>
    <w:rsid w:val="00324856"/>
    <w:rsid w:val="00327A8D"/>
    <w:rsid w:val="003307AA"/>
    <w:rsid w:val="00334B91"/>
    <w:rsid w:val="0034223C"/>
    <w:rsid w:val="00344085"/>
    <w:rsid w:val="003447F6"/>
    <w:rsid w:val="0034752F"/>
    <w:rsid w:val="00352B49"/>
    <w:rsid w:val="00354001"/>
    <w:rsid w:val="00355EA7"/>
    <w:rsid w:val="00355EBC"/>
    <w:rsid w:val="003606BE"/>
    <w:rsid w:val="00366654"/>
    <w:rsid w:val="00374356"/>
    <w:rsid w:val="003761E5"/>
    <w:rsid w:val="00382693"/>
    <w:rsid w:val="0039247B"/>
    <w:rsid w:val="00392E41"/>
    <w:rsid w:val="003943D5"/>
    <w:rsid w:val="0039539E"/>
    <w:rsid w:val="003958D4"/>
    <w:rsid w:val="003A1D9B"/>
    <w:rsid w:val="003B67AE"/>
    <w:rsid w:val="003B74FF"/>
    <w:rsid w:val="003C1351"/>
    <w:rsid w:val="003C53E9"/>
    <w:rsid w:val="003C56BB"/>
    <w:rsid w:val="003D4DF5"/>
    <w:rsid w:val="003E4B87"/>
    <w:rsid w:val="003E66E4"/>
    <w:rsid w:val="00402E66"/>
    <w:rsid w:val="00403AD3"/>
    <w:rsid w:val="004100AF"/>
    <w:rsid w:val="00420C55"/>
    <w:rsid w:val="0042721E"/>
    <w:rsid w:val="00432258"/>
    <w:rsid w:val="0043684E"/>
    <w:rsid w:val="0045115A"/>
    <w:rsid w:val="004558A7"/>
    <w:rsid w:val="00457121"/>
    <w:rsid w:val="00461F16"/>
    <w:rsid w:val="00462F43"/>
    <w:rsid w:val="00470A67"/>
    <w:rsid w:val="004740D9"/>
    <w:rsid w:val="004743A9"/>
    <w:rsid w:val="00491766"/>
    <w:rsid w:val="00492F04"/>
    <w:rsid w:val="0049712D"/>
    <w:rsid w:val="004A1053"/>
    <w:rsid w:val="004B1035"/>
    <w:rsid w:val="004B1395"/>
    <w:rsid w:val="004B4F28"/>
    <w:rsid w:val="004C54BC"/>
    <w:rsid w:val="004D09A2"/>
    <w:rsid w:val="004E144A"/>
    <w:rsid w:val="004E3BCC"/>
    <w:rsid w:val="004E6A27"/>
    <w:rsid w:val="005024C0"/>
    <w:rsid w:val="005038E9"/>
    <w:rsid w:val="00503FBF"/>
    <w:rsid w:val="00506CF3"/>
    <w:rsid w:val="0051246A"/>
    <w:rsid w:val="005169A9"/>
    <w:rsid w:val="00533DF9"/>
    <w:rsid w:val="00547333"/>
    <w:rsid w:val="00547DC3"/>
    <w:rsid w:val="00561C52"/>
    <w:rsid w:val="00575291"/>
    <w:rsid w:val="005758E5"/>
    <w:rsid w:val="005758FB"/>
    <w:rsid w:val="00583942"/>
    <w:rsid w:val="00586733"/>
    <w:rsid w:val="00587787"/>
    <w:rsid w:val="00590A2E"/>
    <w:rsid w:val="00597220"/>
    <w:rsid w:val="005A195A"/>
    <w:rsid w:val="005A7C2D"/>
    <w:rsid w:val="005B0E25"/>
    <w:rsid w:val="005B1DAD"/>
    <w:rsid w:val="005B6FE7"/>
    <w:rsid w:val="005C71D8"/>
    <w:rsid w:val="005D3979"/>
    <w:rsid w:val="005D414C"/>
    <w:rsid w:val="005D63E7"/>
    <w:rsid w:val="005E1971"/>
    <w:rsid w:val="005E1ABA"/>
    <w:rsid w:val="005E2CD1"/>
    <w:rsid w:val="005E6B7E"/>
    <w:rsid w:val="005F316A"/>
    <w:rsid w:val="005F63E7"/>
    <w:rsid w:val="005F6EE7"/>
    <w:rsid w:val="006001DA"/>
    <w:rsid w:val="00600552"/>
    <w:rsid w:val="00605451"/>
    <w:rsid w:val="006068A6"/>
    <w:rsid w:val="006263B6"/>
    <w:rsid w:val="00634245"/>
    <w:rsid w:val="00636713"/>
    <w:rsid w:val="006445C5"/>
    <w:rsid w:val="00645006"/>
    <w:rsid w:val="00653B69"/>
    <w:rsid w:val="00653F17"/>
    <w:rsid w:val="0065611D"/>
    <w:rsid w:val="00663EF2"/>
    <w:rsid w:val="00667151"/>
    <w:rsid w:val="00677CF3"/>
    <w:rsid w:val="00692D3B"/>
    <w:rsid w:val="006974A3"/>
    <w:rsid w:val="006A0C3D"/>
    <w:rsid w:val="006A16AE"/>
    <w:rsid w:val="006A1B32"/>
    <w:rsid w:val="006A7649"/>
    <w:rsid w:val="006B3048"/>
    <w:rsid w:val="006C1A7D"/>
    <w:rsid w:val="006C45A5"/>
    <w:rsid w:val="006C7636"/>
    <w:rsid w:val="006D4A0B"/>
    <w:rsid w:val="006D6FDD"/>
    <w:rsid w:val="006D7A33"/>
    <w:rsid w:val="006F651F"/>
    <w:rsid w:val="007056C1"/>
    <w:rsid w:val="007149C3"/>
    <w:rsid w:val="00714B2F"/>
    <w:rsid w:val="0071617E"/>
    <w:rsid w:val="007167F2"/>
    <w:rsid w:val="00716EAC"/>
    <w:rsid w:val="00717E05"/>
    <w:rsid w:val="00721386"/>
    <w:rsid w:val="00725387"/>
    <w:rsid w:val="007276F1"/>
    <w:rsid w:val="00732171"/>
    <w:rsid w:val="00735889"/>
    <w:rsid w:val="007454CF"/>
    <w:rsid w:val="0074672A"/>
    <w:rsid w:val="0075001E"/>
    <w:rsid w:val="007530D0"/>
    <w:rsid w:val="007549AA"/>
    <w:rsid w:val="00754C22"/>
    <w:rsid w:val="007605C6"/>
    <w:rsid w:val="0076113E"/>
    <w:rsid w:val="007678F7"/>
    <w:rsid w:val="00777197"/>
    <w:rsid w:val="007814B0"/>
    <w:rsid w:val="007817CE"/>
    <w:rsid w:val="007843B3"/>
    <w:rsid w:val="00784CCA"/>
    <w:rsid w:val="00786106"/>
    <w:rsid w:val="00786935"/>
    <w:rsid w:val="00792392"/>
    <w:rsid w:val="00792741"/>
    <w:rsid w:val="0079658D"/>
    <w:rsid w:val="0079661B"/>
    <w:rsid w:val="007A5A96"/>
    <w:rsid w:val="007B2CBA"/>
    <w:rsid w:val="007B3396"/>
    <w:rsid w:val="007B4D4B"/>
    <w:rsid w:val="007B5ADA"/>
    <w:rsid w:val="007B7181"/>
    <w:rsid w:val="007C4F3C"/>
    <w:rsid w:val="007D2691"/>
    <w:rsid w:val="007D3D91"/>
    <w:rsid w:val="007D492B"/>
    <w:rsid w:val="007E3A82"/>
    <w:rsid w:val="007E657B"/>
    <w:rsid w:val="007E7590"/>
    <w:rsid w:val="007F1CB0"/>
    <w:rsid w:val="007F2003"/>
    <w:rsid w:val="007F49DD"/>
    <w:rsid w:val="007F5A92"/>
    <w:rsid w:val="00804EF5"/>
    <w:rsid w:val="008221D2"/>
    <w:rsid w:val="00822B50"/>
    <w:rsid w:val="00824C38"/>
    <w:rsid w:val="00825917"/>
    <w:rsid w:val="008555D2"/>
    <w:rsid w:val="00855D68"/>
    <w:rsid w:val="008578FE"/>
    <w:rsid w:val="00864694"/>
    <w:rsid w:val="008647AE"/>
    <w:rsid w:val="008671E8"/>
    <w:rsid w:val="00874A05"/>
    <w:rsid w:val="008750C9"/>
    <w:rsid w:val="008772EF"/>
    <w:rsid w:val="00881C3F"/>
    <w:rsid w:val="00891ECB"/>
    <w:rsid w:val="008920A7"/>
    <w:rsid w:val="008A7DA6"/>
    <w:rsid w:val="008A7FE1"/>
    <w:rsid w:val="008B038E"/>
    <w:rsid w:val="008B1EEC"/>
    <w:rsid w:val="008B64C5"/>
    <w:rsid w:val="008D2D4B"/>
    <w:rsid w:val="008D5594"/>
    <w:rsid w:val="008E0DCA"/>
    <w:rsid w:val="008E7514"/>
    <w:rsid w:val="008F0507"/>
    <w:rsid w:val="008F49C1"/>
    <w:rsid w:val="009069B9"/>
    <w:rsid w:val="00910FFD"/>
    <w:rsid w:val="00921443"/>
    <w:rsid w:val="00922641"/>
    <w:rsid w:val="00923422"/>
    <w:rsid w:val="00936097"/>
    <w:rsid w:val="009460CC"/>
    <w:rsid w:val="00963B47"/>
    <w:rsid w:val="00976DB7"/>
    <w:rsid w:val="009774ED"/>
    <w:rsid w:val="009776DE"/>
    <w:rsid w:val="0099145C"/>
    <w:rsid w:val="00991BAA"/>
    <w:rsid w:val="00996646"/>
    <w:rsid w:val="0099682C"/>
    <w:rsid w:val="00996DE2"/>
    <w:rsid w:val="009A7CFD"/>
    <w:rsid w:val="009B09CE"/>
    <w:rsid w:val="009B36D4"/>
    <w:rsid w:val="009B4CBD"/>
    <w:rsid w:val="009C4381"/>
    <w:rsid w:val="009D184A"/>
    <w:rsid w:val="009D5E7F"/>
    <w:rsid w:val="009F26D8"/>
    <w:rsid w:val="009F4E5A"/>
    <w:rsid w:val="009F5169"/>
    <w:rsid w:val="00A023BD"/>
    <w:rsid w:val="00A0726C"/>
    <w:rsid w:val="00A13505"/>
    <w:rsid w:val="00A21CE3"/>
    <w:rsid w:val="00A22CD1"/>
    <w:rsid w:val="00A22D79"/>
    <w:rsid w:val="00A27697"/>
    <w:rsid w:val="00A35645"/>
    <w:rsid w:val="00A42712"/>
    <w:rsid w:val="00A5186B"/>
    <w:rsid w:val="00A52079"/>
    <w:rsid w:val="00A55AF8"/>
    <w:rsid w:val="00A60633"/>
    <w:rsid w:val="00A6185F"/>
    <w:rsid w:val="00A63755"/>
    <w:rsid w:val="00A91618"/>
    <w:rsid w:val="00A93183"/>
    <w:rsid w:val="00AA2290"/>
    <w:rsid w:val="00AB007E"/>
    <w:rsid w:val="00AB097A"/>
    <w:rsid w:val="00AB6777"/>
    <w:rsid w:val="00AB6B5F"/>
    <w:rsid w:val="00AC02BE"/>
    <w:rsid w:val="00AC378E"/>
    <w:rsid w:val="00AC58AB"/>
    <w:rsid w:val="00AC72EB"/>
    <w:rsid w:val="00AD3D51"/>
    <w:rsid w:val="00AD3FAD"/>
    <w:rsid w:val="00AD5E56"/>
    <w:rsid w:val="00AE1B5B"/>
    <w:rsid w:val="00AE651A"/>
    <w:rsid w:val="00AF182C"/>
    <w:rsid w:val="00B04069"/>
    <w:rsid w:val="00B12ED0"/>
    <w:rsid w:val="00B20F9F"/>
    <w:rsid w:val="00B271BE"/>
    <w:rsid w:val="00B3070E"/>
    <w:rsid w:val="00B40FD2"/>
    <w:rsid w:val="00B4599E"/>
    <w:rsid w:val="00B47300"/>
    <w:rsid w:val="00B506B9"/>
    <w:rsid w:val="00B52F12"/>
    <w:rsid w:val="00B566B0"/>
    <w:rsid w:val="00B56CC1"/>
    <w:rsid w:val="00B6324F"/>
    <w:rsid w:val="00B63D2E"/>
    <w:rsid w:val="00B65EB8"/>
    <w:rsid w:val="00B711E5"/>
    <w:rsid w:val="00B72354"/>
    <w:rsid w:val="00B7355A"/>
    <w:rsid w:val="00B7681E"/>
    <w:rsid w:val="00B820B9"/>
    <w:rsid w:val="00B93895"/>
    <w:rsid w:val="00B942D1"/>
    <w:rsid w:val="00BA0BAE"/>
    <w:rsid w:val="00BB4A9C"/>
    <w:rsid w:val="00BB5107"/>
    <w:rsid w:val="00BB6FE3"/>
    <w:rsid w:val="00BC76D6"/>
    <w:rsid w:val="00BD455E"/>
    <w:rsid w:val="00BD7EEA"/>
    <w:rsid w:val="00BE04F3"/>
    <w:rsid w:val="00BE6EEB"/>
    <w:rsid w:val="00BE7F84"/>
    <w:rsid w:val="00BF0C6B"/>
    <w:rsid w:val="00BF6E0B"/>
    <w:rsid w:val="00C05DB1"/>
    <w:rsid w:val="00C14D3D"/>
    <w:rsid w:val="00C22C27"/>
    <w:rsid w:val="00C2728B"/>
    <w:rsid w:val="00C40AC2"/>
    <w:rsid w:val="00C4151E"/>
    <w:rsid w:val="00C43202"/>
    <w:rsid w:val="00C45BC8"/>
    <w:rsid w:val="00C56657"/>
    <w:rsid w:val="00C5715B"/>
    <w:rsid w:val="00C713AD"/>
    <w:rsid w:val="00C71C38"/>
    <w:rsid w:val="00C739C9"/>
    <w:rsid w:val="00C85DFB"/>
    <w:rsid w:val="00C8643C"/>
    <w:rsid w:val="00C878E9"/>
    <w:rsid w:val="00C93D0D"/>
    <w:rsid w:val="00C94260"/>
    <w:rsid w:val="00CA6FA0"/>
    <w:rsid w:val="00CB230D"/>
    <w:rsid w:val="00CB5483"/>
    <w:rsid w:val="00CB756F"/>
    <w:rsid w:val="00CD246F"/>
    <w:rsid w:val="00CD5CE4"/>
    <w:rsid w:val="00CE197D"/>
    <w:rsid w:val="00CE1A5D"/>
    <w:rsid w:val="00CE21FC"/>
    <w:rsid w:val="00CE5297"/>
    <w:rsid w:val="00CE561F"/>
    <w:rsid w:val="00CE625D"/>
    <w:rsid w:val="00CF4A74"/>
    <w:rsid w:val="00CF553D"/>
    <w:rsid w:val="00D131AF"/>
    <w:rsid w:val="00D13719"/>
    <w:rsid w:val="00D140F4"/>
    <w:rsid w:val="00D146D4"/>
    <w:rsid w:val="00D17163"/>
    <w:rsid w:val="00D37204"/>
    <w:rsid w:val="00D45D7F"/>
    <w:rsid w:val="00D5539D"/>
    <w:rsid w:val="00D5570D"/>
    <w:rsid w:val="00D60C4D"/>
    <w:rsid w:val="00D64438"/>
    <w:rsid w:val="00D67A13"/>
    <w:rsid w:val="00D74DBD"/>
    <w:rsid w:val="00D77ED9"/>
    <w:rsid w:val="00D80FB9"/>
    <w:rsid w:val="00D83799"/>
    <w:rsid w:val="00D92147"/>
    <w:rsid w:val="00D94D9B"/>
    <w:rsid w:val="00D96619"/>
    <w:rsid w:val="00D9722D"/>
    <w:rsid w:val="00DA45B3"/>
    <w:rsid w:val="00DA6D64"/>
    <w:rsid w:val="00DB0096"/>
    <w:rsid w:val="00DB0130"/>
    <w:rsid w:val="00DB1E54"/>
    <w:rsid w:val="00DB31B5"/>
    <w:rsid w:val="00DB68CC"/>
    <w:rsid w:val="00DC661C"/>
    <w:rsid w:val="00DD76C0"/>
    <w:rsid w:val="00DD7814"/>
    <w:rsid w:val="00DE56A5"/>
    <w:rsid w:val="00DF1683"/>
    <w:rsid w:val="00E05B4B"/>
    <w:rsid w:val="00E0617A"/>
    <w:rsid w:val="00E16A5F"/>
    <w:rsid w:val="00E30512"/>
    <w:rsid w:val="00E3435C"/>
    <w:rsid w:val="00E3748B"/>
    <w:rsid w:val="00E4141A"/>
    <w:rsid w:val="00E43497"/>
    <w:rsid w:val="00E472DE"/>
    <w:rsid w:val="00E530DE"/>
    <w:rsid w:val="00E5655B"/>
    <w:rsid w:val="00E70B78"/>
    <w:rsid w:val="00E71C4C"/>
    <w:rsid w:val="00E73A83"/>
    <w:rsid w:val="00E7522A"/>
    <w:rsid w:val="00E81926"/>
    <w:rsid w:val="00E86520"/>
    <w:rsid w:val="00E906CE"/>
    <w:rsid w:val="00E91277"/>
    <w:rsid w:val="00EA6BED"/>
    <w:rsid w:val="00EB1004"/>
    <w:rsid w:val="00EB433A"/>
    <w:rsid w:val="00EB532F"/>
    <w:rsid w:val="00EB5B0D"/>
    <w:rsid w:val="00EC5BD8"/>
    <w:rsid w:val="00EE2D19"/>
    <w:rsid w:val="00EE6F59"/>
    <w:rsid w:val="00EF0840"/>
    <w:rsid w:val="00F04728"/>
    <w:rsid w:val="00F0694C"/>
    <w:rsid w:val="00F12A44"/>
    <w:rsid w:val="00F145A9"/>
    <w:rsid w:val="00F15418"/>
    <w:rsid w:val="00F26947"/>
    <w:rsid w:val="00F35A63"/>
    <w:rsid w:val="00F4487D"/>
    <w:rsid w:val="00F45519"/>
    <w:rsid w:val="00F457F4"/>
    <w:rsid w:val="00F55782"/>
    <w:rsid w:val="00F570A8"/>
    <w:rsid w:val="00F64D7B"/>
    <w:rsid w:val="00F66110"/>
    <w:rsid w:val="00F67C7B"/>
    <w:rsid w:val="00F73DDA"/>
    <w:rsid w:val="00F85C5E"/>
    <w:rsid w:val="00F872DB"/>
    <w:rsid w:val="00F90C29"/>
    <w:rsid w:val="00F95C0F"/>
    <w:rsid w:val="00FA253A"/>
    <w:rsid w:val="00FA36D6"/>
    <w:rsid w:val="00FA514E"/>
    <w:rsid w:val="00FB4C4C"/>
    <w:rsid w:val="00FC4410"/>
    <w:rsid w:val="00FD0656"/>
    <w:rsid w:val="00FD4B17"/>
    <w:rsid w:val="00FD5255"/>
    <w:rsid w:val="00FD61EF"/>
    <w:rsid w:val="00FE2427"/>
    <w:rsid w:val="00FE4193"/>
    <w:rsid w:val="00FE5723"/>
    <w:rsid w:val="00FE7478"/>
    <w:rsid w:val="00FF11B4"/>
    <w:rsid w:val="00FF200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4B6F"/>
  <w15:chartTrackingRefBased/>
  <w15:docId w15:val="{939AFCC4-372E-4850-AF19-D76317B5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CC"/>
    <w:pPr>
      <w:spacing w:after="0" w:line="300" w:lineRule="exact"/>
    </w:pPr>
    <w:rPr>
      <w:color w:val="16161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K-Stopka">
    <w:name w:val="BIK - Stopka"/>
    <w:basedOn w:val="Normalny"/>
    <w:autoRedefine/>
    <w:qFormat/>
    <w:rsid w:val="009460CC"/>
    <w:pPr>
      <w:widowControl w:val="0"/>
      <w:spacing w:line="220" w:lineRule="exact"/>
      <w:contextualSpacing/>
    </w:pPr>
    <w:rPr>
      <w:noProof/>
      <w:color w:val="9E9E9E"/>
      <w:sz w:val="16"/>
    </w:rPr>
  </w:style>
  <w:style w:type="paragraph" w:customStyle="1" w:styleId="BIK-Pagina">
    <w:name w:val="BIK - Pagina"/>
    <w:basedOn w:val="Normalny"/>
    <w:autoRedefine/>
    <w:qFormat/>
    <w:rsid w:val="009460CC"/>
    <w:pPr>
      <w:widowControl w:val="0"/>
      <w:jc w:val="right"/>
    </w:pPr>
    <w:rPr>
      <w:color w:val="44546A" w:themeColor="text2"/>
    </w:rPr>
  </w:style>
  <w:style w:type="paragraph" w:customStyle="1" w:styleId="StylStBIKsubowagwka">
    <w:name w:val="Styl StBIK służbowa główka"/>
    <w:basedOn w:val="Normalny"/>
    <w:link w:val="StylStBIKsubowagwkaZnak"/>
    <w:rsid w:val="009460CC"/>
    <w:pPr>
      <w:keepLines/>
      <w:spacing w:line="415" w:lineRule="atLeast"/>
    </w:pPr>
    <w:rPr>
      <w:rFonts w:eastAsia="Times New Roman" w:cs="Times New Roman"/>
      <w:b/>
      <w:color w:val="auto"/>
      <w:spacing w:val="-5"/>
      <w:sz w:val="24"/>
      <w:szCs w:val="20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9460CC"/>
    <w:rPr>
      <w:rFonts w:eastAsia="Times New Roman" w:cs="Times New Roman"/>
      <w:b/>
      <w:spacing w:val="-5"/>
      <w:sz w:val="24"/>
      <w:szCs w:val="20"/>
    </w:rPr>
  </w:style>
  <w:style w:type="character" w:styleId="Hipercze">
    <w:name w:val="Hyperlink"/>
    <w:rsid w:val="009460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60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0CC"/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6B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6B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6BB"/>
    <w:rPr>
      <w:b/>
      <w:bCs/>
      <w:color w:val="16161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BB"/>
    <w:rPr>
      <w:rFonts w:ascii="Segoe UI" w:hAnsi="Segoe UI" w:cs="Segoe UI"/>
      <w:color w:val="161616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1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1D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45A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8FE"/>
    <w:rPr>
      <w:b/>
      <w:bCs/>
    </w:rPr>
  </w:style>
  <w:style w:type="paragraph" w:styleId="Poprawka">
    <w:name w:val="Revision"/>
    <w:hidden/>
    <w:uiPriority w:val="99"/>
    <w:semiHidden/>
    <w:rsid w:val="009F5169"/>
    <w:pPr>
      <w:spacing w:after="0" w:line="240" w:lineRule="auto"/>
    </w:pPr>
    <w:rPr>
      <w:color w:val="16161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diana.borowiecka@big.p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lina.kochalska@bi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i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Wpływ inflacji,</a:t>
            </a:r>
            <a:r>
              <a:rPr lang="pl-PL" sz="1200" b="1" baseline="0"/>
              <a:t> wojny i pandemii na podejście do wydatków </a:t>
            </a:r>
          </a:p>
          <a:p>
            <a:pPr>
              <a:defRPr sz="1200" b="1"/>
            </a:pPr>
            <a:r>
              <a:rPr lang="pl-PL" sz="1000" b="1" baseline="0"/>
              <a:t>- odpowiedzi osób, których dotyczą poniższe kwestie</a:t>
            </a:r>
            <a:endParaRPr lang="pl-PL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Arkusz3!$B$1</c:f>
              <c:strCache>
                <c:ptCount val="1"/>
                <c:pt idx="0">
                  <c:v>Wydam mniej na ten cel – będę korzystać rzadziej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Arkusz3!$A$2:$A$15</c:f>
              <c:strCache>
                <c:ptCount val="14"/>
                <c:pt idx="0">
                  <c:v>Wydatki na zwierzęta domowe </c:v>
                </c:pt>
                <c:pt idx="1">
                  <c:v>Usługi medyczne</c:v>
                </c:pt>
                <c:pt idx="2">
                  <c:v>Zdrowe odżywianie/ produkty spożywcze</c:v>
                </c:pt>
                <c:pt idx="3">
                  <c:v>Akcje pomocowe</c:v>
                </c:pt>
                <c:pt idx="4">
                  <c:v>Fryzjer/kosmetyczka</c:v>
                </c:pt>
                <c:pt idx="5">
                  <c:v>Odzież/obuwie</c:v>
                </c:pt>
                <c:pt idx="6">
                  <c:v>Krótkie wyjazdy</c:v>
                </c:pt>
                <c:pt idx="7">
                  <c:v>Płatne platformy streamingowe</c:v>
                </c:pt>
                <c:pt idx="8">
                  <c:v>Używki (alkohol, papierosy itp.)</c:v>
                </c:pt>
                <c:pt idx="9">
                  <c:v>Książki/ czasopisma </c:v>
                </c:pt>
                <c:pt idx="10">
                  <c:v>Siłowania/zajęcia/hobby sportowe</c:v>
                </c:pt>
                <c:pt idx="11">
                  <c:v>Wyposażenie wnętrz, remonty, ogród</c:v>
                </c:pt>
                <c:pt idx="12">
                  <c:v>Restauracje/kawiarnie, jedzenie na mieście</c:v>
                </c:pt>
                <c:pt idx="13">
                  <c:v>Rozrywka: teatr, kino, koncerty</c:v>
                </c:pt>
              </c:strCache>
            </c:strRef>
          </c:cat>
          <c:val>
            <c:numRef>
              <c:f>Arkusz3!$B$2:$B$15</c:f>
              <c:numCache>
                <c:formatCode>0%</c:formatCode>
                <c:ptCount val="14"/>
                <c:pt idx="0">
                  <c:v>0.17</c:v>
                </c:pt>
                <c:pt idx="1">
                  <c:v>0.23</c:v>
                </c:pt>
                <c:pt idx="2">
                  <c:v>0.26</c:v>
                </c:pt>
                <c:pt idx="3">
                  <c:v>0.37</c:v>
                </c:pt>
                <c:pt idx="4">
                  <c:v>0.38</c:v>
                </c:pt>
                <c:pt idx="5">
                  <c:v>0.39</c:v>
                </c:pt>
                <c:pt idx="6">
                  <c:v>0.42</c:v>
                </c:pt>
                <c:pt idx="7">
                  <c:v>0.42</c:v>
                </c:pt>
                <c:pt idx="8">
                  <c:v>0.46</c:v>
                </c:pt>
                <c:pt idx="9">
                  <c:v>0.47</c:v>
                </c:pt>
                <c:pt idx="10">
                  <c:v>0.49</c:v>
                </c:pt>
                <c:pt idx="11">
                  <c:v>0.5</c:v>
                </c:pt>
                <c:pt idx="12">
                  <c:v>0.54</c:v>
                </c:pt>
                <c:pt idx="13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9-4D0E-A968-A49F491A86B9}"/>
            </c:ext>
          </c:extLst>
        </c:ser>
        <c:ser>
          <c:idx val="1"/>
          <c:order val="1"/>
          <c:tx>
            <c:strRef>
              <c:f>Arkusz3!$C$1</c:f>
              <c:strCache>
                <c:ptCount val="1"/>
                <c:pt idx="0">
                  <c:v>Wydam tyle samo – będę korzystać w takim samym stopniu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Arkusz3!$A$2:$A$15</c:f>
              <c:strCache>
                <c:ptCount val="14"/>
                <c:pt idx="0">
                  <c:v>Wydatki na zwierzęta domowe </c:v>
                </c:pt>
                <c:pt idx="1">
                  <c:v>Usługi medyczne</c:v>
                </c:pt>
                <c:pt idx="2">
                  <c:v>Zdrowe odżywianie/ produkty spożywcze</c:v>
                </c:pt>
                <c:pt idx="3">
                  <c:v>Akcje pomocowe</c:v>
                </c:pt>
                <c:pt idx="4">
                  <c:v>Fryzjer/kosmetyczka</c:v>
                </c:pt>
                <c:pt idx="5">
                  <c:v>Odzież/obuwie</c:v>
                </c:pt>
                <c:pt idx="6">
                  <c:v>Krótkie wyjazdy</c:v>
                </c:pt>
                <c:pt idx="7">
                  <c:v>Płatne platformy streamingowe</c:v>
                </c:pt>
                <c:pt idx="8">
                  <c:v>Używki (alkohol, papierosy itp.)</c:v>
                </c:pt>
                <c:pt idx="9">
                  <c:v>Książki/ czasopisma </c:v>
                </c:pt>
                <c:pt idx="10">
                  <c:v>Siłowania/zajęcia/hobby sportowe</c:v>
                </c:pt>
                <c:pt idx="11">
                  <c:v>Wyposażenie wnętrz, remonty, ogród</c:v>
                </c:pt>
                <c:pt idx="12">
                  <c:v>Restauracje/kawiarnie, jedzenie na mieście</c:v>
                </c:pt>
                <c:pt idx="13">
                  <c:v>Rozrywka: teatr, kino, koncerty</c:v>
                </c:pt>
              </c:strCache>
            </c:strRef>
          </c:cat>
          <c:val>
            <c:numRef>
              <c:f>Arkusz3!$C$2:$C$15</c:f>
              <c:numCache>
                <c:formatCode>0%</c:formatCode>
                <c:ptCount val="14"/>
                <c:pt idx="0">
                  <c:v>0.71</c:v>
                </c:pt>
                <c:pt idx="1">
                  <c:v>0.64</c:v>
                </c:pt>
                <c:pt idx="2">
                  <c:v>0.59</c:v>
                </c:pt>
                <c:pt idx="3">
                  <c:v>0.47</c:v>
                </c:pt>
                <c:pt idx="4">
                  <c:v>0.53</c:v>
                </c:pt>
                <c:pt idx="5">
                  <c:v>0.51</c:v>
                </c:pt>
                <c:pt idx="6">
                  <c:v>0.47</c:v>
                </c:pt>
                <c:pt idx="7">
                  <c:v>0.48</c:v>
                </c:pt>
                <c:pt idx="8">
                  <c:v>0.45</c:v>
                </c:pt>
                <c:pt idx="9">
                  <c:v>0.47</c:v>
                </c:pt>
                <c:pt idx="10">
                  <c:v>0.43</c:v>
                </c:pt>
                <c:pt idx="11">
                  <c:v>0.39</c:v>
                </c:pt>
                <c:pt idx="12">
                  <c:v>0.37</c:v>
                </c:pt>
                <c:pt idx="13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59-4D0E-A968-A49F491A86B9}"/>
            </c:ext>
          </c:extLst>
        </c:ser>
        <c:ser>
          <c:idx val="2"/>
          <c:order val="2"/>
          <c:tx>
            <c:strRef>
              <c:f>Arkusz3!$D$1</c:f>
              <c:strCache>
                <c:ptCount val="1"/>
                <c:pt idx="0">
                  <c:v>Wydam więcej na ten cel – będę korzystać częściej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Arkusz3!$A$2:$A$15</c:f>
              <c:strCache>
                <c:ptCount val="14"/>
                <c:pt idx="0">
                  <c:v>Wydatki na zwierzęta domowe </c:v>
                </c:pt>
                <c:pt idx="1">
                  <c:v>Usługi medyczne</c:v>
                </c:pt>
                <c:pt idx="2">
                  <c:v>Zdrowe odżywianie/ produkty spożywcze</c:v>
                </c:pt>
                <c:pt idx="3">
                  <c:v>Akcje pomocowe</c:v>
                </c:pt>
                <c:pt idx="4">
                  <c:v>Fryzjer/kosmetyczka</c:v>
                </c:pt>
                <c:pt idx="5">
                  <c:v>Odzież/obuwie</c:v>
                </c:pt>
                <c:pt idx="6">
                  <c:v>Krótkie wyjazdy</c:v>
                </c:pt>
                <c:pt idx="7">
                  <c:v>Płatne platformy streamingowe</c:v>
                </c:pt>
                <c:pt idx="8">
                  <c:v>Używki (alkohol, papierosy itp.)</c:v>
                </c:pt>
                <c:pt idx="9">
                  <c:v>Książki/ czasopisma </c:v>
                </c:pt>
                <c:pt idx="10">
                  <c:v>Siłowania/zajęcia/hobby sportowe</c:v>
                </c:pt>
                <c:pt idx="11">
                  <c:v>Wyposażenie wnętrz, remonty, ogród</c:v>
                </c:pt>
                <c:pt idx="12">
                  <c:v>Restauracje/kawiarnie, jedzenie na mieście</c:v>
                </c:pt>
                <c:pt idx="13">
                  <c:v>Rozrywka: teatr, kino, koncerty</c:v>
                </c:pt>
              </c:strCache>
            </c:strRef>
          </c:cat>
          <c:val>
            <c:numRef>
              <c:f>Arkusz3!$D$2:$D$15</c:f>
              <c:numCache>
                <c:formatCode>0%</c:formatCode>
                <c:ptCount val="14"/>
                <c:pt idx="0">
                  <c:v>0.12</c:v>
                </c:pt>
                <c:pt idx="1">
                  <c:v>0.13</c:v>
                </c:pt>
                <c:pt idx="2">
                  <c:v>0.15</c:v>
                </c:pt>
                <c:pt idx="3">
                  <c:v>0.16</c:v>
                </c:pt>
                <c:pt idx="4">
                  <c:v>0.09</c:v>
                </c:pt>
                <c:pt idx="5">
                  <c:v>0.1</c:v>
                </c:pt>
                <c:pt idx="6">
                  <c:v>0.11</c:v>
                </c:pt>
                <c:pt idx="7">
                  <c:v>0.1</c:v>
                </c:pt>
                <c:pt idx="8">
                  <c:v>0.09</c:v>
                </c:pt>
                <c:pt idx="9">
                  <c:v>0.06</c:v>
                </c:pt>
                <c:pt idx="10">
                  <c:v>0.08</c:v>
                </c:pt>
                <c:pt idx="11">
                  <c:v>0.11</c:v>
                </c:pt>
                <c:pt idx="12">
                  <c:v>0.09</c:v>
                </c:pt>
                <c:pt idx="1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59-4D0E-A968-A49F491A86B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4362079"/>
        <c:axId val="104362495"/>
      </c:barChart>
      <c:catAx>
        <c:axId val="104362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362495"/>
        <c:crosses val="autoZero"/>
        <c:auto val="1"/>
        <c:lblAlgn val="ctr"/>
        <c:lblOffset val="100"/>
        <c:noMultiLvlLbl val="0"/>
      </c:catAx>
      <c:valAx>
        <c:axId val="104362495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04362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Odsetek</a:t>
            </a:r>
            <a:r>
              <a:rPr lang="pl-PL" sz="1200" b="1" baseline="0"/>
              <a:t> Polaków odczuwających wzrost wydatków w ostatnich miesiącach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Arkusz2!$B$2:$B$6</c:f>
              <c:numCache>
                <c:formatCode>###0%</c:formatCode>
                <c:ptCount val="5"/>
                <c:pt idx="0">
                  <c:v>0.57999999999999996</c:v>
                </c:pt>
                <c:pt idx="1">
                  <c:v>0.28999999999999998</c:v>
                </c:pt>
                <c:pt idx="2">
                  <c:v>7.0000000000000007E-2</c:v>
                </c:pt>
                <c:pt idx="3">
                  <c:v>0.01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0-482A-8A80-2FE02B9B38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3466607"/>
        <c:axId val="73467023"/>
      </c:barChart>
      <c:catAx>
        <c:axId val="73466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467023"/>
        <c:crosses val="autoZero"/>
        <c:auto val="1"/>
        <c:lblAlgn val="ctr"/>
        <c:lblOffset val="100"/>
        <c:noMultiLvlLbl val="0"/>
      </c:catAx>
      <c:valAx>
        <c:axId val="73467023"/>
        <c:scaling>
          <c:orientation val="minMax"/>
        </c:scaling>
        <c:delete val="1"/>
        <c:axPos val="l"/>
        <c:numFmt formatCode="###0%" sourceLinked="1"/>
        <c:majorTickMark val="none"/>
        <c:minorTickMark val="none"/>
        <c:tickLblPos val="nextTo"/>
        <c:crossAx val="734666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baseline="0"/>
              <a:t>O ile wzosły wydatki gospodarstw domowych w skali miesiąca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Do 100 zł</c:v>
                </c:pt>
                <c:pt idx="1">
                  <c:v>Powyżej 100 do 300 zł</c:v>
                </c:pt>
                <c:pt idx="2">
                  <c:v>Powyżej 300 do 500 zł</c:v>
                </c:pt>
                <c:pt idx="3">
                  <c:v>Powyżej 500 do 1000 zł</c:v>
                </c:pt>
                <c:pt idx="4">
                  <c:v>Powyżej 1000 zł</c:v>
                </c:pt>
              </c:strCache>
            </c:strRef>
          </c:cat>
          <c:val>
            <c:numRef>
              <c:f>Arkusz1!$B$2:$B$6</c:f>
              <c:numCache>
                <c:formatCode>###0%</c:formatCode>
                <c:ptCount val="5"/>
                <c:pt idx="0">
                  <c:v>0.06</c:v>
                </c:pt>
                <c:pt idx="1">
                  <c:v>0.48</c:v>
                </c:pt>
                <c:pt idx="2">
                  <c:v>0.35</c:v>
                </c:pt>
                <c:pt idx="3">
                  <c:v>0.08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79-4BA6-AD09-C2ABDA8201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4873967"/>
        <c:axId val="74876879"/>
      </c:barChart>
      <c:catAx>
        <c:axId val="74873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876879"/>
        <c:crosses val="autoZero"/>
        <c:auto val="1"/>
        <c:lblAlgn val="ctr"/>
        <c:lblOffset val="100"/>
        <c:noMultiLvlLbl val="0"/>
      </c:catAx>
      <c:valAx>
        <c:axId val="74876879"/>
        <c:scaling>
          <c:orientation val="minMax"/>
        </c:scaling>
        <c:delete val="1"/>
        <c:axPos val="l"/>
        <c:numFmt formatCode="###0%" sourceLinked="1"/>
        <c:majorTickMark val="none"/>
        <c:minorTickMark val="none"/>
        <c:tickLblPos val="nextTo"/>
        <c:crossAx val="748739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50F1-95DC-4214-80E5-BB6D1C6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Arek</cp:lastModifiedBy>
  <cp:revision>7</cp:revision>
  <cp:lastPrinted>2022-04-27T20:21:00Z</cp:lastPrinted>
  <dcterms:created xsi:type="dcterms:W3CDTF">2022-04-27T14:10:00Z</dcterms:created>
  <dcterms:modified xsi:type="dcterms:W3CDTF">2022-04-27T20:21:00Z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2022-04-27T13:46:24Z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01c6d52c-ccd1-4d7f-ad75-ae6600a16680</vt:lpwstr>
  </property>
  <property fmtid="{D5CDD505-2E9C-101B-9397-08002B2CF9AE}" pid="8" name="MSIP_Label_1391a466-f120-4668-a5e5-7af4d8a99d82_ContentBits">
    <vt:lpwstr>2</vt:lpwstr>
  </property>
</Properties>
</file>