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2B61" w14:textId="5819A9E0" w:rsidR="00966F13" w:rsidRPr="00952925" w:rsidRDefault="00952925" w:rsidP="00EE21CA">
      <w:pPr>
        <w:rPr>
          <w:b/>
          <w:iCs/>
          <w:color w:val="1F497D" w:themeColor="text2"/>
          <w:sz w:val="28"/>
          <w:szCs w:val="28"/>
          <w:lang w:val="pl-PL"/>
        </w:rPr>
      </w:pPr>
      <w:r>
        <w:rPr>
          <w:b/>
          <w:iCs/>
          <w:color w:val="1F497D" w:themeColor="text2"/>
          <w:sz w:val="28"/>
          <w:szCs w:val="28"/>
          <w:lang w:val="pl-PL"/>
        </w:rPr>
        <w:t>Najnowszy</w:t>
      </w:r>
      <w:r w:rsidR="00063ECE" w:rsidRPr="00952925">
        <w:rPr>
          <w:b/>
          <w:iCs/>
          <w:color w:val="1F497D" w:themeColor="text2"/>
          <w:sz w:val="28"/>
          <w:szCs w:val="28"/>
          <w:lang w:val="pl-PL"/>
        </w:rPr>
        <w:t xml:space="preserve"> trend w usługach</w:t>
      </w:r>
      <w:r w:rsidRPr="00952925">
        <w:rPr>
          <w:b/>
          <w:iCs/>
          <w:color w:val="1F497D" w:themeColor="text2"/>
          <w:sz w:val="28"/>
          <w:szCs w:val="28"/>
          <w:lang w:val="pl-PL"/>
        </w:rPr>
        <w:t xml:space="preserve"> prawnych</w:t>
      </w:r>
    </w:p>
    <w:p w14:paraId="10FBB231" w14:textId="3E5CBCD4" w:rsidR="00063ECE" w:rsidRPr="00753A8B" w:rsidRDefault="00063ECE" w:rsidP="00EE21CA">
      <w:pPr>
        <w:rPr>
          <w:b/>
          <w:i/>
          <w:color w:val="1F497D" w:themeColor="text2"/>
          <w:sz w:val="20"/>
          <w:lang w:val="pl-PL"/>
        </w:rPr>
      </w:pPr>
      <w:r w:rsidRPr="00753A8B">
        <w:rPr>
          <w:b/>
          <w:i/>
          <w:color w:val="1F497D" w:themeColor="text2"/>
          <w:sz w:val="20"/>
          <w:lang w:val="pl-PL"/>
        </w:rPr>
        <w:t xml:space="preserve">Boehringer Ingelheim </w:t>
      </w:r>
      <w:r w:rsidR="00E43232">
        <w:rPr>
          <w:b/>
          <w:i/>
          <w:color w:val="1F497D" w:themeColor="text2"/>
          <w:sz w:val="20"/>
          <w:lang w:val="pl-PL"/>
        </w:rPr>
        <w:t xml:space="preserve">stosuje pionierskie rozwiązanie i </w:t>
      </w:r>
      <w:r w:rsidRPr="00753A8B">
        <w:rPr>
          <w:b/>
          <w:i/>
          <w:color w:val="1F497D" w:themeColor="text2"/>
          <w:sz w:val="20"/>
          <w:lang w:val="pl-PL"/>
        </w:rPr>
        <w:t>uruch</w:t>
      </w:r>
      <w:r w:rsidR="00E43232">
        <w:rPr>
          <w:b/>
          <w:i/>
          <w:color w:val="1F497D" w:themeColor="text2"/>
          <w:sz w:val="20"/>
          <w:lang w:val="pl-PL"/>
        </w:rPr>
        <w:t>ami</w:t>
      </w:r>
      <w:r w:rsidRPr="00753A8B">
        <w:rPr>
          <w:b/>
          <w:i/>
          <w:color w:val="1F497D" w:themeColor="text2"/>
          <w:sz w:val="20"/>
          <w:lang w:val="pl-PL"/>
        </w:rPr>
        <w:t>a we Wrocławiu dział usług prawnych</w:t>
      </w:r>
    </w:p>
    <w:p w14:paraId="0974CC85" w14:textId="77777777" w:rsidR="00063ECE" w:rsidRPr="00753A8B" w:rsidRDefault="00063ECE" w:rsidP="00EE21CA">
      <w:pPr>
        <w:jc w:val="both"/>
        <w:rPr>
          <w:b/>
          <w:color w:val="1F497D" w:themeColor="text2"/>
          <w:sz w:val="20"/>
          <w:szCs w:val="20"/>
          <w:lang w:val="pl-PL"/>
        </w:rPr>
      </w:pPr>
    </w:p>
    <w:p w14:paraId="1E4284C8" w14:textId="6DA5F19F" w:rsidR="00024EF4" w:rsidRPr="00753A8B" w:rsidRDefault="00063ECE" w:rsidP="00EE21CA">
      <w:pPr>
        <w:jc w:val="both"/>
        <w:rPr>
          <w:b/>
          <w:color w:val="1F497D" w:themeColor="text2"/>
          <w:sz w:val="20"/>
          <w:szCs w:val="20"/>
          <w:lang w:val="pl-PL"/>
        </w:rPr>
      </w:pPr>
      <w:r w:rsidRPr="00753A8B">
        <w:rPr>
          <w:b/>
          <w:color w:val="1F497D" w:themeColor="text2"/>
          <w:sz w:val="20"/>
          <w:szCs w:val="20"/>
          <w:lang w:val="pl-PL"/>
        </w:rPr>
        <w:t>Dążenie do standaryzacji, centralizacji i optymalizacji procesów w przedsiębiorstwach</w:t>
      </w:r>
      <w:r w:rsidR="00952925">
        <w:rPr>
          <w:b/>
          <w:color w:val="1F497D" w:themeColor="text2"/>
          <w:sz w:val="20"/>
          <w:szCs w:val="20"/>
          <w:lang w:val="pl-PL"/>
        </w:rPr>
        <w:t xml:space="preserve"> w ostatniej dekadzie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doprowadziło do powstania w Polsce wielu Centrów Usług </w:t>
      </w:r>
      <w:r w:rsidR="00EE21CA">
        <w:rPr>
          <w:b/>
          <w:color w:val="1F497D" w:themeColor="text2"/>
          <w:sz w:val="20"/>
          <w:szCs w:val="20"/>
          <w:lang w:val="pl-PL"/>
        </w:rPr>
        <w:t>Biznesowych. W samym Wrocławiu funkcjonuje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obecnie aż 200 tego rodzaju ośrodków. Jednym z </w:t>
      </w:r>
      <w:r w:rsidR="003610C9" w:rsidRPr="00753A8B">
        <w:rPr>
          <w:b/>
          <w:color w:val="1F497D" w:themeColor="text2"/>
          <w:sz w:val="20"/>
          <w:szCs w:val="20"/>
          <w:lang w:val="pl-PL"/>
        </w:rPr>
        <w:t>najnowszych z nich na mapie Dolnego Śląska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jest</w:t>
      </w:r>
      <w:r w:rsidR="00EE21CA">
        <w:rPr>
          <w:b/>
          <w:color w:val="1F497D" w:themeColor="text2"/>
          <w:sz w:val="20"/>
          <w:szCs w:val="20"/>
          <w:lang w:val="pl-PL"/>
        </w:rPr>
        <w:t xml:space="preserve"> nowe centrum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Boehringer Ingelheim</w:t>
      </w:r>
      <w:r w:rsidR="00EE21CA">
        <w:rPr>
          <w:b/>
          <w:color w:val="1F497D" w:themeColor="text2"/>
          <w:sz w:val="20"/>
          <w:szCs w:val="20"/>
          <w:lang w:val="pl-PL"/>
        </w:rPr>
        <w:t xml:space="preserve"> – firma </w:t>
      </w:r>
      <w:r w:rsidR="00952925">
        <w:rPr>
          <w:b/>
          <w:color w:val="1F497D" w:themeColor="text2"/>
          <w:sz w:val="20"/>
          <w:szCs w:val="20"/>
          <w:lang w:val="pl-PL"/>
        </w:rPr>
        <w:t>farmaceutyczna</w:t>
      </w:r>
      <w:r w:rsidR="00EE21CA">
        <w:rPr>
          <w:b/>
          <w:color w:val="1F497D" w:themeColor="text2"/>
          <w:sz w:val="20"/>
          <w:szCs w:val="20"/>
          <w:lang w:val="pl-PL"/>
        </w:rPr>
        <w:t xml:space="preserve"> w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styczniu 2022 roku utworzyła </w:t>
      </w:r>
      <w:r w:rsidR="00952925">
        <w:rPr>
          <w:b/>
          <w:color w:val="1F497D" w:themeColor="text2"/>
          <w:sz w:val="20"/>
          <w:szCs w:val="20"/>
          <w:lang w:val="pl-PL"/>
        </w:rPr>
        <w:t xml:space="preserve">swój </w:t>
      </w:r>
      <w:r w:rsidR="00EE21CA">
        <w:rPr>
          <w:b/>
          <w:color w:val="1F497D" w:themeColor="text2"/>
          <w:sz w:val="20"/>
          <w:szCs w:val="20"/>
          <w:lang w:val="pl-PL"/>
        </w:rPr>
        <w:t xml:space="preserve">oddział we 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Wrocławiu. </w:t>
      </w:r>
      <w:r w:rsidR="00EE21CA">
        <w:rPr>
          <w:b/>
          <w:color w:val="1F497D" w:themeColor="text2"/>
          <w:sz w:val="20"/>
          <w:szCs w:val="20"/>
          <w:lang w:val="pl-PL"/>
        </w:rPr>
        <w:t>W marcu i kwietniu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</w:t>
      </w:r>
      <w:r w:rsidR="00EE21CA">
        <w:rPr>
          <w:b/>
          <w:color w:val="1F497D" w:themeColor="text2"/>
          <w:sz w:val="20"/>
          <w:szCs w:val="20"/>
          <w:lang w:val="pl-PL"/>
        </w:rPr>
        <w:t>tego roku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</w:t>
      </w:r>
      <w:r w:rsidR="003610C9" w:rsidRPr="00753A8B">
        <w:rPr>
          <w:b/>
          <w:color w:val="1F497D" w:themeColor="text2"/>
          <w:sz w:val="20"/>
          <w:szCs w:val="20"/>
          <w:lang w:val="pl-PL"/>
        </w:rPr>
        <w:t>organizacja rozpoczęła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działalność w obszarach finansowo-księgowych, obsługi klienta oraz zakupów i </w:t>
      </w:r>
      <w:r w:rsidR="003610C9" w:rsidRPr="00753A8B">
        <w:rPr>
          <w:b/>
          <w:color w:val="1F497D" w:themeColor="text2"/>
          <w:sz w:val="20"/>
          <w:szCs w:val="20"/>
          <w:lang w:val="pl-PL"/>
        </w:rPr>
        <w:t>usług</w:t>
      </w:r>
      <w:r w:rsidR="00EE21CA">
        <w:rPr>
          <w:b/>
          <w:color w:val="1F497D" w:themeColor="text2"/>
          <w:sz w:val="20"/>
          <w:szCs w:val="20"/>
          <w:lang w:val="pl-PL"/>
        </w:rPr>
        <w:t xml:space="preserve"> HR. W maju do tego zakresu dodano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piąty </w:t>
      </w:r>
      <w:r w:rsidR="00751BC0">
        <w:rPr>
          <w:b/>
          <w:color w:val="1F497D" w:themeColor="text2"/>
          <w:sz w:val="20"/>
          <w:szCs w:val="20"/>
          <w:lang w:val="pl-PL"/>
        </w:rPr>
        <w:t>pion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 </w:t>
      </w:r>
      <w:r w:rsidR="00EE21CA">
        <w:rPr>
          <w:b/>
          <w:color w:val="1F497D" w:themeColor="text2"/>
          <w:sz w:val="20"/>
          <w:szCs w:val="20"/>
          <w:lang w:val="pl-PL"/>
        </w:rPr>
        <w:t xml:space="preserve">– </w:t>
      </w:r>
      <w:r w:rsidRPr="00753A8B">
        <w:rPr>
          <w:b/>
          <w:color w:val="1F497D" w:themeColor="text2"/>
          <w:sz w:val="20"/>
          <w:szCs w:val="20"/>
          <w:lang w:val="pl-PL"/>
        </w:rPr>
        <w:t>w</w:t>
      </w:r>
      <w:r w:rsidR="00EE21CA">
        <w:rPr>
          <w:b/>
          <w:color w:val="1F497D" w:themeColor="text2"/>
          <w:sz w:val="20"/>
          <w:szCs w:val="20"/>
          <w:lang w:val="pl-PL"/>
        </w:rPr>
        <w:t xml:space="preserve"> </w:t>
      </w:r>
      <w:r w:rsidRPr="00753A8B">
        <w:rPr>
          <w:b/>
          <w:color w:val="1F497D" w:themeColor="text2"/>
          <w:sz w:val="20"/>
          <w:szCs w:val="20"/>
          <w:lang w:val="pl-PL"/>
        </w:rPr>
        <w:t xml:space="preserve">obszarze usług prawnych i </w:t>
      </w:r>
      <w:proofErr w:type="spellStart"/>
      <w:r w:rsidR="00751BC0">
        <w:rPr>
          <w:b/>
          <w:color w:val="1F497D" w:themeColor="text2"/>
          <w:sz w:val="20"/>
          <w:szCs w:val="20"/>
          <w:lang w:val="pl-PL"/>
        </w:rPr>
        <w:t>compliance</w:t>
      </w:r>
      <w:proofErr w:type="spellEnd"/>
      <w:r w:rsidRPr="00753A8B">
        <w:rPr>
          <w:b/>
          <w:color w:val="1F497D" w:themeColor="text2"/>
          <w:sz w:val="20"/>
          <w:szCs w:val="20"/>
          <w:lang w:val="pl-PL"/>
        </w:rPr>
        <w:t>.</w:t>
      </w:r>
    </w:p>
    <w:p w14:paraId="7B2B8DE1" w14:textId="77777777" w:rsidR="003610C9" w:rsidRPr="00753A8B" w:rsidRDefault="003610C9" w:rsidP="00EE21CA">
      <w:pPr>
        <w:jc w:val="both"/>
        <w:rPr>
          <w:b/>
          <w:color w:val="1F497D" w:themeColor="text2"/>
          <w:sz w:val="20"/>
          <w:szCs w:val="20"/>
          <w:lang w:val="pl-PL"/>
        </w:rPr>
      </w:pPr>
    </w:p>
    <w:p w14:paraId="1B9715FF" w14:textId="1887A475" w:rsidR="003610C9" w:rsidRPr="00EE21CA" w:rsidRDefault="003610C9" w:rsidP="00EE21CA">
      <w:pPr>
        <w:pStyle w:val="Akapitzlist"/>
        <w:numPr>
          <w:ilvl w:val="0"/>
          <w:numId w:val="6"/>
        </w:numPr>
        <w:jc w:val="both"/>
        <w:rPr>
          <w:color w:val="1F497D" w:themeColor="text2"/>
          <w:sz w:val="20"/>
          <w:szCs w:val="20"/>
          <w:lang w:val="pl-PL"/>
        </w:rPr>
      </w:pPr>
      <w:r w:rsidRPr="00EE21CA">
        <w:rPr>
          <w:color w:val="1F497D" w:themeColor="text2"/>
          <w:sz w:val="20"/>
          <w:szCs w:val="20"/>
          <w:lang w:val="pl-PL"/>
        </w:rPr>
        <w:t>Jedną z najważniejszych zmian, jakie obecnie obserwujemy na</w:t>
      </w:r>
      <w:r w:rsidR="00EE21CA">
        <w:rPr>
          <w:color w:val="1F497D" w:themeColor="text2"/>
          <w:sz w:val="20"/>
          <w:szCs w:val="20"/>
          <w:lang w:val="pl-PL"/>
        </w:rPr>
        <w:t xml:space="preserve"> polskim</w:t>
      </w:r>
      <w:r w:rsidRPr="00EE21CA">
        <w:rPr>
          <w:color w:val="1F497D" w:themeColor="text2"/>
          <w:sz w:val="20"/>
          <w:szCs w:val="20"/>
          <w:lang w:val="pl-PL"/>
        </w:rPr>
        <w:t xml:space="preserve"> rynku, jest standaryzacja, centralizacja i optymalizacja procesów prawnych w </w:t>
      </w:r>
      <w:r w:rsidR="00952925">
        <w:rPr>
          <w:color w:val="1F497D" w:themeColor="text2"/>
          <w:sz w:val="20"/>
          <w:szCs w:val="20"/>
          <w:lang w:val="pl-PL"/>
        </w:rPr>
        <w:t>C</w:t>
      </w:r>
      <w:r w:rsidRPr="00EE21CA">
        <w:rPr>
          <w:color w:val="1F497D" w:themeColor="text2"/>
          <w:sz w:val="20"/>
          <w:szCs w:val="20"/>
          <w:lang w:val="pl-PL"/>
        </w:rPr>
        <w:t xml:space="preserve">entrach </w:t>
      </w:r>
      <w:r w:rsidR="00952925">
        <w:rPr>
          <w:color w:val="1F497D" w:themeColor="text2"/>
          <w:sz w:val="20"/>
          <w:szCs w:val="20"/>
          <w:lang w:val="pl-PL"/>
        </w:rPr>
        <w:t>U</w:t>
      </w:r>
      <w:r w:rsidRPr="00EE21CA">
        <w:rPr>
          <w:color w:val="1F497D" w:themeColor="text2"/>
          <w:sz w:val="20"/>
          <w:szCs w:val="20"/>
          <w:lang w:val="pl-PL"/>
        </w:rPr>
        <w:t xml:space="preserve">sług </w:t>
      </w:r>
      <w:r w:rsidR="00952925">
        <w:rPr>
          <w:color w:val="1F497D" w:themeColor="text2"/>
          <w:sz w:val="20"/>
          <w:szCs w:val="20"/>
          <w:lang w:val="pl-PL"/>
        </w:rPr>
        <w:t>B</w:t>
      </w:r>
      <w:r w:rsidRPr="00EE21CA">
        <w:rPr>
          <w:color w:val="1F497D" w:themeColor="text2"/>
          <w:sz w:val="20"/>
          <w:szCs w:val="20"/>
          <w:lang w:val="pl-PL"/>
        </w:rPr>
        <w:t xml:space="preserve">iznesowych. Jest to zmiana, której inne działy doświadczyły </w:t>
      </w:r>
      <w:r w:rsidR="00952925">
        <w:rPr>
          <w:color w:val="1F497D" w:themeColor="text2"/>
          <w:sz w:val="20"/>
          <w:szCs w:val="20"/>
          <w:lang w:val="pl-PL"/>
        </w:rPr>
        <w:t xml:space="preserve">już </w:t>
      </w:r>
      <w:r w:rsidRPr="00EE21CA">
        <w:rPr>
          <w:color w:val="1F497D" w:themeColor="text2"/>
          <w:sz w:val="20"/>
          <w:szCs w:val="20"/>
          <w:lang w:val="pl-PL"/>
        </w:rPr>
        <w:t xml:space="preserve">lata temu, a </w:t>
      </w:r>
      <w:r w:rsidR="00EE21CA">
        <w:rPr>
          <w:color w:val="1F497D" w:themeColor="text2"/>
          <w:sz w:val="20"/>
          <w:szCs w:val="20"/>
          <w:lang w:val="pl-PL"/>
        </w:rPr>
        <w:t>dziś</w:t>
      </w:r>
      <w:r w:rsidRPr="00EE21CA">
        <w:rPr>
          <w:color w:val="1F497D" w:themeColor="text2"/>
          <w:sz w:val="20"/>
          <w:szCs w:val="20"/>
          <w:lang w:val="pl-PL"/>
        </w:rPr>
        <w:t xml:space="preserve"> ma miejsce</w:t>
      </w:r>
      <w:r w:rsidR="00EE21CA">
        <w:rPr>
          <w:color w:val="1F497D" w:themeColor="text2"/>
          <w:sz w:val="20"/>
          <w:szCs w:val="20"/>
          <w:lang w:val="pl-PL"/>
        </w:rPr>
        <w:t xml:space="preserve"> także</w:t>
      </w:r>
      <w:r w:rsidRPr="00EE21CA">
        <w:rPr>
          <w:color w:val="1F497D" w:themeColor="text2"/>
          <w:sz w:val="20"/>
          <w:szCs w:val="20"/>
          <w:lang w:val="pl-PL"/>
        </w:rPr>
        <w:t xml:space="preserve"> w usługach </w:t>
      </w:r>
      <w:proofErr w:type="spellStart"/>
      <w:r w:rsidRPr="00EE21CA">
        <w:rPr>
          <w:color w:val="1F497D" w:themeColor="text2"/>
          <w:sz w:val="20"/>
          <w:szCs w:val="20"/>
          <w:lang w:val="pl-PL"/>
        </w:rPr>
        <w:t>Legal</w:t>
      </w:r>
      <w:proofErr w:type="spellEnd"/>
      <w:r w:rsidRPr="00EE21CA">
        <w:rPr>
          <w:color w:val="1F497D" w:themeColor="text2"/>
          <w:sz w:val="20"/>
          <w:szCs w:val="20"/>
          <w:lang w:val="pl-PL"/>
        </w:rPr>
        <w:t xml:space="preserve"> &amp; </w:t>
      </w:r>
      <w:proofErr w:type="spellStart"/>
      <w:r w:rsidRPr="00EE21CA">
        <w:rPr>
          <w:color w:val="1F497D" w:themeColor="text2"/>
          <w:sz w:val="20"/>
          <w:szCs w:val="20"/>
          <w:lang w:val="pl-PL"/>
        </w:rPr>
        <w:t>Compliance</w:t>
      </w:r>
      <w:proofErr w:type="spellEnd"/>
      <w:r w:rsidRPr="00EE21CA">
        <w:rPr>
          <w:color w:val="1F497D" w:themeColor="text2"/>
          <w:sz w:val="20"/>
          <w:szCs w:val="20"/>
          <w:lang w:val="pl-PL"/>
        </w:rPr>
        <w:t>.</w:t>
      </w:r>
    </w:p>
    <w:p w14:paraId="0E339070" w14:textId="1233489E" w:rsidR="003610C9" w:rsidRPr="00EE21CA" w:rsidRDefault="003610C9" w:rsidP="00EE21CA">
      <w:pPr>
        <w:pStyle w:val="Akapitzlist"/>
        <w:numPr>
          <w:ilvl w:val="0"/>
          <w:numId w:val="6"/>
        </w:numPr>
        <w:jc w:val="both"/>
        <w:rPr>
          <w:color w:val="1F497D" w:themeColor="text2"/>
          <w:sz w:val="20"/>
          <w:szCs w:val="20"/>
          <w:lang w:val="pl-PL"/>
        </w:rPr>
      </w:pPr>
      <w:r w:rsidRPr="00EE21CA">
        <w:rPr>
          <w:color w:val="1F497D" w:themeColor="text2"/>
          <w:sz w:val="20"/>
          <w:szCs w:val="20"/>
          <w:lang w:val="pl-PL"/>
        </w:rPr>
        <w:t>Boehringer Ingelheim stał się jedn</w:t>
      </w:r>
      <w:r w:rsidR="00EE21CA">
        <w:rPr>
          <w:color w:val="1F497D" w:themeColor="text2"/>
          <w:sz w:val="20"/>
          <w:szCs w:val="20"/>
          <w:lang w:val="pl-PL"/>
        </w:rPr>
        <w:t xml:space="preserve">ą z firm </w:t>
      </w:r>
      <w:r w:rsidR="00276DF6">
        <w:rPr>
          <w:color w:val="1F497D" w:themeColor="text2"/>
          <w:sz w:val="20"/>
          <w:szCs w:val="20"/>
          <w:lang w:val="pl-PL"/>
        </w:rPr>
        <w:t>pionierskich</w:t>
      </w:r>
      <w:r w:rsidR="00EE21CA">
        <w:rPr>
          <w:color w:val="1F497D" w:themeColor="text2"/>
          <w:sz w:val="20"/>
          <w:szCs w:val="20"/>
          <w:lang w:val="pl-PL"/>
        </w:rPr>
        <w:t xml:space="preserve">, </w:t>
      </w:r>
      <w:r w:rsidRPr="00EE21CA">
        <w:rPr>
          <w:color w:val="1F497D" w:themeColor="text2"/>
          <w:sz w:val="20"/>
          <w:szCs w:val="20"/>
          <w:lang w:val="pl-PL"/>
        </w:rPr>
        <w:t xml:space="preserve">tworząc </w:t>
      </w:r>
      <w:r w:rsidR="00751BC0">
        <w:rPr>
          <w:color w:val="1F497D" w:themeColor="text2"/>
          <w:sz w:val="20"/>
          <w:szCs w:val="20"/>
          <w:lang w:val="pl-PL"/>
        </w:rPr>
        <w:t>pion</w:t>
      </w:r>
      <w:r w:rsidR="00751BC0" w:rsidRPr="00EE21CA">
        <w:rPr>
          <w:color w:val="1F497D" w:themeColor="text2"/>
          <w:sz w:val="20"/>
          <w:szCs w:val="20"/>
          <w:lang w:val="pl-PL"/>
        </w:rPr>
        <w:t xml:space="preserve"> </w:t>
      </w:r>
      <w:r w:rsidRPr="00EE21CA">
        <w:rPr>
          <w:color w:val="1F497D" w:themeColor="text2"/>
          <w:sz w:val="20"/>
          <w:szCs w:val="20"/>
          <w:lang w:val="pl-PL"/>
        </w:rPr>
        <w:t xml:space="preserve">usług </w:t>
      </w:r>
      <w:proofErr w:type="spellStart"/>
      <w:r w:rsidRPr="00EE21CA">
        <w:rPr>
          <w:color w:val="1F497D" w:themeColor="text2"/>
          <w:sz w:val="20"/>
          <w:szCs w:val="20"/>
          <w:lang w:val="pl-PL"/>
        </w:rPr>
        <w:t>Legal</w:t>
      </w:r>
      <w:proofErr w:type="spellEnd"/>
      <w:r w:rsidRPr="00EE21CA">
        <w:rPr>
          <w:color w:val="1F497D" w:themeColor="text2"/>
          <w:sz w:val="20"/>
          <w:szCs w:val="20"/>
          <w:lang w:val="pl-PL"/>
        </w:rPr>
        <w:t xml:space="preserve"> &amp; </w:t>
      </w:r>
      <w:proofErr w:type="spellStart"/>
      <w:r w:rsidRPr="00EE21CA">
        <w:rPr>
          <w:color w:val="1F497D" w:themeColor="text2"/>
          <w:sz w:val="20"/>
          <w:szCs w:val="20"/>
          <w:lang w:val="pl-PL"/>
        </w:rPr>
        <w:t>Compliance</w:t>
      </w:r>
      <w:proofErr w:type="spellEnd"/>
      <w:r w:rsidRPr="00EE21CA">
        <w:rPr>
          <w:color w:val="1F497D" w:themeColor="text2"/>
          <w:sz w:val="20"/>
          <w:szCs w:val="20"/>
          <w:lang w:val="pl-PL"/>
        </w:rPr>
        <w:t xml:space="preserve"> w Centrum Usług Biznesowych we Wrocławiu.</w:t>
      </w:r>
    </w:p>
    <w:p w14:paraId="02988A54" w14:textId="5F2A6CA6" w:rsidR="003610C9" w:rsidRPr="00EE21CA" w:rsidRDefault="00AB61D0" w:rsidP="00EE21CA">
      <w:pPr>
        <w:pStyle w:val="Akapitzlist"/>
        <w:numPr>
          <w:ilvl w:val="0"/>
          <w:numId w:val="6"/>
        </w:numPr>
        <w:jc w:val="both"/>
        <w:rPr>
          <w:color w:val="1F497D" w:themeColor="text2"/>
          <w:sz w:val="20"/>
          <w:szCs w:val="20"/>
          <w:lang w:val="pl-PL"/>
        </w:rPr>
      </w:pPr>
      <w:r w:rsidRPr="00EE21CA">
        <w:rPr>
          <w:color w:val="1F497D" w:themeColor="text2"/>
          <w:sz w:val="20"/>
          <w:szCs w:val="20"/>
          <w:lang w:val="pl-PL"/>
        </w:rPr>
        <w:t>Jak wskazują przedstawiciele organizacji, jeśli</w:t>
      </w:r>
      <w:r w:rsidR="00276DF6">
        <w:rPr>
          <w:color w:val="1F497D" w:themeColor="text2"/>
          <w:sz w:val="20"/>
          <w:szCs w:val="20"/>
          <w:lang w:val="pl-PL"/>
        </w:rPr>
        <w:t xml:space="preserve"> pilotażowy projekt zakończy się sukcesem – </w:t>
      </w:r>
      <w:r w:rsidR="003610C9" w:rsidRPr="00EE21CA">
        <w:rPr>
          <w:color w:val="1F497D" w:themeColor="text2"/>
          <w:sz w:val="20"/>
          <w:szCs w:val="20"/>
          <w:lang w:val="pl-PL"/>
        </w:rPr>
        <w:t>organizacja wypracuje globalny m</w:t>
      </w:r>
      <w:r w:rsidRPr="00EE21CA">
        <w:rPr>
          <w:color w:val="1F497D" w:themeColor="text2"/>
          <w:sz w:val="20"/>
          <w:szCs w:val="20"/>
          <w:lang w:val="pl-PL"/>
        </w:rPr>
        <w:t xml:space="preserve">odel obsługi </w:t>
      </w:r>
      <w:r w:rsidR="00276DF6">
        <w:rPr>
          <w:color w:val="1F497D" w:themeColor="text2"/>
          <w:sz w:val="20"/>
          <w:szCs w:val="20"/>
          <w:lang w:val="pl-PL"/>
        </w:rPr>
        <w:t>prawnej</w:t>
      </w:r>
      <w:r w:rsidRPr="00EE21CA">
        <w:rPr>
          <w:color w:val="1F497D" w:themeColor="text2"/>
          <w:sz w:val="20"/>
          <w:szCs w:val="20"/>
          <w:lang w:val="pl-PL"/>
        </w:rPr>
        <w:t>, bazując na tym z Dolnego Śląska.</w:t>
      </w:r>
    </w:p>
    <w:p w14:paraId="15E3B1CE" w14:textId="77777777" w:rsidR="00966F13" w:rsidRPr="00753A8B" w:rsidRDefault="00966F13" w:rsidP="00EE21CA">
      <w:pPr>
        <w:rPr>
          <w:color w:val="1F497D" w:themeColor="text2"/>
          <w:sz w:val="20"/>
          <w:szCs w:val="20"/>
          <w:lang w:val="pl-PL"/>
        </w:rPr>
      </w:pPr>
    </w:p>
    <w:p w14:paraId="5C527914" w14:textId="74438F44" w:rsidR="003610C9" w:rsidRPr="00753A8B" w:rsidRDefault="003610C9" w:rsidP="00EE21CA">
      <w:pPr>
        <w:rPr>
          <w:b/>
          <w:color w:val="1F497D" w:themeColor="text2"/>
          <w:sz w:val="20"/>
          <w:szCs w:val="20"/>
          <w:lang w:val="pl-PL"/>
        </w:rPr>
      </w:pPr>
      <w:r w:rsidRPr="00753A8B">
        <w:rPr>
          <w:b/>
          <w:color w:val="1F497D" w:themeColor="text2"/>
          <w:sz w:val="20"/>
          <w:szCs w:val="20"/>
          <w:lang w:val="pl-PL"/>
        </w:rPr>
        <w:t>Optymalizacja korporacyjnych procesów prawnych</w:t>
      </w:r>
    </w:p>
    <w:p w14:paraId="541B71BF" w14:textId="77777777" w:rsidR="005D2DB8" w:rsidRPr="00753A8B" w:rsidRDefault="005D2DB8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p w14:paraId="7B4F2FB1" w14:textId="20CEEED1" w:rsidR="003610C9" w:rsidRPr="00753A8B" w:rsidRDefault="003610C9" w:rsidP="00EE21CA">
      <w:pPr>
        <w:jc w:val="both"/>
        <w:rPr>
          <w:color w:val="1F497D" w:themeColor="text2"/>
          <w:sz w:val="20"/>
          <w:szCs w:val="20"/>
          <w:lang w:val="pl-PL"/>
        </w:rPr>
      </w:pPr>
      <w:r w:rsidRPr="00753A8B">
        <w:rPr>
          <w:color w:val="1F497D" w:themeColor="text2"/>
          <w:sz w:val="20"/>
          <w:szCs w:val="20"/>
          <w:lang w:val="pl-PL"/>
        </w:rPr>
        <w:t xml:space="preserve">Poszukiwanie standaryzacji i optymalizacji w zakresie procesów prawnych w przedsiębiorstwach często opiera się na rozwiązaniach </w:t>
      </w:r>
      <w:proofErr w:type="spellStart"/>
      <w:r w:rsidRPr="00753A8B">
        <w:rPr>
          <w:color w:val="1F497D" w:themeColor="text2"/>
          <w:sz w:val="20"/>
          <w:szCs w:val="20"/>
          <w:lang w:val="pl-PL"/>
        </w:rPr>
        <w:t>LegalTech</w:t>
      </w:r>
      <w:proofErr w:type="spellEnd"/>
      <w:r w:rsidRPr="00753A8B">
        <w:rPr>
          <w:color w:val="1F497D" w:themeColor="text2"/>
          <w:sz w:val="20"/>
          <w:szCs w:val="20"/>
          <w:lang w:val="pl-PL"/>
        </w:rPr>
        <w:t xml:space="preserve">, takich jak </w:t>
      </w:r>
      <w:r w:rsidR="00AB61D0" w:rsidRPr="00753A8B">
        <w:rPr>
          <w:color w:val="1F497D" w:themeColor="text2"/>
          <w:sz w:val="20"/>
          <w:szCs w:val="20"/>
          <w:lang w:val="pl-PL"/>
        </w:rPr>
        <w:t xml:space="preserve">m.in. </w:t>
      </w:r>
      <w:r w:rsidRPr="00753A8B">
        <w:rPr>
          <w:color w:val="1F497D" w:themeColor="text2"/>
          <w:sz w:val="20"/>
          <w:szCs w:val="20"/>
          <w:lang w:val="pl-PL"/>
        </w:rPr>
        <w:t xml:space="preserve">systemy zarządzania umowami. Jednak w ostatnich latach korporacje zaczęły również centralizować procesy prawne w </w:t>
      </w:r>
      <w:r w:rsidR="00B02B57">
        <w:rPr>
          <w:color w:val="1F497D" w:themeColor="text2"/>
          <w:sz w:val="20"/>
          <w:szCs w:val="20"/>
          <w:lang w:val="pl-PL"/>
        </w:rPr>
        <w:t>C</w:t>
      </w:r>
      <w:r w:rsidRPr="00753A8B">
        <w:rPr>
          <w:color w:val="1F497D" w:themeColor="text2"/>
          <w:sz w:val="20"/>
          <w:szCs w:val="20"/>
          <w:lang w:val="pl-PL"/>
        </w:rPr>
        <w:t xml:space="preserve">entrach </w:t>
      </w:r>
      <w:r w:rsidR="00B02B57">
        <w:rPr>
          <w:color w:val="1F497D" w:themeColor="text2"/>
          <w:sz w:val="20"/>
          <w:szCs w:val="20"/>
          <w:lang w:val="pl-PL"/>
        </w:rPr>
        <w:t>U</w:t>
      </w:r>
      <w:r w:rsidRPr="00753A8B">
        <w:rPr>
          <w:color w:val="1F497D" w:themeColor="text2"/>
          <w:sz w:val="20"/>
          <w:szCs w:val="20"/>
          <w:lang w:val="pl-PL"/>
        </w:rPr>
        <w:t xml:space="preserve">sług </w:t>
      </w:r>
      <w:r w:rsidR="00B02B57">
        <w:rPr>
          <w:color w:val="1F497D" w:themeColor="text2"/>
          <w:sz w:val="20"/>
          <w:szCs w:val="20"/>
          <w:lang w:val="pl-PL"/>
        </w:rPr>
        <w:t>B</w:t>
      </w:r>
      <w:r w:rsidRPr="00753A8B">
        <w:rPr>
          <w:color w:val="1F497D" w:themeColor="text2"/>
          <w:sz w:val="20"/>
          <w:szCs w:val="20"/>
          <w:lang w:val="pl-PL"/>
        </w:rPr>
        <w:t xml:space="preserve">iznesowych w celu standaryzacji i optymalizacji globalnych procesów prawnych i </w:t>
      </w:r>
      <w:r w:rsidR="00AB61D0" w:rsidRPr="00753A8B">
        <w:rPr>
          <w:color w:val="1F497D" w:themeColor="text2"/>
          <w:sz w:val="20"/>
          <w:szCs w:val="20"/>
          <w:lang w:val="pl-PL"/>
        </w:rPr>
        <w:t>zgodności</w:t>
      </w:r>
      <w:r w:rsidRPr="00753A8B">
        <w:rPr>
          <w:color w:val="1F497D" w:themeColor="text2"/>
          <w:sz w:val="20"/>
          <w:szCs w:val="20"/>
          <w:lang w:val="pl-PL"/>
        </w:rPr>
        <w:t>.</w:t>
      </w:r>
    </w:p>
    <w:p w14:paraId="772E3CDB" w14:textId="77777777" w:rsidR="00DA5F6C" w:rsidRPr="00753A8B" w:rsidRDefault="00DA5F6C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p w14:paraId="7C77FAE3" w14:textId="07110ED6" w:rsidR="003610C9" w:rsidRPr="00753A8B" w:rsidRDefault="00B02B57" w:rsidP="00EE21CA">
      <w:pPr>
        <w:jc w:val="both"/>
        <w:rPr>
          <w:color w:val="1F497D" w:themeColor="text2"/>
          <w:sz w:val="20"/>
          <w:szCs w:val="20"/>
          <w:lang w:val="pl-PL"/>
        </w:rPr>
      </w:pPr>
      <w:proofErr w:type="spellStart"/>
      <w:r w:rsidRPr="00E43232">
        <w:rPr>
          <w:i/>
          <w:color w:val="1F497D" w:themeColor="text2"/>
          <w:sz w:val="20"/>
          <w:szCs w:val="20"/>
          <w:lang w:val="en-US"/>
        </w:rPr>
        <w:t>Dziś</w:t>
      </w:r>
      <w:proofErr w:type="spellEnd"/>
      <w:r w:rsidRPr="00E43232">
        <w:rPr>
          <w:i/>
          <w:color w:val="1F497D" w:themeColor="text2"/>
          <w:sz w:val="20"/>
          <w:szCs w:val="20"/>
          <w:lang w:val="en-US"/>
        </w:rPr>
        <w:t xml:space="preserve"> </w:t>
      </w:r>
      <w:proofErr w:type="spellStart"/>
      <w:r w:rsidRPr="00E43232">
        <w:rPr>
          <w:i/>
          <w:color w:val="1F497D" w:themeColor="text2"/>
          <w:sz w:val="20"/>
          <w:szCs w:val="20"/>
          <w:lang w:val="en-US"/>
        </w:rPr>
        <w:t>w</w:t>
      </w:r>
      <w:r w:rsidR="003610C9" w:rsidRPr="00E43232">
        <w:rPr>
          <w:i/>
          <w:color w:val="1F497D" w:themeColor="text2"/>
          <w:sz w:val="20"/>
          <w:szCs w:val="20"/>
          <w:lang w:val="en-US"/>
        </w:rPr>
        <w:t>yznaczamy</w:t>
      </w:r>
      <w:proofErr w:type="spellEnd"/>
      <w:r w:rsidR="003610C9" w:rsidRPr="00E43232">
        <w:rPr>
          <w:i/>
          <w:color w:val="1F497D" w:themeColor="text2"/>
          <w:sz w:val="20"/>
          <w:szCs w:val="20"/>
          <w:lang w:val="en-US"/>
        </w:rPr>
        <w:t xml:space="preserve"> trend</w:t>
      </w:r>
      <w:r w:rsidR="003610C9" w:rsidRPr="00E43232">
        <w:rPr>
          <w:color w:val="1F497D" w:themeColor="text2"/>
          <w:sz w:val="20"/>
          <w:szCs w:val="20"/>
          <w:lang w:val="en-US"/>
        </w:rPr>
        <w:t xml:space="preserve"> – </w:t>
      </w:r>
      <w:proofErr w:type="spellStart"/>
      <w:r w:rsidR="003610C9" w:rsidRPr="00E43232">
        <w:rPr>
          <w:color w:val="1F497D" w:themeColor="text2"/>
          <w:sz w:val="20"/>
          <w:szCs w:val="20"/>
          <w:lang w:val="en-US"/>
        </w:rPr>
        <w:t>mówi</w:t>
      </w:r>
      <w:proofErr w:type="spellEnd"/>
      <w:r w:rsidR="003610C9" w:rsidRPr="00E43232">
        <w:rPr>
          <w:color w:val="1F497D" w:themeColor="text2"/>
          <w:sz w:val="20"/>
          <w:szCs w:val="20"/>
          <w:lang w:val="en-US"/>
        </w:rPr>
        <w:t xml:space="preserve"> </w:t>
      </w:r>
      <w:proofErr w:type="spellStart"/>
      <w:r w:rsidR="00751BC0">
        <w:rPr>
          <w:color w:val="1F497D" w:themeColor="text2"/>
          <w:sz w:val="20"/>
          <w:szCs w:val="20"/>
          <w:lang w:val="en-US"/>
        </w:rPr>
        <w:t>dr</w:t>
      </w:r>
      <w:proofErr w:type="spellEnd"/>
      <w:r w:rsidR="00751BC0">
        <w:rPr>
          <w:color w:val="1F497D" w:themeColor="text2"/>
          <w:sz w:val="20"/>
          <w:szCs w:val="20"/>
          <w:lang w:val="en-US"/>
        </w:rPr>
        <w:t xml:space="preserve"> </w:t>
      </w:r>
      <w:proofErr w:type="spellStart"/>
      <w:r w:rsidR="003610C9" w:rsidRPr="00E43232">
        <w:rPr>
          <w:b/>
          <w:color w:val="1F497D" w:themeColor="text2"/>
          <w:sz w:val="20"/>
          <w:szCs w:val="20"/>
          <w:lang w:val="en-US"/>
        </w:rPr>
        <w:t>Rafał</w:t>
      </w:r>
      <w:proofErr w:type="spellEnd"/>
      <w:r w:rsidR="003610C9" w:rsidRPr="00E43232">
        <w:rPr>
          <w:b/>
          <w:color w:val="1F497D" w:themeColor="text2"/>
          <w:sz w:val="20"/>
          <w:szCs w:val="20"/>
          <w:lang w:val="en-US"/>
        </w:rPr>
        <w:t xml:space="preserve"> Rybicki,</w:t>
      </w:r>
      <w:r w:rsidR="003610C9" w:rsidRPr="00EE21CA">
        <w:rPr>
          <w:b/>
          <w:color w:val="1F497D" w:themeColor="text2"/>
          <w:sz w:val="20"/>
          <w:szCs w:val="20"/>
          <w:lang w:val="en-US"/>
        </w:rPr>
        <w:t xml:space="preserve"> </w:t>
      </w:r>
      <w:r w:rsidR="00AB61D0" w:rsidRPr="00EE21CA">
        <w:rPr>
          <w:b/>
          <w:color w:val="1F497D" w:themeColor="text2"/>
          <w:sz w:val="20"/>
          <w:szCs w:val="20"/>
          <w:lang w:val="en-US"/>
        </w:rPr>
        <w:t>Manager</w:t>
      </w:r>
      <w:r w:rsidR="003610C9" w:rsidRPr="00EE21CA">
        <w:rPr>
          <w:b/>
          <w:color w:val="1F497D" w:themeColor="text2"/>
          <w:sz w:val="20"/>
          <w:szCs w:val="20"/>
          <w:lang w:val="en-US"/>
        </w:rPr>
        <w:t xml:space="preserve"> </w:t>
      </w:r>
      <w:proofErr w:type="spellStart"/>
      <w:r w:rsidR="003610C9" w:rsidRPr="00E43232">
        <w:rPr>
          <w:b/>
          <w:color w:val="1F497D" w:themeColor="text2"/>
          <w:sz w:val="20"/>
          <w:szCs w:val="20"/>
          <w:lang w:val="en-US"/>
        </w:rPr>
        <w:t>Zespołu</w:t>
      </w:r>
      <w:proofErr w:type="spellEnd"/>
      <w:r w:rsidR="003610C9" w:rsidRPr="00EE21CA">
        <w:rPr>
          <w:b/>
          <w:color w:val="1F497D" w:themeColor="text2"/>
          <w:sz w:val="20"/>
          <w:szCs w:val="20"/>
          <w:lang w:val="en-US"/>
        </w:rPr>
        <w:t xml:space="preserve"> </w:t>
      </w:r>
      <w:r w:rsidR="00AB61D0" w:rsidRPr="00EE21CA">
        <w:rPr>
          <w:b/>
          <w:color w:val="1F497D" w:themeColor="text2"/>
          <w:sz w:val="20"/>
          <w:szCs w:val="20"/>
          <w:lang w:val="en-US"/>
        </w:rPr>
        <w:t>Legal and Compliance Services</w:t>
      </w:r>
      <w:r w:rsidR="003610C9" w:rsidRPr="00EE21CA">
        <w:rPr>
          <w:b/>
          <w:color w:val="1F497D" w:themeColor="text2"/>
          <w:sz w:val="20"/>
          <w:szCs w:val="20"/>
          <w:lang w:val="en-US"/>
        </w:rPr>
        <w:t xml:space="preserve"> w Boehringer Ingel</w:t>
      </w:r>
      <w:r w:rsidR="00AB61D0" w:rsidRPr="00EE21CA">
        <w:rPr>
          <w:b/>
          <w:color w:val="1F497D" w:themeColor="text2"/>
          <w:sz w:val="20"/>
          <w:szCs w:val="20"/>
          <w:lang w:val="en-US"/>
        </w:rPr>
        <w:t>heim Business Services Center</w:t>
      </w:r>
      <w:r w:rsidR="003610C9" w:rsidRPr="00EE21CA">
        <w:rPr>
          <w:b/>
          <w:color w:val="1F497D" w:themeColor="text2"/>
          <w:sz w:val="20"/>
          <w:szCs w:val="20"/>
          <w:lang w:val="en-US"/>
        </w:rPr>
        <w:t>.</w:t>
      </w:r>
      <w:r w:rsidR="003610C9" w:rsidRPr="00EE21CA">
        <w:rPr>
          <w:color w:val="1F497D" w:themeColor="text2"/>
          <w:sz w:val="20"/>
          <w:szCs w:val="20"/>
          <w:lang w:val="en-US"/>
        </w:rPr>
        <w:t xml:space="preserve"> 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>We Wrocławiu działa ponad 200 Centrów Usług Biznesowych, ale tylko 5 lub 6 ma w swoim portfolio usług</w:t>
      </w:r>
      <w:r w:rsidR="00AB61D0" w:rsidRPr="00753A8B">
        <w:rPr>
          <w:i/>
          <w:color w:val="1F497D" w:themeColor="text2"/>
          <w:sz w:val="20"/>
          <w:szCs w:val="20"/>
          <w:lang w:val="pl-PL"/>
        </w:rPr>
        <w:t>i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 </w:t>
      </w:r>
      <w:proofErr w:type="spellStart"/>
      <w:r w:rsidR="003610C9" w:rsidRPr="00753A8B">
        <w:rPr>
          <w:i/>
          <w:color w:val="1F497D" w:themeColor="text2"/>
          <w:sz w:val="20"/>
          <w:szCs w:val="20"/>
          <w:lang w:val="pl-PL"/>
        </w:rPr>
        <w:t>Legal</w:t>
      </w:r>
      <w:proofErr w:type="spellEnd"/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 &amp; </w:t>
      </w:r>
      <w:proofErr w:type="spellStart"/>
      <w:r w:rsidR="003610C9" w:rsidRPr="00753A8B">
        <w:rPr>
          <w:i/>
          <w:color w:val="1F497D" w:themeColor="text2"/>
          <w:sz w:val="20"/>
          <w:szCs w:val="20"/>
          <w:lang w:val="pl-PL"/>
        </w:rPr>
        <w:t>Compliance</w:t>
      </w:r>
      <w:proofErr w:type="spellEnd"/>
      <w:r w:rsidR="00952925">
        <w:rPr>
          <w:i/>
          <w:color w:val="1F497D" w:themeColor="text2"/>
          <w:sz w:val="20"/>
          <w:szCs w:val="20"/>
          <w:lang w:val="pl-PL"/>
        </w:rPr>
        <w:t>, jest to więc pionierskie podejście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. Nasz nowy zespół składający się z wysoko wykwalifikowanych </w:t>
      </w:r>
      <w:r w:rsidR="00952925">
        <w:rPr>
          <w:i/>
          <w:color w:val="1F497D" w:themeColor="text2"/>
          <w:sz w:val="20"/>
          <w:szCs w:val="20"/>
          <w:lang w:val="pl-PL"/>
        </w:rPr>
        <w:t>s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pecjalistów ds. </w:t>
      </w:r>
      <w:r w:rsidR="00AB61D0" w:rsidRPr="00753A8B">
        <w:rPr>
          <w:i/>
          <w:color w:val="1F497D" w:themeColor="text2"/>
          <w:sz w:val="20"/>
          <w:szCs w:val="20"/>
          <w:lang w:val="pl-PL"/>
        </w:rPr>
        <w:t>p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rawnych i </w:t>
      </w:r>
      <w:proofErr w:type="spellStart"/>
      <w:r w:rsidR="00751BC0">
        <w:rPr>
          <w:i/>
          <w:color w:val="1F497D" w:themeColor="text2"/>
          <w:sz w:val="20"/>
          <w:szCs w:val="20"/>
          <w:lang w:val="pl-PL"/>
        </w:rPr>
        <w:t>compliance</w:t>
      </w:r>
      <w:proofErr w:type="spellEnd"/>
      <w:r w:rsidR="00751BC0" w:rsidRPr="00753A8B">
        <w:rPr>
          <w:i/>
          <w:color w:val="1F497D" w:themeColor="text2"/>
          <w:sz w:val="20"/>
          <w:szCs w:val="20"/>
          <w:lang w:val="pl-PL"/>
        </w:rPr>
        <w:t xml:space="preserve"> </w:t>
      </w:r>
      <w:r w:rsidR="00AB61D0" w:rsidRPr="00753A8B">
        <w:rPr>
          <w:i/>
          <w:color w:val="1F497D" w:themeColor="text2"/>
          <w:sz w:val="20"/>
          <w:szCs w:val="20"/>
          <w:lang w:val="pl-PL"/>
        </w:rPr>
        <w:t>będzie współpracował z korporacyjnym</w:t>
      </w:r>
      <w:r w:rsidR="00751BC0">
        <w:rPr>
          <w:i/>
          <w:color w:val="1F497D" w:themeColor="text2"/>
          <w:sz w:val="20"/>
          <w:szCs w:val="20"/>
          <w:lang w:val="pl-PL"/>
        </w:rPr>
        <w:t xml:space="preserve"> działem prawnym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 mieszczącym się w centrali</w:t>
      </w:r>
      <w:r w:rsidR="00AB61D0" w:rsidRPr="00753A8B">
        <w:rPr>
          <w:i/>
          <w:color w:val="1F497D" w:themeColor="text2"/>
          <w:sz w:val="20"/>
          <w:szCs w:val="20"/>
          <w:lang w:val="pl-PL"/>
        </w:rPr>
        <w:t xml:space="preserve"> firmy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 </w:t>
      </w:r>
      <w:r w:rsidR="00AB61D0" w:rsidRPr="00753A8B">
        <w:rPr>
          <w:i/>
          <w:color w:val="1F497D" w:themeColor="text2"/>
          <w:sz w:val="20"/>
          <w:szCs w:val="20"/>
          <w:lang w:val="pl-PL"/>
        </w:rPr>
        <w:t>w Ingelheim w Niemczech oraz z p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 xml:space="preserve">artnerami </w:t>
      </w:r>
      <w:r w:rsidR="00AB61D0" w:rsidRPr="00753A8B">
        <w:rPr>
          <w:i/>
          <w:color w:val="1F497D" w:themeColor="text2"/>
          <w:sz w:val="20"/>
          <w:szCs w:val="20"/>
          <w:lang w:val="pl-PL"/>
        </w:rPr>
        <w:t>b</w:t>
      </w:r>
      <w:r w:rsidR="003610C9" w:rsidRPr="00753A8B">
        <w:rPr>
          <w:i/>
          <w:color w:val="1F497D" w:themeColor="text2"/>
          <w:sz w:val="20"/>
          <w:szCs w:val="20"/>
          <w:lang w:val="pl-PL"/>
        </w:rPr>
        <w:t>iznesowymi w różnych krajach i regionach świata</w:t>
      </w:r>
      <w:r w:rsidR="003610C9" w:rsidRPr="00753A8B">
        <w:rPr>
          <w:color w:val="1F497D" w:themeColor="text2"/>
          <w:sz w:val="20"/>
          <w:szCs w:val="20"/>
          <w:lang w:val="pl-PL"/>
        </w:rPr>
        <w:t xml:space="preserve"> – dodaje </w:t>
      </w:r>
      <w:r w:rsidR="003610C9" w:rsidRPr="00753A8B">
        <w:rPr>
          <w:b/>
          <w:color w:val="1F497D" w:themeColor="text2"/>
          <w:sz w:val="20"/>
          <w:szCs w:val="20"/>
          <w:lang w:val="pl-PL"/>
        </w:rPr>
        <w:t>Rafał Rybicki.</w:t>
      </w:r>
    </w:p>
    <w:p w14:paraId="01DDAFD7" w14:textId="77777777" w:rsidR="00232D55" w:rsidRPr="00753A8B" w:rsidRDefault="00232D55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p w14:paraId="0487D666" w14:textId="3567CF7C" w:rsidR="003610C9" w:rsidRPr="00753A8B" w:rsidRDefault="00C14C34" w:rsidP="00EE21CA">
      <w:pPr>
        <w:jc w:val="both"/>
        <w:rPr>
          <w:color w:val="1F497D" w:themeColor="text2"/>
          <w:sz w:val="20"/>
          <w:szCs w:val="20"/>
          <w:lang w:val="pl-PL"/>
        </w:rPr>
      </w:pPr>
      <w:r w:rsidRPr="00753A8B">
        <w:rPr>
          <w:color w:val="1F497D" w:themeColor="text2"/>
          <w:sz w:val="20"/>
          <w:szCs w:val="20"/>
          <w:lang w:val="pl-PL"/>
        </w:rPr>
        <w:t>Na zakres obowiązków</w:t>
      </w:r>
      <w:r w:rsidR="00952925">
        <w:rPr>
          <w:color w:val="1F497D" w:themeColor="text2"/>
          <w:sz w:val="20"/>
          <w:szCs w:val="20"/>
          <w:lang w:val="pl-PL"/>
        </w:rPr>
        <w:t xml:space="preserve"> całego</w:t>
      </w:r>
      <w:r w:rsidRPr="00753A8B">
        <w:rPr>
          <w:color w:val="1F497D" w:themeColor="text2"/>
          <w:sz w:val="20"/>
          <w:szCs w:val="20"/>
          <w:lang w:val="pl-PL"/>
        </w:rPr>
        <w:t xml:space="preserve"> </w:t>
      </w:r>
      <w:r w:rsidR="00751BC0">
        <w:rPr>
          <w:color w:val="1F497D" w:themeColor="text2"/>
          <w:sz w:val="20"/>
          <w:szCs w:val="20"/>
          <w:lang w:val="pl-PL"/>
        </w:rPr>
        <w:t>działu</w:t>
      </w:r>
      <w:r w:rsidR="00751BC0" w:rsidRPr="00753A8B">
        <w:rPr>
          <w:color w:val="1F497D" w:themeColor="text2"/>
          <w:sz w:val="20"/>
          <w:szCs w:val="20"/>
          <w:lang w:val="pl-PL"/>
        </w:rPr>
        <w:t xml:space="preserve"> </w:t>
      </w:r>
      <w:r w:rsidRPr="00753A8B">
        <w:rPr>
          <w:color w:val="1F497D" w:themeColor="text2"/>
          <w:sz w:val="20"/>
          <w:szCs w:val="20"/>
          <w:lang w:val="pl-PL"/>
        </w:rPr>
        <w:t>prawnego działającego</w:t>
      </w:r>
      <w:r w:rsidR="003610C9" w:rsidRPr="00753A8B">
        <w:rPr>
          <w:color w:val="1F497D" w:themeColor="text2"/>
          <w:sz w:val="20"/>
          <w:szCs w:val="20"/>
          <w:lang w:val="pl-PL"/>
        </w:rPr>
        <w:t xml:space="preserve"> w Centrum Usług Biznesowych we Wrocławiu </w:t>
      </w:r>
      <w:r w:rsidR="00952925">
        <w:rPr>
          <w:color w:val="1F497D" w:themeColor="text2"/>
          <w:sz w:val="20"/>
          <w:szCs w:val="20"/>
          <w:lang w:val="pl-PL"/>
        </w:rPr>
        <w:t xml:space="preserve">składają się codzienne działania trzech </w:t>
      </w:r>
      <w:r w:rsidR="00751BC0">
        <w:rPr>
          <w:color w:val="1F497D" w:themeColor="text2"/>
          <w:sz w:val="20"/>
          <w:szCs w:val="20"/>
          <w:lang w:val="pl-PL"/>
        </w:rPr>
        <w:t>zespołów</w:t>
      </w:r>
      <w:r w:rsidR="00952925">
        <w:rPr>
          <w:color w:val="1F497D" w:themeColor="text2"/>
          <w:sz w:val="20"/>
          <w:szCs w:val="20"/>
          <w:lang w:val="pl-PL"/>
        </w:rPr>
        <w:t>. Są to:</w:t>
      </w:r>
    </w:p>
    <w:p w14:paraId="41DA6471" w14:textId="77777777" w:rsidR="008C03F1" w:rsidRDefault="008C03F1" w:rsidP="008C03F1">
      <w:pPr>
        <w:jc w:val="both"/>
        <w:rPr>
          <w:color w:val="1F497D" w:themeColor="text2"/>
          <w:sz w:val="20"/>
          <w:szCs w:val="20"/>
          <w:lang w:val="pl-PL"/>
        </w:rPr>
      </w:pPr>
    </w:p>
    <w:p w14:paraId="1B0E5F77" w14:textId="6A8F8F1D" w:rsidR="003610C9" w:rsidRPr="008C03F1" w:rsidRDefault="008C03F1" w:rsidP="008C03F1">
      <w:pPr>
        <w:jc w:val="both"/>
        <w:rPr>
          <w:color w:val="1F497D" w:themeColor="text2"/>
          <w:sz w:val="20"/>
          <w:szCs w:val="20"/>
          <w:lang w:val="pl-PL"/>
        </w:rPr>
      </w:pPr>
      <w:r>
        <w:rPr>
          <w:color w:val="1F497D" w:themeColor="text2"/>
          <w:sz w:val="20"/>
          <w:szCs w:val="20"/>
          <w:lang w:val="pl-PL"/>
        </w:rPr>
        <w:t xml:space="preserve">- </w:t>
      </w:r>
      <w:r w:rsidR="00751BC0">
        <w:rPr>
          <w:color w:val="1F497D" w:themeColor="text2"/>
          <w:sz w:val="20"/>
          <w:szCs w:val="20"/>
          <w:lang w:val="pl-PL"/>
        </w:rPr>
        <w:t>Zespół</w:t>
      </w:r>
      <w:r w:rsidR="00751BC0" w:rsidRPr="008C03F1">
        <w:rPr>
          <w:color w:val="1F497D" w:themeColor="text2"/>
          <w:sz w:val="20"/>
          <w:szCs w:val="20"/>
          <w:lang w:val="pl-PL"/>
        </w:rPr>
        <w:t xml:space="preserve"> </w:t>
      </w:r>
      <w:r w:rsidRPr="008C03F1">
        <w:rPr>
          <w:color w:val="1F497D" w:themeColor="text2"/>
          <w:sz w:val="20"/>
          <w:szCs w:val="20"/>
          <w:lang w:val="pl-PL"/>
        </w:rPr>
        <w:t>ochrony znaków towarowych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 – </w:t>
      </w:r>
      <w:r w:rsidR="00952925">
        <w:rPr>
          <w:color w:val="1F497D" w:themeColor="text2"/>
          <w:sz w:val="20"/>
          <w:szCs w:val="20"/>
          <w:lang w:val="pl-PL"/>
        </w:rPr>
        <w:t xml:space="preserve">w którego obowiązkach znajduje się </w:t>
      </w:r>
      <w:r w:rsidR="003610C9" w:rsidRPr="008C03F1">
        <w:rPr>
          <w:color w:val="1F497D" w:themeColor="text2"/>
          <w:sz w:val="20"/>
          <w:szCs w:val="20"/>
          <w:lang w:val="pl-PL"/>
        </w:rPr>
        <w:t>wsparcie zarządzania globalnym portfolio marek Boehringer Ingelheim oraz współpraca z siecią agentów, biur</w:t>
      </w:r>
      <w:r w:rsidRPr="008C03F1">
        <w:rPr>
          <w:color w:val="1F497D" w:themeColor="text2"/>
          <w:sz w:val="20"/>
          <w:szCs w:val="20"/>
          <w:lang w:val="pl-PL"/>
        </w:rPr>
        <w:t xml:space="preserve"> i organizacji międzynarodowych.</w:t>
      </w:r>
    </w:p>
    <w:p w14:paraId="117107F7" w14:textId="20724393" w:rsidR="003610C9" w:rsidRPr="008C03F1" w:rsidRDefault="008C03F1" w:rsidP="008C03F1">
      <w:pPr>
        <w:jc w:val="both"/>
        <w:rPr>
          <w:color w:val="1F497D" w:themeColor="text2"/>
          <w:sz w:val="20"/>
          <w:szCs w:val="20"/>
          <w:lang w:val="pl-PL"/>
        </w:rPr>
      </w:pPr>
      <w:r>
        <w:rPr>
          <w:color w:val="1F497D" w:themeColor="text2"/>
          <w:sz w:val="20"/>
          <w:szCs w:val="20"/>
          <w:lang w:val="pl-PL"/>
        </w:rPr>
        <w:t xml:space="preserve">- </w:t>
      </w:r>
      <w:r w:rsidR="00751BC0">
        <w:rPr>
          <w:color w:val="1F497D" w:themeColor="text2"/>
          <w:sz w:val="20"/>
          <w:szCs w:val="20"/>
          <w:lang w:val="pl-PL"/>
        </w:rPr>
        <w:t>Zespół</w:t>
      </w:r>
      <w:r w:rsidR="00751BC0" w:rsidRPr="008C03F1">
        <w:rPr>
          <w:color w:val="1F497D" w:themeColor="text2"/>
          <w:sz w:val="20"/>
          <w:szCs w:val="20"/>
          <w:lang w:val="pl-PL"/>
        </w:rPr>
        <w:t xml:space="preserve"> </w:t>
      </w:r>
      <w:r w:rsidRPr="008C03F1">
        <w:rPr>
          <w:color w:val="1F497D" w:themeColor="text2"/>
          <w:sz w:val="20"/>
          <w:szCs w:val="20"/>
          <w:lang w:val="pl-PL"/>
        </w:rPr>
        <w:t>kontraktów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 – </w:t>
      </w:r>
      <w:r w:rsidR="008E2AD4">
        <w:rPr>
          <w:color w:val="1F497D" w:themeColor="text2"/>
          <w:sz w:val="20"/>
          <w:szCs w:val="20"/>
          <w:lang w:val="pl-PL"/>
        </w:rPr>
        <w:t>skupiony na doradztwie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 </w:t>
      </w:r>
      <w:r w:rsidR="008E2AD4">
        <w:rPr>
          <w:color w:val="1F497D" w:themeColor="text2"/>
          <w:sz w:val="20"/>
          <w:szCs w:val="20"/>
          <w:lang w:val="pl-PL"/>
        </w:rPr>
        <w:t>i współpracy z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 partner</w:t>
      </w:r>
      <w:r w:rsidR="008E2AD4">
        <w:rPr>
          <w:color w:val="1F497D" w:themeColor="text2"/>
          <w:sz w:val="20"/>
          <w:szCs w:val="20"/>
          <w:lang w:val="pl-PL"/>
        </w:rPr>
        <w:t>ami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 biznesowym</w:t>
      </w:r>
      <w:r w:rsidR="008E2AD4">
        <w:rPr>
          <w:color w:val="1F497D" w:themeColor="text2"/>
          <w:sz w:val="20"/>
          <w:szCs w:val="20"/>
          <w:lang w:val="pl-PL"/>
        </w:rPr>
        <w:t>i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 na całym świecie w kwestiach </w:t>
      </w:r>
      <w:r w:rsidR="008E2AD4">
        <w:rPr>
          <w:color w:val="1F497D" w:themeColor="text2"/>
          <w:sz w:val="20"/>
          <w:szCs w:val="20"/>
          <w:lang w:val="pl-PL"/>
        </w:rPr>
        <w:t xml:space="preserve">prawnych związanych ze wzorami umów </w:t>
      </w:r>
      <w:r w:rsidR="003610C9" w:rsidRPr="008C03F1">
        <w:rPr>
          <w:color w:val="1F497D" w:themeColor="text2"/>
          <w:sz w:val="20"/>
          <w:szCs w:val="20"/>
          <w:lang w:val="pl-PL"/>
        </w:rPr>
        <w:t>oraz praca z</w:t>
      </w:r>
      <w:r w:rsidR="008E2AD4">
        <w:rPr>
          <w:color w:val="1F497D" w:themeColor="text2"/>
          <w:sz w:val="20"/>
          <w:szCs w:val="20"/>
          <w:lang w:val="pl-PL"/>
        </w:rPr>
        <w:t>e zautomatyzowanym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 narzędziem kontraktowym</w:t>
      </w:r>
      <w:r w:rsidR="00C14C34" w:rsidRPr="008C03F1">
        <w:rPr>
          <w:color w:val="1F497D" w:themeColor="text2"/>
          <w:sz w:val="20"/>
          <w:szCs w:val="20"/>
          <w:lang w:val="pl-PL"/>
        </w:rPr>
        <w:t>.</w:t>
      </w:r>
    </w:p>
    <w:p w14:paraId="3885B074" w14:textId="55C17BDA" w:rsidR="003610C9" w:rsidRPr="008C03F1" w:rsidRDefault="008C03F1" w:rsidP="008C03F1">
      <w:pPr>
        <w:jc w:val="both"/>
        <w:rPr>
          <w:color w:val="1F497D" w:themeColor="text2"/>
          <w:sz w:val="20"/>
          <w:szCs w:val="20"/>
          <w:lang w:val="pl-PL"/>
        </w:rPr>
      </w:pPr>
      <w:r>
        <w:rPr>
          <w:color w:val="1F497D" w:themeColor="text2"/>
          <w:sz w:val="20"/>
          <w:szCs w:val="20"/>
          <w:lang w:val="pl-PL"/>
        </w:rPr>
        <w:t xml:space="preserve">- </w:t>
      </w:r>
      <w:r w:rsidR="00751BC0">
        <w:rPr>
          <w:color w:val="1F497D" w:themeColor="text2"/>
          <w:sz w:val="20"/>
          <w:szCs w:val="20"/>
          <w:lang w:val="pl-PL"/>
        </w:rPr>
        <w:t>Zespół d</w:t>
      </w:r>
      <w:r w:rsidR="00C14C34" w:rsidRPr="008C03F1">
        <w:rPr>
          <w:color w:val="1F497D" w:themeColor="text2"/>
          <w:sz w:val="20"/>
          <w:szCs w:val="20"/>
          <w:lang w:val="pl-PL"/>
        </w:rPr>
        <w:t>ochodze</w:t>
      </w:r>
      <w:r w:rsidR="00751BC0">
        <w:rPr>
          <w:color w:val="1F497D" w:themeColor="text2"/>
          <w:sz w:val="20"/>
          <w:szCs w:val="20"/>
          <w:lang w:val="pl-PL"/>
        </w:rPr>
        <w:t>ń</w:t>
      </w:r>
      <w:r w:rsidR="00C14C34" w:rsidRPr="008C03F1">
        <w:rPr>
          <w:color w:val="1F497D" w:themeColor="text2"/>
          <w:sz w:val="20"/>
          <w:szCs w:val="20"/>
          <w:lang w:val="pl-PL"/>
        </w:rPr>
        <w:t xml:space="preserve"> wewnętrzn</w:t>
      </w:r>
      <w:r w:rsidR="00751BC0">
        <w:rPr>
          <w:color w:val="1F497D" w:themeColor="text2"/>
          <w:sz w:val="20"/>
          <w:szCs w:val="20"/>
          <w:lang w:val="pl-PL"/>
        </w:rPr>
        <w:t>ych</w:t>
      </w:r>
      <w:r w:rsidR="00C14C34" w:rsidRPr="008C03F1">
        <w:rPr>
          <w:color w:val="1F497D" w:themeColor="text2"/>
          <w:sz w:val="20"/>
          <w:szCs w:val="20"/>
          <w:lang w:val="pl-PL"/>
        </w:rPr>
        <w:t xml:space="preserve"> </w:t>
      </w:r>
      <w:proofErr w:type="gramStart"/>
      <w:r w:rsidR="00C14C34" w:rsidRPr="008C03F1">
        <w:rPr>
          <w:color w:val="1F497D" w:themeColor="text2"/>
          <w:sz w:val="20"/>
          <w:szCs w:val="20"/>
          <w:lang w:val="pl-PL"/>
        </w:rPr>
        <w:t xml:space="preserve">– </w:t>
      </w:r>
      <w:r w:rsidR="008E2AD4">
        <w:rPr>
          <w:color w:val="1F497D" w:themeColor="text2"/>
          <w:sz w:val="20"/>
          <w:szCs w:val="20"/>
          <w:lang w:val="pl-PL"/>
        </w:rPr>
        <w:t xml:space="preserve"> którego</w:t>
      </w:r>
      <w:proofErr w:type="gramEnd"/>
      <w:r w:rsidR="008E2AD4">
        <w:rPr>
          <w:color w:val="1F497D" w:themeColor="text2"/>
          <w:sz w:val="20"/>
          <w:szCs w:val="20"/>
          <w:lang w:val="pl-PL"/>
        </w:rPr>
        <w:t xml:space="preserve"> działalność opiera się o </w:t>
      </w:r>
      <w:r w:rsidR="003610C9" w:rsidRPr="008C03F1">
        <w:rPr>
          <w:color w:val="1F497D" w:themeColor="text2"/>
          <w:sz w:val="20"/>
          <w:szCs w:val="20"/>
          <w:lang w:val="pl-PL"/>
        </w:rPr>
        <w:t xml:space="preserve">prowadzenie dogłębnych, poufnych i wrażliwych dochodzeń </w:t>
      </w:r>
      <w:r w:rsidRPr="008C03F1">
        <w:rPr>
          <w:color w:val="1F497D" w:themeColor="text2"/>
          <w:sz w:val="20"/>
          <w:szCs w:val="20"/>
          <w:lang w:val="pl-PL"/>
        </w:rPr>
        <w:t>w skali globalnej w organizacji.</w:t>
      </w:r>
    </w:p>
    <w:p w14:paraId="210F5C50" w14:textId="77777777" w:rsidR="008C03F1" w:rsidRPr="008C03F1" w:rsidRDefault="008C03F1" w:rsidP="008C03F1">
      <w:pPr>
        <w:jc w:val="both"/>
        <w:rPr>
          <w:color w:val="1F497D" w:themeColor="text2"/>
          <w:sz w:val="20"/>
          <w:szCs w:val="20"/>
          <w:lang w:val="pl-PL"/>
        </w:rPr>
      </w:pPr>
    </w:p>
    <w:p w14:paraId="6564DD26" w14:textId="7AB9420B" w:rsidR="003610C9" w:rsidRPr="00753A8B" w:rsidRDefault="003610C9" w:rsidP="00EE21CA">
      <w:pPr>
        <w:jc w:val="both"/>
        <w:rPr>
          <w:color w:val="1F497D" w:themeColor="text2"/>
          <w:sz w:val="20"/>
          <w:szCs w:val="20"/>
          <w:lang w:val="pl-PL"/>
        </w:rPr>
      </w:pPr>
      <w:r w:rsidRPr="00753A8B">
        <w:rPr>
          <w:color w:val="1F497D" w:themeColor="text2"/>
          <w:sz w:val="20"/>
          <w:szCs w:val="20"/>
          <w:lang w:val="pl-PL"/>
        </w:rPr>
        <w:t xml:space="preserve">Wprowadzając ten rodzaj działalności usługowej, </w:t>
      </w:r>
      <w:r w:rsidR="008C03F1">
        <w:rPr>
          <w:color w:val="1F497D" w:themeColor="text2"/>
          <w:sz w:val="20"/>
          <w:szCs w:val="20"/>
          <w:lang w:val="pl-PL"/>
        </w:rPr>
        <w:t xml:space="preserve">przed firmami pojawia się wyjątkowa szansa, by stać się organizacjami </w:t>
      </w:r>
      <w:r w:rsidR="00751BC0">
        <w:rPr>
          <w:color w:val="1F497D" w:themeColor="text2"/>
          <w:sz w:val="20"/>
          <w:szCs w:val="20"/>
          <w:lang w:val="pl-PL"/>
        </w:rPr>
        <w:t xml:space="preserve">zarządzanymi w </w:t>
      </w:r>
      <w:proofErr w:type="spellStart"/>
      <w:r w:rsidR="008C03F1">
        <w:rPr>
          <w:color w:val="1F497D" w:themeColor="text2"/>
          <w:sz w:val="20"/>
          <w:szCs w:val="20"/>
          <w:lang w:val="pl-PL"/>
        </w:rPr>
        <w:t>opart</w:t>
      </w:r>
      <w:r w:rsidR="00751BC0">
        <w:rPr>
          <w:color w:val="1F497D" w:themeColor="text2"/>
          <w:sz w:val="20"/>
          <w:szCs w:val="20"/>
          <w:lang w:val="pl-PL"/>
        </w:rPr>
        <w:t>ciu</w:t>
      </w:r>
      <w:proofErr w:type="spellEnd"/>
      <w:r w:rsidR="008C03F1">
        <w:rPr>
          <w:color w:val="1F497D" w:themeColor="text2"/>
          <w:sz w:val="20"/>
          <w:szCs w:val="20"/>
          <w:lang w:val="pl-PL"/>
        </w:rPr>
        <w:t xml:space="preserve"> o dane. </w:t>
      </w:r>
      <w:r w:rsidR="00555932">
        <w:rPr>
          <w:color w:val="1F497D" w:themeColor="text2"/>
          <w:sz w:val="20"/>
          <w:szCs w:val="20"/>
          <w:lang w:val="pl-PL"/>
        </w:rPr>
        <w:t xml:space="preserve">To między innymi dlatego </w:t>
      </w:r>
      <w:r w:rsidRPr="00753A8B">
        <w:rPr>
          <w:color w:val="1F497D" w:themeColor="text2"/>
          <w:sz w:val="20"/>
          <w:szCs w:val="20"/>
          <w:lang w:val="pl-PL"/>
        </w:rPr>
        <w:t xml:space="preserve">Boehringer </w:t>
      </w:r>
      <w:r w:rsidRPr="00753A8B">
        <w:rPr>
          <w:color w:val="1F497D" w:themeColor="text2"/>
          <w:sz w:val="20"/>
          <w:szCs w:val="20"/>
          <w:lang w:val="pl-PL"/>
        </w:rPr>
        <w:lastRenderedPageBreak/>
        <w:t xml:space="preserve">Ingelheim </w:t>
      </w:r>
      <w:r w:rsidR="008E2AD4">
        <w:rPr>
          <w:color w:val="1F497D" w:themeColor="text2"/>
          <w:sz w:val="20"/>
          <w:szCs w:val="20"/>
          <w:lang w:val="pl-PL"/>
        </w:rPr>
        <w:t>zdecydował</w:t>
      </w:r>
      <w:r w:rsidR="00555932">
        <w:rPr>
          <w:color w:val="1F497D" w:themeColor="text2"/>
          <w:sz w:val="20"/>
          <w:szCs w:val="20"/>
          <w:lang w:val="pl-PL"/>
        </w:rPr>
        <w:t xml:space="preserve"> się na korzystanie </w:t>
      </w:r>
      <w:r w:rsidRPr="00753A8B">
        <w:rPr>
          <w:color w:val="1F497D" w:themeColor="text2"/>
          <w:sz w:val="20"/>
          <w:szCs w:val="20"/>
          <w:lang w:val="pl-PL"/>
        </w:rPr>
        <w:t xml:space="preserve">z rozwiązania </w:t>
      </w:r>
      <w:proofErr w:type="spellStart"/>
      <w:r w:rsidRPr="00753A8B">
        <w:rPr>
          <w:color w:val="1F497D" w:themeColor="text2"/>
          <w:sz w:val="20"/>
          <w:szCs w:val="20"/>
          <w:lang w:val="pl-PL"/>
        </w:rPr>
        <w:t>ServiceNow</w:t>
      </w:r>
      <w:proofErr w:type="spellEnd"/>
      <w:r w:rsidRPr="00753A8B">
        <w:rPr>
          <w:color w:val="1F497D" w:themeColor="text2"/>
          <w:sz w:val="20"/>
          <w:szCs w:val="20"/>
          <w:lang w:val="pl-PL"/>
        </w:rPr>
        <w:t xml:space="preserve"> dla usług </w:t>
      </w:r>
      <w:proofErr w:type="spellStart"/>
      <w:r w:rsidRPr="00753A8B">
        <w:rPr>
          <w:color w:val="1F497D" w:themeColor="text2"/>
          <w:sz w:val="20"/>
          <w:szCs w:val="20"/>
          <w:lang w:val="pl-PL"/>
        </w:rPr>
        <w:t>Legal</w:t>
      </w:r>
      <w:proofErr w:type="spellEnd"/>
      <w:r w:rsidRPr="00753A8B">
        <w:rPr>
          <w:color w:val="1F497D" w:themeColor="text2"/>
          <w:sz w:val="20"/>
          <w:szCs w:val="20"/>
          <w:lang w:val="pl-PL"/>
        </w:rPr>
        <w:t xml:space="preserve"> &amp; </w:t>
      </w:r>
      <w:proofErr w:type="spellStart"/>
      <w:r w:rsidRPr="00753A8B">
        <w:rPr>
          <w:color w:val="1F497D" w:themeColor="text2"/>
          <w:sz w:val="20"/>
          <w:szCs w:val="20"/>
          <w:lang w:val="pl-PL"/>
        </w:rPr>
        <w:t>Compliance</w:t>
      </w:r>
      <w:proofErr w:type="spellEnd"/>
      <w:r w:rsidRPr="00753A8B">
        <w:rPr>
          <w:color w:val="1F497D" w:themeColor="text2"/>
          <w:sz w:val="20"/>
          <w:szCs w:val="20"/>
          <w:lang w:val="pl-PL"/>
        </w:rPr>
        <w:t xml:space="preserve">, </w:t>
      </w:r>
      <w:r w:rsidR="00555932">
        <w:rPr>
          <w:color w:val="1F497D" w:themeColor="text2"/>
          <w:sz w:val="20"/>
          <w:szCs w:val="20"/>
          <w:lang w:val="pl-PL"/>
        </w:rPr>
        <w:t>co umożliwi</w:t>
      </w:r>
      <w:r w:rsidRPr="00753A8B">
        <w:rPr>
          <w:color w:val="1F497D" w:themeColor="text2"/>
          <w:sz w:val="20"/>
          <w:szCs w:val="20"/>
          <w:lang w:val="pl-PL"/>
        </w:rPr>
        <w:t xml:space="preserve"> </w:t>
      </w:r>
      <w:r w:rsidR="00555932">
        <w:rPr>
          <w:color w:val="1F497D" w:themeColor="text2"/>
          <w:sz w:val="20"/>
          <w:szCs w:val="20"/>
          <w:lang w:val="pl-PL"/>
        </w:rPr>
        <w:t xml:space="preserve">dokładny </w:t>
      </w:r>
      <w:r w:rsidRPr="00753A8B">
        <w:rPr>
          <w:color w:val="1F497D" w:themeColor="text2"/>
          <w:sz w:val="20"/>
          <w:szCs w:val="20"/>
          <w:lang w:val="pl-PL"/>
        </w:rPr>
        <w:t>pomiar, segmentację i raportowanie świadczonych usług. To</w:t>
      </w:r>
      <w:r w:rsidR="00555932">
        <w:rPr>
          <w:color w:val="1F497D" w:themeColor="text2"/>
          <w:sz w:val="20"/>
          <w:szCs w:val="20"/>
          <w:lang w:val="pl-PL"/>
        </w:rPr>
        <w:t xml:space="preserve"> z kolei</w:t>
      </w:r>
      <w:r w:rsidRPr="00753A8B">
        <w:rPr>
          <w:color w:val="1F497D" w:themeColor="text2"/>
          <w:sz w:val="20"/>
          <w:szCs w:val="20"/>
          <w:lang w:val="pl-PL"/>
        </w:rPr>
        <w:t xml:space="preserve"> ponownie otwiera</w:t>
      </w:r>
      <w:r w:rsidR="00555932">
        <w:rPr>
          <w:color w:val="1F497D" w:themeColor="text2"/>
          <w:sz w:val="20"/>
          <w:szCs w:val="20"/>
          <w:lang w:val="pl-PL"/>
        </w:rPr>
        <w:t xml:space="preserve"> i poszerza</w:t>
      </w:r>
      <w:r w:rsidRPr="00753A8B">
        <w:rPr>
          <w:color w:val="1F497D" w:themeColor="text2"/>
          <w:sz w:val="20"/>
          <w:szCs w:val="20"/>
          <w:lang w:val="pl-PL"/>
        </w:rPr>
        <w:t xml:space="preserve"> drogę do dalszej standaryzacji, optymalizacji i automatyzacji procesów, przy stałej ocenie i poprawie jakości usług.</w:t>
      </w:r>
    </w:p>
    <w:p w14:paraId="220A0CF0" w14:textId="77777777" w:rsidR="00C25A3A" w:rsidRPr="00753A8B" w:rsidRDefault="00C25A3A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p w14:paraId="1E1C4DDA" w14:textId="248F8C6A" w:rsidR="005F77ED" w:rsidRPr="00753A8B" w:rsidRDefault="003610C9" w:rsidP="00EE21CA">
      <w:pPr>
        <w:jc w:val="both"/>
        <w:rPr>
          <w:color w:val="1F497D" w:themeColor="text2"/>
          <w:sz w:val="20"/>
          <w:szCs w:val="20"/>
          <w:lang w:val="pl-PL"/>
        </w:rPr>
      </w:pPr>
      <w:r w:rsidRPr="00753A8B">
        <w:rPr>
          <w:color w:val="1F497D" w:themeColor="text2"/>
          <w:sz w:val="20"/>
          <w:szCs w:val="20"/>
          <w:lang w:val="pl-PL"/>
        </w:rPr>
        <w:t xml:space="preserve">Nowy </w:t>
      </w:r>
      <w:r w:rsidR="00751BC0">
        <w:rPr>
          <w:color w:val="1F497D" w:themeColor="text2"/>
          <w:sz w:val="20"/>
          <w:szCs w:val="20"/>
          <w:lang w:val="pl-PL"/>
        </w:rPr>
        <w:t>dział</w:t>
      </w:r>
      <w:r w:rsidR="00751BC0" w:rsidRPr="00753A8B">
        <w:rPr>
          <w:color w:val="1F497D" w:themeColor="text2"/>
          <w:sz w:val="20"/>
          <w:szCs w:val="20"/>
          <w:lang w:val="pl-PL"/>
        </w:rPr>
        <w:t xml:space="preserve"> </w:t>
      </w:r>
      <w:r w:rsidRPr="00753A8B">
        <w:rPr>
          <w:color w:val="1F497D" w:themeColor="text2"/>
          <w:sz w:val="20"/>
          <w:szCs w:val="20"/>
          <w:lang w:val="pl-PL"/>
        </w:rPr>
        <w:t xml:space="preserve">ds. obsługi prawnej i </w:t>
      </w:r>
      <w:proofErr w:type="spellStart"/>
      <w:r w:rsidR="00751BC0">
        <w:rPr>
          <w:color w:val="1F497D" w:themeColor="text2"/>
          <w:sz w:val="20"/>
          <w:szCs w:val="20"/>
          <w:lang w:val="pl-PL"/>
        </w:rPr>
        <w:t>compliance</w:t>
      </w:r>
      <w:proofErr w:type="spellEnd"/>
      <w:r w:rsidR="00751BC0" w:rsidRPr="00753A8B">
        <w:rPr>
          <w:color w:val="1F497D" w:themeColor="text2"/>
          <w:sz w:val="20"/>
          <w:szCs w:val="20"/>
          <w:lang w:val="pl-PL"/>
        </w:rPr>
        <w:t xml:space="preserve"> </w:t>
      </w:r>
      <w:r w:rsidRPr="00753A8B">
        <w:rPr>
          <w:color w:val="1F497D" w:themeColor="text2"/>
          <w:sz w:val="20"/>
          <w:szCs w:val="20"/>
          <w:lang w:val="pl-PL"/>
        </w:rPr>
        <w:t xml:space="preserve">we Wrocławiu umożliwi </w:t>
      </w:r>
      <w:r w:rsidR="00751BC0">
        <w:rPr>
          <w:color w:val="1F497D" w:themeColor="text2"/>
          <w:sz w:val="20"/>
          <w:szCs w:val="20"/>
          <w:lang w:val="pl-PL"/>
        </w:rPr>
        <w:t>centralnemu działowi prawnemu</w:t>
      </w:r>
      <w:r w:rsidRPr="00753A8B">
        <w:rPr>
          <w:color w:val="1F497D" w:themeColor="text2"/>
          <w:sz w:val="20"/>
          <w:szCs w:val="20"/>
          <w:lang w:val="pl-PL"/>
        </w:rPr>
        <w:t xml:space="preserve"> w Ingelheim w Niemczech skoncentrowanie się na strategicznym i taktycznym zarządzaniu rosnącymi wymaganiami prawnymi i wymaganiami </w:t>
      </w:r>
      <w:r w:rsidR="00751BC0">
        <w:rPr>
          <w:color w:val="1F497D" w:themeColor="text2"/>
          <w:sz w:val="20"/>
          <w:szCs w:val="20"/>
          <w:lang w:val="pl-PL"/>
        </w:rPr>
        <w:t>regulacyjnymi</w:t>
      </w:r>
      <w:r w:rsidR="00751BC0" w:rsidRPr="00753A8B">
        <w:rPr>
          <w:color w:val="1F497D" w:themeColor="text2"/>
          <w:sz w:val="20"/>
          <w:szCs w:val="20"/>
          <w:lang w:val="pl-PL"/>
        </w:rPr>
        <w:t xml:space="preserve"> </w:t>
      </w:r>
      <w:r w:rsidRPr="00753A8B">
        <w:rPr>
          <w:color w:val="1F497D" w:themeColor="text2"/>
          <w:sz w:val="20"/>
          <w:szCs w:val="20"/>
          <w:lang w:val="pl-PL"/>
        </w:rPr>
        <w:t xml:space="preserve">oraz projektami biznesowymi. Zespół obsługi prawnej i </w:t>
      </w:r>
      <w:proofErr w:type="spellStart"/>
      <w:r w:rsidR="00751BC0">
        <w:rPr>
          <w:color w:val="1F497D" w:themeColor="text2"/>
          <w:sz w:val="20"/>
          <w:szCs w:val="20"/>
          <w:lang w:val="pl-PL"/>
        </w:rPr>
        <w:t>compliance</w:t>
      </w:r>
      <w:proofErr w:type="spellEnd"/>
      <w:r w:rsidR="00751BC0" w:rsidRPr="00753A8B">
        <w:rPr>
          <w:color w:val="1F497D" w:themeColor="text2"/>
          <w:sz w:val="20"/>
          <w:szCs w:val="20"/>
          <w:lang w:val="pl-PL"/>
        </w:rPr>
        <w:t xml:space="preserve"> </w:t>
      </w:r>
      <w:r w:rsidRPr="00753A8B">
        <w:rPr>
          <w:color w:val="1F497D" w:themeColor="text2"/>
          <w:sz w:val="20"/>
          <w:szCs w:val="20"/>
          <w:lang w:val="pl-PL"/>
        </w:rPr>
        <w:t xml:space="preserve">będzie ponadto pracował w trójkącie z </w:t>
      </w:r>
      <w:r w:rsidR="00751BC0">
        <w:rPr>
          <w:color w:val="1F497D" w:themeColor="text2"/>
          <w:sz w:val="20"/>
          <w:szCs w:val="20"/>
          <w:lang w:val="pl-PL"/>
        </w:rPr>
        <w:t xml:space="preserve">korporacyjnym </w:t>
      </w:r>
      <w:r w:rsidRPr="00753A8B">
        <w:rPr>
          <w:color w:val="1F497D" w:themeColor="text2"/>
          <w:sz w:val="20"/>
          <w:szCs w:val="20"/>
          <w:lang w:val="pl-PL"/>
        </w:rPr>
        <w:t>działem praw</w:t>
      </w:r>
      <w:r w:rsidR="00751BC0">
        <w:rPr>
          <w:color w:val="1F497D" w:themeColor="text2"/>
          <w:sz w:val="20"/>
          <w:szCs w:val="20"/>
          <w:lang w:val="pl-PL"/>
        </w:rPr>
        <w:t xml:space="preserve">nym </w:t>
      </w:r>
      <w:r w:rsidRPr="00753A8B">
        <w:rPr>
          <w:color w:val="1F497D" w:themeColor="text2"/>
          <w:sz w:val="20"/>
          <w:szCs w:val="20"/>
          <w:lang w:val="pl-PL"/>
        </w:rPr>
        <w:t>i globalnym</w:t>
      </w:r>
      <w:r w:rsidR="00751BC0">
        <w:rPr>
          <w:color w:val="1F497D" w:themeColor="text2"/>
          <w:sz w:val="20"/>
          <w:szCs w:val="20"/>
          <w:lang w:val="pl-PL"/>
        </w:rPr>
        <w:t xml:space="preserve"> zespołem</w:t>
      </w:r>
      <w:r w:rsidRPr="00753A8B">
        <w:rPr>
          <w:color w:val="1F497D" w:themeColor="text2"/>
          <w:sz w:val="20"/>
          <w:szCs w:val="20"/>
          <w:lang w:val="pl-PL"/>
        </w:rPr>
        <w:t xml:space="preserve"> zarządzani</w:t>
      </w:r>
      <w:r w:rsidR="00751BC0">
        <w:rPr>
          <w:color w:val="1F497D" w:themeColor="text2"/>
          <w:sz w:val="20"/>
          <w:szCs w:val="20"/>
          <w:lang w:val="pl-PL"/>
        </w:rPr>
        <w:t>a</w:t>
      </w:r>
      <w:r w:rsidRPr="00753A8B">
        <w:rPr>
          <w:color w:val="1F497D" w:themeColor="text2"/>
          <w:sz w:val="20"/>
          <w:szCs w:val="20"/>
          <w:lang w:val="pl-PL"/>
        </w:rPr>
        <w:t xml:space="preserve"> procesami, aby rozwijać i optymalizować procesy prawne na całym świecie.</w:t>
      </w:r>
    </w:p>
    <w:p w14:paraId="3675B9A5" w14:textId="3E759487" w:rsidR="004B2277" w:rsidRPr="00753A8B" w:rsidRDefault="004B2277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p w14:paraId="46652C8D" w14:textId="365E3C0D" w:rsidR="009F700F" w:rsidRPr="00753A8B" w:rsidRDefault="009F700F" w:rsidP="00EE21CA">
      <w:pPr>
        <w:jc w:val="both"/>
        <w:rPr>
          <w:color w:val="1F497D" w:themeColor="text2"/>
          <w:sz w:val="20"/>
          <w:szCs w:val="20"/>
          <w:lang w:val="pl-PL"/>
        </w:rPr>
      </w:pPr>
      <w:r w:rsidRPr="00753A8B">
        <w:rPr>
          <w:i/>
          <w:color w:val="1F497D" w:themeColor="text2"/>
          <w:sz w:val="20"/>
          <w:szCs w:val="20"/>
          <w:lang w:val="pl-PL"/>
        </w:rPr>
        <w:t xml:space="preserve">Wprowadzenie usług </w:t>
      </w:r>
      <w:proofErr w:type="spellStart"/>
      <w:r w:rsidRPr="00753A8B">
        <w:rPr>
          <w:i/>
          <w:color w:val="1F497D" w:themeColor="text2"/>
          <w:sz w:val="20"/>
          <w:szCs w:val="20"/>
          <w:lang w:val="pl-PL"/>
        </w:rPr>
        <w:t>Legal</w:t>
      </w:r>
      <w:proofErr w:type="spellEnd"/>
      <w:r w:rsidRPr="00753A8B">
        <w:rPr>
          <w:i/>
          <w:color w:val="1F497D" w:themeColor="text2"/>
          <w:sz w:val="20"/>
          <w:szCs w:val="20"/>
          <w:lang w:val="pl-PL"/>
        </w:rPr>
        <w:t xml:space="preserve"> &amp; </w:t>
      </w:r>
      <w:proofErr w:type="spellStart"/>
      <w:r w:rsidRPr="00753A8B">
        <w:rPr>
          <w:i/>
          <w:color w:val="1F497D" w:themeColor="text2"/>
          <w:sz w:val="20"/>
          <w:szCs w:val="20"/>
          <w:lang w:val="pl-PL"/>
        </w:rPr>
        <w:t>Compliance</w:t>
      </w:r>
      <w:proofErr w:type="spellEnd"/>
      <w:r w:rsidRPr="00753A8B">
        <w:rPr>
          <w:i/>
          <w:color w:val="1F497D" w:themeColor="text2"/>
          <w:sz w:val="20"/>
          <w:szCs w:val="20"/>
          <w:lang w:val="pl-PL"/>
        </w:rPr>
        <w:t xml:space="preserve"> jest kamieniem milowym</w:t>
      </w:r>
      <w:r w:rsidR="008E2AD4">
        <w:rPr>
          <w:i/>
          <w:color w:val="1F497D" w:themeColor="text2"/>
          <w:sz w:val="20"/>
          <w:szCs w:val="20"/>
          <w:lang w:val="pl-PL"/>
        </w:rPr>
        <w:t xml:space="preserve"> dla</w:t>
      </w:r>
      <w:r w:rsidRPr="00753A8B">
        <w:rPr>
          <w:i/>
          <w:color w:val="1F497D" w:themeColor="text2"/>
          <w:sz w:val="20"/>
          <w:szCs w:val="20"/>
          <w:lang w:val="pl-PL"/>
        </w:rPr>
        <w:t xml:space="preserve"> naszego niedawno utworzonego </w:t>
      </w:r>
      <w:r w:rsidR="00555932">
        <w:rPr>
          <w:i/>
          <w:color w:val="1F497D" w:themeColor="text2"/>
          <w:sz w:val="20"/>
          <w:szCs w:val="20"/>
          <w:lang w:val="pl-PL"/>
        </w:rPr>
        <w:t>centrum</w:t>
      </w:r>
      <w:r w:rsidRPr="00753A8B">
        <w:rPr>
          <w:i/>
          <w:color w:val="1F497D" w:themeColor="text2"/>
          <w:sz w:val="20"/>
          <w:szCs w:val="20"/>
          <w:lang w:val="pl-PL"/>
        </w:rPr>
        <w:t xml:space="preserve"> we Wrocławiu. Cieszę się, że </w:t>
      </w:r>
      <w:r w:rsidR="00555932">
        <w:rPr>
          <w:i/>
          <w:color w:val="1F497D" w:themeColor="text2"/>
          <w:sz w:val="20"/>
          <w:szCs w:val="20"/>
          <w:lang w:val="pl-PL"/>
        </w:rPr>
        <w:t>ta jednostka</w:t>
      </w:r>
      <w:r w:rsidRPr="00753A8B">
        <w:rPr>
          <w:i/>
          <w:color w:val="1F497D" w:themeColor="text2"/>
          <w:sz w:val="20"/>
          <w:szCs w:val="20"/>
          <w:lang w:val="pl-PL"/>
        </w:rPr>
        <w:t xml:space="preserve"> rozszerza zakres swoich usług, wprowadzając zupeł</w:t>
      </w:r>
      <w:r w:rsidR="00A514B0">
        <w:rPr>
          <w:i/>
          <w:color w:val="1F497D" w:themeColor="text2"/>
          <w:sz w:val="20"/>
          <w:szCs w:val="20"/>
          <w:lang w:val="pl-PL"/>
        </w:rPr>
        <w:t>nie nowe, kompleksowe działania do portfolio</w:t>
      </w:r>
      <w:r w:rsidRPr="00753A8B">
        <w:rPr>
          <w:i/>
          <w:color w:val="1F497D" w:themeColor="text2"/>
          <w:sz w:val="20"/>
          <w:szCs w:val="20"/>
          <w:lang w:val="pl-PL"/>
        </w:rPr>
        <w:t xml:space="preserve">, </w:t>
      </w:r>
      <w:r w:rsidR="00A514B0">
        <w:rPr>
          <w:i/>
          <w:color w:val="1F497D" w:themeColor="text2"/>
          <w:sz w:val="20"/>
          <w:szCs w:val="20"/>
          <w:lang w:val="pl-PL"/>
        </w:rPr>
        <w:t>dodatkowo uzupełniane przez</w:t>
      </w:r>
      <w:r w:rsidRPr="00753A8B">
        <w:rPr>
          <w:i/>
          <w:color w:val="1F497D" w:themeColor="text2"/>
          <w:sz w:val="20"/>
          <w:szCs w:val="20"/>
          <w:lang w:val="pl-PL"/>
        </w:rPr>
        <w:t xml:space="preserve"> </w:t>
      </w:r>
      <w:r w:rsidR="00A514B0">
        <w:rPr>
          <w:i/>
          <w:color w:val="1F497D" w:themeColor="text2"/>
          <w:sz w:val="20"/>
          <w:szCs w:val="20"/>
          <w:lang w:val="pl-PL"/>
        </w:rPr>
        <w:t>u</w:t>
      </w:r>
      <w:r w:rsidRPr="00753A8B">
        <w:rPr>
          <w:i/>
          <w:color w:val="1F497D" w:themeColor="text2"/>
          <w:sz w:val="20"/>
          <w:szCs w:val="20"/>
          <w:lang w:val="pl-PL"/>
        </w:rPr>
        <w:t xml:space="preserve">sługi kadrowe, finansowe, zakupowe i obsługi klienta. Wraz z naszymi </w:t>
      </w:r>
      <w:r w:rsidR="008E2AD4">
        <w:rPr>
          <w:i/>
          <w:color w:val="1F497D" w:themeColor="text2"/>
          <w:sz w:val="20"/>
          <w:szCs w:val="20"/>
          <w:lang w:val="pl-PL"/>
        </w:rPr>
        <w:t>wspaniałymi zespołami budujemy Centrum U</w:t>
      </w:r>
      <w:r w:rsidRPr="00753A8B">
        <w:rPr>
          <w:i/>
          <w:color w:val="1F497D" w:themeColor="text2"/>
          <w:sz w:val="20"/>
          <w:szCs w:val="20"/>
          <w:lang w:val="pl-PL"/>
        </w:rPr>
        <w:t xml:space="preserve">sług </w:t>
      </w:r>
      <w:r w:rsidR="008E2AD4">
        <w:rPr>
          <w:i/>
          <w:color w:val="1F497D" w:themeColor="text2"/>
          <w:sz w:val="20"/>
          <w:szCs w:val="20"/>
          <w:lang w:val="pl-PL"/>
        </w:rPr>
        <w:t>B</w:t>
      </w:r>
      <w:r w:rsidRPr="00753A8B">
        <w:rPr>
          <w:i/>
          <w:color w:val="1F497D" w:themeColor="text2"/>
          <w:sz w:val="20"/>
          <w:szCs w:val="20"/>
          <w:lang w:val="pl-PL"/>
        </w:rPr>
        <w:t>iznesowych przyszłości we Wrocławiu</w:t>
      </w:r>
      <w:r w:rsidRPr="00753A8B">
        <w:rPr>
          <w:color w:val="1F497D" w:themeColor="text2"/>
          <w:sz w:val="20"/>
          <w:szCs w:val="20"/>
          <w:lang w:val="pl-PL"/>
        </w:rPr>
        <w:t xml:space="preserve"> – mówi</w:t>
      </w:r>
      <w:r w:rsidR="00146800" w:rsidRPr="00753A8B">
        <w:rPr>
          <w:b/>
          <w:color w:val="1F497D" w:themeColor="text2"/>
          <w:sz w:val="20"/>
          <w:szCs w:val="20"/>
          <w:lang w:val="pl-PL"/>
        </w:rPr>
        <w:t xml:space="preserve"> </w:t>
      </w:r>
      <w:proofErr w:type="spellStart"/>
      <w:r w:rsidR="00146800" w:rsidRPr="00753A8B">
        <w:rPr>
          <w:b/>
          <w:color w:val="1F497D" w:themeColor="text2"/>
          <w:sz w:val="20"/>
          <w:szCs w:val="20"/>
          <w:lang w:val="pl-PL"/>
        </w:rPr>
        <w:t>Fatih</w:t>
      </w:r>
      <w:proofErr w:type="spellEnd"/>
      <w:r w:rsidR="00146800" w:rsidRPr="00753A8B">
        <w:rPr>
          <w:b/>
          <w:color w:val="1F497D" w:themeColor="text2"/>
          <w:sz w:val="20"/>
          <w:szCs w:val="20"/>
          <w:lang w:val="pl-PL"/>
        </w:rPr>
        <w:t xml:space="preserve"> </w:t>
      </w:r>
      <w:proofErr w:type="spellStart"/>
      <w:r w:rsidR="00146800" w:rsidRPr="00753A8B">
        <w:rPr>
          <w:b/>
          <w:color w:val="1F497D" w:themeColor="text2"/>
          <w:sz w:val="20"/>
          <w:szCs w:val="20"/>
          <w:lang w:val="pl-PL"/>
        </w:rPr>
        <w:t>Öztürk</w:t>
      </w:r>
      <w:proofErr w:type="spellEnd"/>
      <w:r w:rsidR="00146800" w:rsidRPr="00753A8B">
        <w:rPr>
          <w:b/>
          <w:color w:val="1F497D" w:themeColor="text2"/>
          <w:sz w:val="20"/>
          <w:szCs w:val="20"/>
          <w:lang w:val="pl-PL"/>
        </w:rPr>
        <w:t xml:space="preserve">, </w:t>
      </w:r>
      <w:r w:rsidR="008E2AD4">
        <w:rPr>
          <w:b/>
          <w:color w:val="1F497D" w:themeColor="text2"/>
          <w:sz w:val="20"/>
          <w:szCs w:val="20"/>
          <w:lang w:val="pl-PL"/>
        </w:rPr>
        <w:t>Dyrektor Zarządzający</w:t>
      </w:r>
      <w:r w:rsidR="00146800" w:rsidRPr="00753A8B">
        <w:rPr>
          <w:b/>
          <w:color w:val="1F497D" w:themeColor="text2"/>
          <w:sz w:val="20"/>
          <w:szCs w:val="20"/>
          <w:lang w:val="pl-PL"/>
        </w:rPr>
        <w:t xml:space="preserve"> Boehringer Ingelheim Business Services </w:t>
      </w:r>
      <w:r w:rsidR="008E2AD4">
        <w:rPr>
          <w:b/>
          <w:color w:val="1F497D" w:themeColor="text2"/>
          <w:sz w:val="20"/>
          <w:szCs w:val="20"/>
          <w:lang w:val="pl-PL"/>
        </w:rPr>
        <w:t>Center we Wrocławiu.</w:t>
      </w:r>
    </w:p>
    <w:p w14:paraId="2D5B0BB6" w14:textId="77777777" w:rsidR="009F700F" w:rsidRPr="00753A8B" w:rsidRDefault="009F700F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p w14:paraId="18DD021D" w14:textId="1CD8A053" w:rsidR="009F700F" w:rsidRPr="00753A8B" w:rsidRDefault="009F700F" w:rsidP="00EE21CA">
      <w:pPr>
        <w:jc w:val="both"/>
        <w:rPr>
          <w:color w:val="1F497D" w:themeColor="text2"/>
          <w:sz w:val="20"/>
          <w:szCs w:val="20"/>
          <w:lang w:val="pl-PL"/>
        </w:rPr>
      </w:pPr>
      <w:r w:rsidRPr="00753A8B">
        <w:rPr>
          <w:color w:val="1F497D" w:themeColor="text2"/>
          <w:sz w:val="20"/>
          <w:szCs w:val="20"/>
          <w:lang w:val="pl-PL"/>
        </w:rPr>
        <w:t xml:space="preserve">Boehringer Ingelheim posiada 4 Centra Usług Biznesowych na całym świecie, w </w:t>
      </w:r>
      <w:proofErr w:type="spellStart"/>
      <w:r w:rsidRPr="00753A8B">
        <w:rPr>
          <w:color w:val="1F497D" w:themeColor="text2"/>
          <w:sz w:val="20"/>
          <w:szCs w:val="20"/>
          <w:lang w:val="pl-PL"/>
        </w:rPr>
        <w:t>Ingelheim</w:t>
      </w:r>
      <w:proofErr w:type="spellEnd"/>
      <w:r w:rsidRPr="00753A8B">
        <w:rPr>
          <w:color w:val="1F497D" w:themeColor="text2"/>
          <w:sz w:val="20"/>
          <w:szCs w:val="20"/>
          <w:lang w:val="pl-PL"/>
        </w:rPr>
        <w:t xml:space="preserve">, Buenos Aires, </w:t>
      </w:r>
      <w:proofErr w:type="spellStart"/>
      <w:r w:rsidRPr="00753A8B">
        <w:rPr>
          <w:color w:val="1F497D" w:themeColor="text2"/>
          <w:sz w:val="20"/>
          <w:szCs w:val="20"/>
          <w:lang w:val="pl-PL"/>
        </w:rPr>
        <w:t>Manilli</w:t>
      </w:r>
      <w:proofErr w:type="spellEnd"/>
      <w:r w:rsidRPr="00753A8B">
        <w:rPr>
          <w:color w:val="1F497D" w:themeColor="text2"/>
          <w:sz w:val="20"/>
          <w:szCs w:val="20"/>
          <w:lang w:val="pl-PL"/>
        </w:rPr>
        <w:t xml:space="preserve"> i Wrocławiu. Wrocławskie centrum będzie się dalej rozwijać i stopniowo stanie się europejskim centralnym </w:t>
      </w:r>
      <w:proofErr w:type="spellStart"/>
      <w:r w:rsidRPr="00753A8B">
        <w:rPr>
          <w:color w:val="1F497D" w:themeColor="text2"/>
          <w:sz w:val="20"/>
          <w:szCs w:val="20"/>
          <w:lang w:val="pl-PL"/>
        </w:rPr>
        <w:t>hubem</w:t>
      </w:r>
      <w:proofErr w:type="spellEnd"/>
      <w:r w:rsidRPr="00753A8B">
        <w:rPr>
          <w:color w:val="1F497D" w:themeColor="text2"/>
          <w:sz w:val="20"/>
          <w:szCs w:val="20"/>
          <w:lang w:val="pl-PL"/>
        </w:rPr>
        <w:t xml:space="preserve"> Global Business Services (GBS) Center Network. Specjaliści zatrudnieni we wrocławskim centrum pozwolą europejskim organizacjom firmy skupić się na swoich kluczowych kompetencjach, tworząc przełomowe terapie i leki dla ludzi i zwierząt.</w:t>
      </w:r>
    </w:p>
    <w:p w14:paraId="7F7C8DCB" w14:textId="77777777" w:rsidR="00FD3E5E" w:rsidRPr="00753A8B" w:rsidRDefault="00FD3E5E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p w14:paraId="2A699F49" w14:textId="77777777" w:rsidR="00FD3E5E" w:rsidRDefault="00FD3E5E" w:rsidP="00EE21CA">
      <w:pPr>
        <w:rPr>
          <w:color w:val="1F497D" w:themeColor="text2"/>
          <w:lang w:val="pl-PL"/>
        </w:rPr>
      </w:pPr>
    </w:p>
    <w:p w14:paraId="53361049" w14:textId="77777777" w:rsidR="00555932" w:rsidRPr="00753A8B" w:rsidRDefault="00555932" w:rsidP="00EE21CA">
      <w:pPr>
        <w:rPr>
          <w:color w:val="1F497D" w:themeColor="text2"/>
          <w:lang w:val="pl-PL"/>
        </w:rPr>
      </w:pPr>
    </w:p>
    <w:p w14:paraId="31108771" w14:textId="77777777" w:rsidR="00FD3E5E" w:rsidRPr="00753A8B" w:rsidRDefault="00FD3E5E" w:rsidP="00EE21CA">
      <w:pPr>
        <w:rPr>
          <w:b/>
          <w:i/>
          <w:color w:val="1F497D" w:themeColor="text2"/>
          <w:sz w:val="20"/>
          <w:szCs w:val="20"/>
          <w:lang w:val="pl-PL"/>
        </w:rPr>
      </w:pPr>
      <w:r w:rsidRPr="00753A8B">
        <w:rPr>
          <w:b/>
          <w:i/>
          <w:color w:val="1F497D" w:themeColor="text2"/>
          <w:sz w:val="20"/>
          <w:szCs w:val="20"/>
          <w:lang w:val="pl-PL"/>
        </w:rPr>
        <w:t>O firmie Boehringer Ingelheim</w:t>
      </w:r>
    </w:p>
    <w:p w14:paraId="6228BE4F" w14:textId="77777777" w:rsidR="00FD3E5E" w:rsidRPr="00753A8B" w:rsidRDefault="00FD3E5E" w:rsidP="00EE21CA">
      <w:pPr>
        <w:rPr>
          <w:i/>
          <w:color w:val="1F497D" w:themeColor="text2"/>
          <w:sz w:val="18"/>
          <w:szCs w:val="20"/>
          <w:lang w:val="pl-PL"/>
        </w:rPr>
      </w:pPr>
    </w:p>
    <w:p w14:paraId="5019C8BF" w14:textId="77777777" w:rsidR="00FD3E5E" w:rsidRPr="00753A8B" w:rsidRDefault="00FD3E5E" w:rsidP="00EE21CA">
      <w:pPr>
        <w:rPr>
          <w:i/>
          <w:color w:val="1F497D" w:themeColor="text2"/>
          <w:sz w:val="18"/>
          <w:szCs w:val="20"/>
          <w:lang w:val="pl-PL"/>
        </w:rPr>
      </w:pPr>
      <w:r w:rsidRPr="00753A8B">
        <w:rPr>
          <w:i/>
          <w:color w:val="1F497D" w:themeColor="text2"/>
          <w:sz w:val="18"/>
          <w:szCs w:val="20"/>
          <w:lang w:val="pl-PL"/>
        </w:rPr>
        <w:t xml:space="preserve">Boehringer Ingelheim opracowuje przełomowe terapie, które poprawiają jakość życia ludzi i zwierząt. Jako wiodąca firma farmaceutyczna, Boehringer Ingelheim tworzy wartość poprzez opracowywanie innowacyjnych terapii w obszarach, w których istnieją ważne, niezaspokojone potrzeby medyczne. Od momentu założenia w 1885 roku, firma Boehringer Ingelheim pozostaje własnością rodzinną i kieruje się długoterminową perspektywą. Około 52.000 pracowników działa na ponad 130 rynkach w trzech jednostkach biznesowych </w:t>
      </w:r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 xml:space="preserve">- Human Pharma, </w:t>
      </w:r>
      <w:proofErr w:type="spellStart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>Animal</w:t>
      </w:r>
      <w:proofErr w:type="spellEnd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 xml:space="preserve"> </w:t>
      </w:r>
      <w:proofErr w:type="spellStart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>Health</w:t>
      </w:r>
      <w:proofErr w:type="spellEnd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 xml:space="preserve"> i </w:t>
      </w:r>
      <w:proofErr w:type="spellStart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>Biopharmaceutical</w:t>
      </w:r>
      <w:proofErr w:type="spellEnd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 xml:space="preserve"> </w:t>
      </w:r>
      <w:proofErr w:type="spellStart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>Contract</w:t>
      </w:r>
      <w:proofErr w:type="spellEnd"/>
      <w:r w:rsidRPr="00914421">
        <w:rPr>
          <w:i/>
          <w:color w:val="1F497D" w:themeColor="text2"/>
          <w:sz w:val="18"/>
          <w:szCs w:val="20"/>
          <w:highlight w:val="yellow"/>
          <w:lang w:val="pl-PL"/>
        </w:rPr>
        <w:t xml:space="preserve"> Manufacturing.</w:t>
      </w:r>
    </w:p>
    <w:p w14:paraId="08371E62" w14:textId="77777777" w:rsidR="00FD3E5E" w:rsidRPr="00753A8B" w:rsidRDefault="00FD3E5E" w:rsidP="00EE21CA">
      <w:pPr>
        <w:rPr>
          <w:i/>
          <w:color w:val="1F497D" w:themeColor="text2"/>
          <w:sz w:val="18"/>
          <w:szCs w:val="20"/>
          <w:lang w:val="pl-PL"/>
        </w:rPr>
      </w:pPr>
    </w:p>
    <w:p w14:paraId="459544A8" w14:textId="77777777" w:rsidR="00FD3E5E" w:rsidRPr="00753A8B" w:rsidRDefault="00FD3E5E" w:rsidP="00EE21CA">
      <w:pPr>
        <w:rPr>
          <w:i/>
          <w:color w:val="1F497D" w:themeColor="text2"/>
          <w:sz w:val="18"/>
          <w:szCs w:val="20"/>
          <w:lang w:val="pl-PL"/>
        </w:rPr>
      </w:pPr>
      <w:r w:rsidRPr="00753A8B">
        <w:rPr>
          <w:i/>
          <w:color w:val="1F497D" w:themeColor="text2"/>
          <w:sz w:val="18"/>
          <w:szCs w:val="20"/>
          <w:lang w:val="pl-PL"/>
        </w:rPr>
        <w:t xml:space="preserve">Więcej informacji można znaleźć na stronie </w:t>
      </w:r>
      <w:hyperlink r:id="rId8">
        <w:r w:rsidRPr="00753A8B">
          <w:rPr>
            <w:i/>
            <w:color w:val="1F497D" w:themeColor="text2"/>
            <w:sz w:val="18"/>
            <w:szCs w:val="20"/>
            <w:u w:val="single"/>
            <w:lang w:val="pl-PL"/>
          </w:rPr>
          <w:t>www.boehringer-ingelheim.com</w:t>
        </w:r>
      </w:hyperlink>
      <w:r w:rsidRPr="00753A8B">
        <w:rPr>
          <w:i/>
          <w:color w:val="1F497D" w:themeColor="text2"/>
          <w:sz w:val="18"/>
          <w:szCs w:val="20"/>
          <w:lang w:val="pl-PL"/>
        </w:rPr>
        <w:t>.</w:t>
      </w:r>
    </w:p>
    <w:p w14:paraId="0A77BD92" w14:textId="77777777" w:rsidR="00FD3E5E" w:rsidRPr="00753A8B" w:rsidRDefault="00FD3E5E" w:rsidP="00EE21CA">
      <w:pPr>
        <w:rPr>
          <w:color w:val="1F497D" w:themeColor="text2"/>
          <w:lang w:val="pl-PL"/>
        </w:rPr>
      </w:pPr>
    </w:p>
    <w:p w14:paraId="2EB04A07" w14:textId="77777777" w:rsidR="00FD3E5E" w:rsidRPr="00753A8B" w:rsidRDefault="00FD3E5E" w:rsidP="00EE21CA">
      <w:pPr>
        <w:rPr>
          <w:color w:val="1F497D" w:themeColor="text2"/>
          <w:lang w:val="pl-PL"/>
        </w:rPr>
      </w:pPr>
    </w:p>
    <w:p w14:paraId="3C14CD07" w14:textId="77777777" w:rsidR="00FD3E5E" w:rsidRPr="00753A8B" w:rsidRDefault="00FD3E5E" w:rsidP="00EE21CA">
      <w:pPr>
        <w:rPr>
          <w:b/>
          <w:color w:val="1F497D" w:themeColor="text2"/>
          <w:sz w:val="18"/>
          <w:u w:val="single"/>
          <w:lang w:val="pl-PL"/>
        </w:rPr>
      </w:pPr>
      <w:r w:rsidRPr="00753A8B">
        <w:rPr>
          <w:b/>
          <w:color w:val="1F497D" w:themeColor="text2"/>
          <w:sz w:val="18"/>
          <w:u w:val="single"/>
          <w:lang w:val="pl-PL"/>
        </w:rPr>
        <w:t>Kontakty dla mediów:</w:t>
      </w:r>
    </w:p>
    <w:p w14:paraId="050A6142" w14:textId="77777777" w:rsidR="00FD3E5E" w:rsidRPr="00753A8B" w:rsidRDefault="00FD3E5E" w:rsidP="00EE21CA">
      <w:pPr>
        <w:rPr>
          <w:b/>
          <w:color w:val="1F497D" w:themeColor="text2"/>
          <w:sz w:val="18"/>
          <w:u w:val="single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FD3E5E" w:rsidRPr="00753A8B" w14:paraId="7999BF0A" w14:textId="77777777" w:rsidTr="00B120AA">
        <w:tc>
          <w:tcPr>
            <w:tcW w:w="2943" w:type="dxa"/>
          </w:tcPr>
          <w:p w14:paraId="7A41E109" w14:textId="77777777" w:rsidR="00FD3E5E" w:rsidRPr="00753A8B" w:rsidRDefault="00FD3E5E" w:rsidP="00EE21CA">
            <w:pPr>
              <w:spacing w:line="276" w:lineRule="auto"/>
              <w:rPr>
                <w:b/>
                <w:color w:val="1F497D" w:themeColor="text2"/>
                <w:sz w:val="18"/>
                <w:lang w:val="pl-PL"/>
              </w:rPr>
            </w:pPr>
            <w:r w:rsidRPr="00753A8B">
              <w:rPr>
                <w:b/>
                <w:color w:val="1F497D" w:themeColor="text2"/>
                <w:sz w:val="18"/>
                <w:lang w:val="pl-PL"/>
              </w:rPr>
              <w:t>Paweł Luty</w:t>
            </w:r>
          </w:p>
          <w:p w14:paraId="4C632216" w14:textId="77777777" w:rsidR="00FD3E5E" w:rsidRPr="00753A8B" w:rsidRDefault="00FD3E5E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Senior Consultant</w:t>
            </w:r>
          </w:p>
          <w:p w14:paraId="121F7DBD" w14:textId="77777777" w:rsidR="00FD3E5E" w:rsidRPr="00753A8B" w:rsidRDefault="00FD3E5E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Linkleaders</w:t>
            </w:r>
          </w:p>
          <w:p w14:paraId="5D2763AC" w14:textId="77777777" w:rsidR="00FD3E5E" w:rsidRPr="00753A8B" w:rsidRDefault="0000033C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hyperlink r:id="rId9">
              <w:r w:rsidR="00FD3E5E" w:rsidRPr="00753A8B">
                <w:rPr>
                  <w:color w:val="1F497D" w:themeColor="text2"/>
                  <w:sz w:val="18"/>
                  <w:u w:val="single"/>
                  <w:lang w:val="pl-PL"/>
                </w:rPr>
                <w:t>pawel.luty@linkleadrers.pl</w:t>
              </w:r>
            </w:hyperlink>
            <w:r w:rsidR="00FD3E5E" w:rsidRPr="00753A8B">
              <w:rPr>
                <w:color w:val="1F497D" w:themeColor="text2"/>
                <w:sz w:val="18"/>
                <w:lang w:val="pl-PL"/>
              </w:rPr>
              <w:t xml:space="preserve"> </w:t>
            </w:r>
          </w:p>
          <w:p w14:paraId="4B27972C" w14:textId="77777777" w:rsidR="00FD3E5E" w:rsidRPr="00753A8B" w:rsidRDefault="00FD3E5E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+48 533 890 507</w:t>
            </w:r>
          </w:p>
        </w:tc>
        <w:tc>
          <w:tcPr>
            <w:tcW w:w="3544" w:type="dxa"/>
          </w:tcPr>
          <w:p w14:paraId="48DF5D15" w14:textId="77777777" w:rsidR="00FD3E5E" w:rsidRPr="00753A8B" w:rsidRDefault="00FD3E5E" w:rsidP="00EE21CA">
            <w:pPr>
              <w:spacing w:line="276" w:lineRule="auto"/>
              <w:rPr>
                <w:b/>
                <w:color w:val="1F497D" w:themeColor="text2"/>
                <w:sz w:val="18"/>
                <w:lang w:val="pl-PL"/>
              </w:rPr>
            </w:pPr>
            <w:r w:rsidRPr="00753A8B">
              <w:rPr>
                <w:b/>
                <w:color w:val="1F497D" w:themeColor="text2"/>
                <w:sz w:val="18"/>
                <w:lang w:val="pl-PL"/>
              </w:rPr>
              <w:t>Aleksandra Witkowska</w:t>
            </w:r>
          </w:p>
          <w:p w14:paraId="3C02D043" w14:textId="77777777" w:rsidR="00FD3E5E" w:rsidRPr="00753A8B" w:rsidRDefault="00FD3E5E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PR Consultant</w:t>
            </w:r>
          </w:p>
          <w:p w14:paraId="52FC67D1" w14:textId="77777777" w:rsidR="00FD3E5E" w:rsidRPr="00753A8B" w:rsidRDefault="00FD3E5E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Linkleaders</w:t>
            </w:r>
          </w:p>
          <w:p w14:paraId="38278FB9" w14:textId="77777777" w:rsidR="00FD3E5E" w:rsidRPr="00753A8B" w:rsidRDefault="0000033C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hyperlink r:id="rId10" w:history="1">
              <w:r w:rsidR="00FD3E5E" w:rsidRPr="00753A8B">
                <w:rPr>
                  <w:rStyle w:val="Hipercze"/>
                  <w:color w:val="1F497D" w:themeColor="text2"/>
                  <w:sz w:val="18"/>
                  <w:lang w:val="pl-PL"/>
                </w:rPr>
                <w:t>aleksandra.witkowska@linkleaders.pl</w:t>
              </w:r>
            </w:hyperlink>
          </w:p>
          <w:p w14:paraId="60C17B08" w14:textId="77777777" w:rsidR="00FD3E5E" w:rsidRPr="00753A8B" w:rsidRDefault="00FD3E5E" w:rsidP="00EE21CA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+48 693 407 831</w:t>
            </w:r>
          </w:p>
        </w:tc>
      </w:tr>
    </w:tbl>
    <w:p w14:paraId="1A42DA5F" w14:textId="77777777" w:rsidR="00FD3E5E" w:rsidRPr="00753A8B" w:rsidRDefault="00FD3E5E" w:rsidP="00EE21CA">
      <w:pPr>
        <w:rPr>
          <w:b/>
          <w:color w:val="1F497D" w:themeColor="text2"/>
          <w:sz w:val="18"/>
          <w:u w:val="single"/>
          <w:lang w:val="pl-PL"/>
        </w:rPr>
      </w:pPr>
    </w:p>
    <w:p w14:paraId="11C02C2E" w14:textId="77777777" w:rsidR="00FD3E5E" w:rsidRPr="00753A8B" w:rsidRDefault="00FD3E5E" w:rsidP="00EE21CA">
      <w:pPr>
        <w:rPr>
          <w:b/>
          <w:color w:val="1F497D" w:themeColor="text2"/>
          <w:sz w:val="18"/>
          <w:u w:val="single"/>
          <w:lang w:val="pl-PL"/>
        </w:rPr>
      </w:pPr>
    </w:p>
    <w:p w14:paraId="68589C1B" w14:textId="77777777" w:rsidR="00FD3E5E" w:rsidRPr="00753A8B" w:rsidRDefault="00FD3E5E" w:rsidP="00EE21CA">
      <w:pPr>
        <w:jc w:val="both"/>
        <w:rPr>
          <w:color w:val="1F497D" w:themeColor="text2"/>
          <w:sz w:val="20"/>
          <w:szCs w:val="20"/>
          <w:lang w:val="pl-PL"/>
        </w:rPr>
      </w:pPr>
    </w:p>
    <w:sectPr w:rsidR="00FD3E5E" w:rsidRPr="00753A8B" w:rsidSect="0028740C">
      <w:headerReference w:type="default" r:id="rId11"/>
      <w:pgSz w:w="11909" w:h="16834"/>
      <w:pgMar w:top="173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EF4B" w14:textId="77777777" w:rsidR="0000033C" w:rsidRDefault="0000033C" w:rsidP="0028740C">
      <w:pPr>
        <w:spacing w:line="240" w:lineRule="auto"/>
      </w:pPr>
      <w:r>
        <w:separator/>
      </w:r>
    </w:p>
  </w:endnote>
  <w:endnote w:type="continuationSeparator" w:id="0">
    <w:p w14:paraId="6748CAA8" w14:textId="77777777" w:rsidR="0000033C" w:rsidRDefault="0000033C" w:rsidP="00287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DE04" w14:textId="77777777" w:rsidR="0000033C" w:rsidRDefault="0000033C" w:rsidP="0028740C">
      <w:pPr>
        <w:spacing w:line="240" w:lineRule="auto"/>
      </w:pPr>
      <w:r>
        <w:separator/>
      </w:r>
    </w:p>
  </w:footnote>
  <w:footnote w:type="continuationSeparator" w:id="0">
    <w:p w14:paraId="7935E5F8" w14:textId="77777777" w:rsidR="0000033C" w:rsidRDefault="0000033C" w:rsidP="00287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428A" w14:textId="3B5CC4A2" w:rsidR="0028740C" w:rsidRDefault="0028740C" w:rsidP="0028740C">
    <w:pPr>
      <w:pStyle w:val="Nagwek"/>
      <w:jc w:val="right"/>
    </w:pPr>
    <w:r>
      <w:rPr>
        <w:noProof/>
        <w:lang w:val="pl-PL"/>
      </w:rPr>
      <w:drawing>
        <wp:inline distT="114300" distB="114300" distL="114300" distR="114300" wp14:anchorId="70F04ED8" wp14:editId="5631866E">
          <wp:extent cx="1352550" cy="414601"/>
          <wp:effectExtent l="0" t="0" r="0" b="508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129" cy="41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CE7"/>
    <w:multiLevelType w:val="hybridMultilevel"/>
    <w:tmpl w:val="B35EACC6"/>
    <w:lvl w:ilvl="0" w:tplc="7570C8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88C"/>
    <w:multiLevelType w:val="hybridMultilevel"/>
    <w:tmpl w:val="D056F5DA"/>
    <w:lvl w:ilvl="0" w:tplc="16FE75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5C5D"/>
    <w:multiLevelType w:val="hybridMultilevel"/>
    <w:tmpl w:val="40D2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D8A"/>
    <w:multiLevelType w:val="hybridMultilevel"/>
    <w:tmpl w:val="43F4389E"/>
    <w:lvl w:ilvl="0" w:tplc="9B3A9E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7CFA"/>
    <w:multiLevelType w:val="hybridMultilevel"/>
    <w:tmpl w:val="C98A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583"/>
    <w:multiLevelType w:val="hybridMultilevel"/>
    <w:tmpl w:val="49A0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138D"/>
    <w:multiLevelType w:val="hybridMultilevel"/>
    <w:tmpl w:val="9E302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3E56"/>
    <w:multiLevelType w:val="hybridMultilevel"/>
    <w:tmpl w:val="4ED81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E5709"/>
    <w:multiLevelType w:val="hybridMultilevel"/>
    <w:tmpl w:val="9B52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E028D"/>
    <w:multiLevelType w:val="hybridMultilevel"/>
    <w:tmpl w:val="87EA8C38"/>
    <w:lvl w:ilvl="0" w:tplc="C37E6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040366">
    <w:abstractNumId w:val="0"/>
  </w:num>
  <w:num w:numId="2" w16cid:durableId="1543058196">
    <w:abstractNumId w:val="3"/>
  </w:num>
  <w:num w:numId="3" w16cid:durableId="1742092084">
    <w:abstractNumId w:val="9"/>
  </w:num>
  <w:num w:numId="4" w16cid:durableId="337972539">
    <w:abstractNumId w:val="5"/>
  </w:num>
  <w:num w:numId="5" w16cid:durableId="1471748967">
    <w:abstractNumId w:val="2"/>
  </w:num>
  <w:num w:numId="6" w16cid:durableId="554899429">
    <w:abstractNumId w:val="4"/>
  </w:num>
  <w:num w:numId="7" w16cid:durableId="1497574762">
    <w:abstractNumId w:val="6"/>
  </w:num>
  <w:num w:numId="8" w16cid:durableId="982270606">
    <w:abstractNumId w:val="7"/>
  </w:num>
  <w:num w:numId="9" w16cid:durableId="1343243698">
    <w:abstractNumId w:val="1"/>
  </w:num>
  <w:num w:numId="10" w16cid:durableId="1810781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30"/>
    <w:rsid w:val="0000033C"/>
    <w:rsid w:val="00001B67"/>
    <w:rsid w:val="000114AB"/>
    <w:rsid w:val="0001294D"/>
    <w:rsid w:val="00015E98"/>
    <w:rsid w:val="000171B5"/>
    <w:rsid w:val="00017F82"/>
    <w:rsid w:val="00020ABE"/>
    <w:rsid w:val="00022615"/>
    <w:rsid w:val="00023C5D"/>
    <w:rsid w:val="00024EF4"/>
    <w:rsid w:val="00026197"/>
    <w:rsid w:val="0002733A"/>
    <w:rsid w:val="00032370"/>
    <w:rsid w:val="00034DBB"/>
    <w:rsid w:val="000370D9"/>
    <w:rsid w:val="000372EE"/>
    <w:rsid w:val="000446DB"/>
    <w:rsid w:val="00047819"/>
    <w:rsid w:val="0005286E"/>
    <w:rsid w:val="00063ECE"/>
    <w:rsid w:val="00064BD8"/>
    <w:rsid w:val="00067670"/>
    <w:rsid w:val="00075A46"/>
    <w:rsid w:val="000763AF"/>
    <w:rsid w:val="00084299"/>
    <w:rsid w:val="00094B49"/>
    <w:rsid w:val="00096561"/>
    <w:rsid w:val="000A33BF"/>
    <w:rsid w:val="000A3434"/>
    <w:rsid w:val="000A3B95"/>
    <w:rsid w:val="000B1850"/>
    <w:rsid w:val="000B6D36"/>
    <w:rsid w:val="000C1F02"/>
    <w:rsid w:val="000D5E3E"/>
    <w:rsid w:val="000E160A"/>
    <w:rsid w:val="000E20C0"/>
    <w:rsid w:val="000F0C4F"/>
    <w:rsid w:val="000F7C7B"/>
    <w:rsid w:val="00100D6E"/>
    <w:rsid w:val="00104708"/>
    <w:rsid w:val="00133CF5"/>
    <w:rsid w:val="00135D3B"/>
    <w:rsid w:val="001415C1"/>
    <w:rsid w:val="001464C4"/>
    <w:rsid w:val="00146800"/>
    <w:rsid w:val="001524D1"/>
    <w:rsid w:val="00155738"/>
    <w:rsid w:val="00155EAE"/>
    <w:rsid w:val="001565A2"/>
    <w:rsid w:val="00156727"/>
    <w:rsid w:val="00163F06"/>
    <w:rsid w:val="00170F64"/>
    <w:rsid w:val="001742D3"/>
    <w:rsid w:val="00174C5D"/>
    <w:rsid w:val="00190D14"/>
    <w:rsid w:val="001942DD"/>
    <w:rsid w:val="00194B36"/>
    <w:rsid w:val="001A1B9D"/>
    <w:rsid w:val="001A1D2F"/>
    <w:rsid w:val="001A3904"/>
    <w:rsid w:val="001A6939"/>
    <w:rsid w:val="001B01E5"/>
    <w:rsid w:val="001B3D93"/>
    <w:rsid w:val="001B48E6"/>
    <w:rsid w:val="001C5186"/>
    <w:rsid w:val="001C57C4"/>
    <w:rsid w:val="001C69BC"/>
    <w:rsid w:val="001C6AE8"/>
    <w:rsid w:val="001D1E49"/>
    <w:rsid w:val="001D48FB"/>
    <w:rsid w:val="001D59B0"/>
    <w:rsid w:val="001D68AB"/>
    <w:rsid w:val="001D7408"/>
    <w:rsid w:val="001E1225"/>
    <w:rsid w:val="001E4E2E"/>
    <w:rsid w:val="001E6F4E"/>
    <w:rsid w:val="001F0542"/>
    <w:rsid w:val="001F37B9"/>
    <w:rsid w:val="001F748C"/>
    <w:rsid w:val="00200EE5"/>
    <w:rsid w:val="00212D52"/>
    <w:rsid w:val="00215BC3"/>
    <w:rsid w:val="002231B4"/>
    <w:rsid w:val="00224BC2"/>
    <w:rsid w:val="002266AE"/>
    <w:rsid w:val="002273C5"/>
    <w:rsid w:val="00227658"/>
    <w:rsid w:val="0023294D"/>
    <w:rsid w:val="00232D55"/>
    <w:rsid w:val="00237040"/>
    <w:rsid w:val="0024299D"/>
    <w:rsid w:val="00247EF0"/>
    <w:rsid w:val="00252656"/>
    <w:rsid w:val="002543A9"/>
    <w:rsid w:val="00257358"/>
    <w:rsid w:val="00260917"/>
    <w:rsid w:val="0026168E"/>
    <w:rsid w:val="00263066"/>
    <w:rsid w:val="002639D5"/>
    <w:rsid w:val="00276DF6"/>
    <w:rsid w:val="002802A2"/>
    <w:rsid w:val="00286E44"/>
    <w:rsid w:val="0028740C"/>
    <w:rsid w:val="0029669C"/>
    <w:rsid w:val="0029744E"/>
    <w:rsid w:val="002A14B1"/>
    <w:rsid w:val="002A4840"/>
    <w:rsid w:val="002B4B3B"/>
    <w:rsid w:val="002B6251"/>
    <w:rsid w:val="002C0C73"/>
    <w:rsid w:val="002C5D9F"/>
    <w:rsid w:val="002C76FE"/>
    <w:rsid w:val="002E27AB"/>
    <w:rsid w:val="002E480C"/>
    <w:rsid w:val="002E540C"/>
    <w:rsid w:val="002F20C0"/>
    <w:rsid w:val="002F63C3"/>
    <w:rsid w:val="002F7D33"/>
    <w:rsid w:val="003239E3"/>
    <w:rsid w:val="00327B75"/>
    <w:rsid w:val="0033436E"/>
    <w:rsid w:val="00336C14"/>
    <w:rsid w:val="003453A3"/>
    <w:rsid w:val="003459CA"/>
    <w:rsid w:val="003610C9"/>
    <w:rsid w:val="00361634"/>
    <w:rsid w:val="00361D89"/>
    <w:rsid w:val="00364C1D"/>
    <w:rsid w:val="003704C1"/>
    <w:rsid w:val="00370C65"/>
    <w:rsid w:val="00377F96"/>
    <w:rsid w:val="0038329D"/>
    <w:rsid w:val="00385855"/>
    <w:rsid w:val="00387C8F"/>
    <w:rsid w:val="003A22CF"/>
    <w:rsid w:val="003A4146"/>
    <w:rsid w:val="003A73A0"/>
    <w:rsid w:val="003B03A1"/>
    <w:rsid w:val="003B2C42"/>
    <w:rsid w:val="003B50AA"/>
    <w:rsid w:val="003B545C"/>
    <w:rsid w:val="003B6DEC"/>
    <w:rsid w:val="003B7073"/>
    <w:rsid w:val="003B7C36"/>
    <w:rsid w:val="003C4457"/>
    <w:rsid w:val="003D1555"/>
    <w:rsid w:val="003D637C"/>
    <w:rsid w:val="003D686D"/>
    <w:rsid w:val="003F2514"/>
    <w:rsid w:val="003F2E46"/>
    <w:rsid w:val="00403013"/>
    <w:rsid w:val="004118B6"/>
    <w:rsid w:val="004213DD"/>
    <w:rsid w:val="004251A7"/>
    <w:rsid w:val="0043187C"/>
    <w:rsid w:val="00436A7C"/>
    <w:rsid w:val="004447D1"/>
    <w:rsid w:val="004612CE"/>
    <w:rsid w:val="00462294"/>
    <w:rsid w:val="00463BCE"/>
    <w:rsid w:val="00466EAE"/>
    <w:rsid w:val="004677C9"/>
    <w:rsid w:val="00470603"/>
    <w:rsid w:val="00472969"/>
    <w:rsid w:val="004810C7"/>
    <w:rsid w:val="00482A3F"/>
    <w:rsid w:val="00490D0D"/>
    <w:rsid w:val="00495CFA"/>
    <w:rsid w:val="004A02B4"/>
    <w:rsid w:val="004A1816"/>
    <w:rsid w:val="004B2277"/>
    <w:rsid w:val="004B3233"/>
    <w:rsid w:val="004B5031"/>
    <w:rsid w:val="004B5763"/>
    <w:rsid w:val="004C17A1"/>
    <w:rsid w:val="004E2DB2"/>
    <w:rsid w:val="004E3739"/>
    <w:rsid w:val="004F2441"/>
    <w:rsid w:val="004F3D72"/>
    <w:rsid w:val="004F789D"/>
    <w:rsid w:val="00503A1E"/>
    <w:rsid w:val="00515760"/>
    <w:rsid w:val="0051613D"/>
    <w:rsid w:val="00516AF6"/>
    <w:rsid w:val="00520817"/>
    <w:rsid w:val="00532368"/>
    <w:rsid w:val="005324AC"/>
    <w:rsid w:val="005355B9"/>
    <w:rsid w:val="00541F65"/>
    <w:rsid w:val="00544A8C"/>
    <w:rsid w:val="0054787F"/>
    <w:rsid w:val="00555932"/>
    <w:rsid w:val="0055618A"/>
    <w:rsid w:val="00557847"/>
    <w:rsid w:val="005617C3"/>
    <w:rsid w:val="0057038B"/>
    <w:rsid w:val="005924EA"/>
    <w:rsid w:val="005955A5"/>
    <w:rsid w:val="005A11F0"/>
    <w:rsid w:val="005A1D87"/>
    <w:rsid w:val="005B7C37"/>
    <w:rsid w:val="005C24E5"/>
    <w:rsid w:val="005C2D5D"/>
    <w:rsid w:val="005C3727"/>
    <w:rsid w:val="005C41B8"/>
    <w:rsid w:val="005D1B59"/>
    <w:rsid w:val="005D2DB8"/>
    <w:rsid w:val="005D44E8"/>
    <w:rsid w:val="005D6571"/>
    <w:rsid w:val="005F2F3C"/>
    <w:rsid w:val="005F77ED"/>
    <w:rsid w:val="006048C7"/>
    <w:rsid w:val="00623082"/>
    <w:rsid w:val="00627520"/>
    <w:rsid w:val="00627767"/>
    <w:rsid w:val="00631818"/>
    <w:rsid w:val="00643B1B"/>
    <w:rsid w:val="006471CD"/>
    <w:rsid w:val="00655D6A"/>
    <w:rsid w:val="00656F17"/>
    <w:rsid w:val="00661880"/>
    <w:rsid w:val="00685363"/>
    <w:rsid w:val="00697BD5"/>
    <w:rsid w:val="00697DC3"/>
    <w:rsid w:val="006A0A30"/>
    <w:rsid w:val="006A2652"/>
    <w:rsid w:val="006A4506"/>
    <w:rsid w:val="006B5210"/>
    <w:rsid w:val="006C179E"/>
    <w:rsid w:val="006C1B12"/>
    <w:rsid w:val="006C5394"/>
    <w:rsid w:val="006D7149"/>
    <w:rsid w:val="006F2772"/>
    <w:rsid w:val="00701B13"/>
    <w:rsid w:val="00710637"/>
    <w:rsid w:val="00712052"/>
    <w:rsid w:val="00713B9B"/>
    <w:rsid w:val="00714A0B"/>
    <w:rsid w:val="00716D12"/>
    <w:rsid w:val="00725845"/>
    <w:rsid w:val="00726873"/>
    <w:rsid w:val="00727D82"/>
    <w:rsid w:val="00734B08"/>
    <w:rsid w:val="007475AC"/>
    <w:rsid w:val="00751BC0"/>
    <w:rsid w:val="00753A8B"/>
    <w:rsid w:val="00754DD3"/>
    <w:rsid w:val="007647F7"/>
    <w:rsid w:val="00773375"/>
    <w:rsid w:val="007739FE"/>
    <w:rsid w:val="00780049"/>
    <w:rsid w:val="00781455"/>
    <w:rsid w:val="00781BB7"/>
    <w:rsid w:val="00783496"/>
    <w:rsid w:val="00797556"/>
    <w:rsid w:val="007A7B28"/>
    <w:rsid w:val="007C2BAD"/>
    <w:rsid w:val="007C54F5"/>
    <w:rsid w:val="007C6B91"/>
    <w:rsid w:val="007D54C0"/>
    <w:rsid w:val="007E5B71"/>
    <w:rsid w:val="007F0CCF"/>
    <w:rsid w:val="007F3ADB"/>
    <w:rsid w:val="007F75BF"/>
    <w:rsid w:val="00811AF1"/>
    <w:rsid w:val="00821D24"/>
    <w:rsid w:val="0083047B"/>
    <w:rsid w:val="00834107"/>
    <w:rsid w:val="008515C1"/>
    <w:rsid w:val="008538F4"/>
    <w:rsid w:val="008553BE"/>
    <w:rsid w:val="00855B25"/>
    <w:rsid w:val="00861CCA"/>
    <w:rsid w:val="0086547D"/>
    <w:rsid w:val="00865B97"/>
    <w:rsid w:val="00876D26"/>
    <w:rsid w:val="008831C2"/>
    <w:rsid w:val="00890C1F"/>
    <w:rsid w:val="00891984"/>
    <w:rsid w:val="00893699"/>
    <w:rsid w:val="0089796C"/>
    <w:rsid w:val="008A00C8"/>
    <w:rsid w:val="008B2B69"/>
    <w:rsid w:val="008B4439"/>
    <w:rsid w:val="008C03F1"/>
    <w:rsid w:val="008C27CB"/>
    <w:rsid w:val="008C5268"/>
    <w:rsid w:val="008C5722"/>
    <w:rsid w:val="008D35DA"/>
    <w:rsid w:val="008E2AD4"/>
    <w:rsid w:val="00904D3D"/>
    <w:rsid w:val="009059F8"/>
    <w:rsid w:val="00906F88"/>
    <w:rsid w:val="00914421"/>
    <w:rsid w:val="00917521"/>
    <w:rsid w:val="00935AD6"/>
    <w:rsid w:val="00937943"/>
    <w:rsid w:val="00952925"/>
    <w:rsid w:val="00963FA5"/>
    <w:rsid w:val="00966F13"/>
    <w:rsid w:val="00984B5B"/>
    <w:rsid w:val="00992F66"/>
    <w:rsid w:val="009A2B94"/>
    <w:rsid w:val="009A3933"/>
    <w:rsid w:val="009A77C8"/>
    <w:rsid w:val="009B0338"/>
    <w:rsid w:val="009B1847"/>
    <w:rsid w:val="009B224F"/>
    <w:rsid w:val="009B2C80"/>
    <w:rsid w:val="009B6327"/>
    <w:rsid w:val="009B7F17"/>
    <w:rsid w:val="009C355F"/>
    <w:rsid w:val="009C669B"/>
    <w:rsid w:val="009D3EDA"/>
    <w:rsid w:val="009E1481"/>
    <w:rsid w:val="009F2DAB"/>
    <w:rsid w:val="009F3DB3"/>
    <w:rsid w:val="009F700F"/>
    <w:rsid w:val="00A035C3"/>
    <w:rsid w:val="00A11D3B"/>
    <w:rsid w:val="00A142EA"/>
    <w:rsid w:val="00A16167"/>
    <w:rsid w:val="00A2134F"/>
    <w:rsid w:val="00A23AC9"/>
    <w:rsid w:val="00A27E7E"/>
    <w:rsid w:val="00A32F8F"/>
    <w:rsid w:val="00A3468D"/>
    <w:rsid w:val="00A35B45"/>
    <w:rsid w:val="00A46A37"/>
    <w:rsid w:val="00A503B0"/>
    <w:rsid w:val="00A514B0"/>
    <w:rsid w:val="00A536BF"/>
    <w:rsid w:val="00A54E82"/>
    <w:rsid w:val="00A6264D"/>
    <w:rsid w:val="00A737FF"/>
    <w:rsid w:val="00A74101"/>
    <w:rsid w:val="00AA47BF"/>
    <w:rsid w:val="00AB61D0"/>
    <w:rsid w:val="00AE1D5D"/>
    <w:rsid w:val="00AE6A5D"/>
    <w:rsid w:val="00AE77FA"/>
    <w:rsid w:val="00AF2F4C"/>
    <w:rsid w:val="00B02B57"/>
    <w:rsid w:val="00B035CC"/>
    <w:rsid w:val="00B04832"/>
    <w:rsid w:val="00B10D32"/>
    <w:rsid w:val="00B160FC"/>
    <w:rsid w:val="00B21573"/>
    <w:rsid w:val="00B23B2C"/>
    <w:rsid w:val="00B2642F"/>
    <w:rsid w:val="00B277BC"/>
    <w:rsid w:val="00B30280"/>
    <w:rsid w:val="00B36EB4"/>
    <w:rsid w:val="00B419AC"/>
    <w:rsid w:val="00B42666"/>
    <w:rsid w:val="00B4582D"/>
    <w:rsid w:val="00B47A7D"/>
    <w:rsid w:val="00B52229"/>
    <w:rsid w:val="00B5477B"/>
    <w:rsid w:val="00B60C30"/>
    <w:rsid w:val="00B66423"/>
    <w:rsid w:val="00B70BE8"/>
    <w:rsid w:val="00B748CA"/>
    <w:rsid w:val="00B80B38"/>
    <w:rsid w:val="00B8305D"/>
    <w:rsid w:val="00B844D5"/>
    <w:rsid w:val="00B84FA3"/>
    <w:rsid w:val="00BB0C01"/>
    <w:rsid w:val="00BB46AC"/>
    <w:rsid w:val="00BB6019"/>
    <w:rsid w:val="00BD31EA"/>
    <w:rsid w:val="00BE4B4E"/>
    <w:rsid w:val="00BE610F"/>
    <w:rsid w:val="00BF2FDE"/>
    <w:rsid w:val="00C03144"/>
    <w:rsid w:val="00C033FF"/>
    <w:rsid w:val="00C04812"/>
    <w:rsid w:val="00C05D3E"/>
    <w:rsid w:val="00C126E8"/>
    <w:rsid w:val="00C14C34"/>
    <w:rsid w:val="00C23F97"/>
    <w:rsid w:val="00C24093"/>
    <w:rsid w:val="00C24CAA"/>
    <w:rsid w:val="00C25A3A"/>
    <w:rsid w:val="00C279B2"/>
    <w:rsid w:val="00C32837"/>
    <w:rsid w:val="00C3311F"/>
    <w:rsid w:val="00C423DE"/>
    <w:rsid w:val="00C42FD1"/>
    <w:rsid w:val="00C54C35"/>
    <w:rsid w:val="00C61A65"/>
    <w:rsid w:val="00C63854"/>
    <w:rsid w:val="00C77B42"/>
    <w:rsid w:val="00C91924"/>
    <w:rsid w:val="00CD173B"/>
    <w:rsid w:val="00CD46C8"/>
    <w:rsid w:val="00CD6FBB"/>
    <w:rsid w:val="00CE0A2D"/>
    <w:rsid w:val="00CE20D4"/>
    <w:rsid w:val="00CE6E17"/>
    <w:rsid w:val="00CF6511"/>
    <w:rsid w:val="00D05401"/>
    <w:rsid w:val="00D0551F"/>
    <w:rsid w:val="00D131E4"/>
    <w:rsid w:val="00D17455"/>
    <w:rsid w:val="00D17E7B"/>
    <w:rsid w:val="00D20DBF"/>
    <w:rsid w:val="00D216D1"/>
    <w:rsid w:val="00D25FF8"/>
    <w:rsid w:val="00D27445"/>
    <w:rsid w:val="00D3101F"/>
    <w:rsid w:val="00D3181C"/>
    <w:rsid w:val="00D36926"/>
    <w:rsid w:val="00D40988"/>
    <w:rsid w:val="00D425D2"/>
    <w:rsid w:val="00D430C0"/>
    <w:rsid w:val="00D47927"/>
    <w:rsid w:val="00D62F87"/>
    <w:rsid w:val="00D63BB8"/>
    <w:rsid w:val="00D6410D"/>
    <w:rsid w:val="00D64723"/>
    <w:rsid w:val="00D72104"/>
    <w:rsid w:val="00D7258F"/>
    <w:rsid w:val="00D7508A"/>
    <w:rsid w:val="00D85965"/>
    <w:rsid w:val="00DA33FF"/>
    <w:rsid w:val="00DA3F5C"/>
    <w:rsid w:val="00DA4287"/>
    <w:rsid w:val="00DA5F6C"/>
    <w:rsid w:val="00DB24D2"/>
    <w:rsid w:val="00DC033B"/>
    <w:rsid w:val="00DC3FB0"/>
    <w:rsid w:val="00DC49EF"/>
    <w:rsid w:val="00DE3836"/>
    <w:rsid w:val="00DE7D20"/>
    <w:rsid w:val="00DE7D8C"/>
    <w:rsid w:val="00DF1825"/>
    <w:rsid w:val="00E00A47"/>
    <w:rsid w:val="00E00CD9"/>
    <w:rsid w:val="00E05A9A"/>
    <w:rsid w:val="00E06123"/>
    <w:rsid w:val="00E11EBE"/>
    <w:rsid w:val="00E159C1"/>
    <w:rsid w:val="00E212CB"/>
    <w:rsid w:val="00E340A2"/>
    <w:rsid w:val="00E3498E"/>
    <w:rsid w:val="00E43232"/>
    <w:rsid w:val="00E47F44"/>
    <w:rsid w:val="00E5068C"/>
    <w:rsid w:val="00E56D71"/>
    <w:rsid w:val="00E7456A"/>
    <w:rsid w:val="00E83225"/>
    <w:rsid w:val="00EA042A"/>
    <w:rsid w:val="00EA4955"/>
    <w:rsid w:val="00EA7271"/>
    <w:rsid w:val="00EA7522"/>
    <w:rsid w:val="00EB1C06"/>
    <w:rsid w:val="00EB37CE"/>
    <w:rsid w:val="00EB4E53"/>
    <w:rsid w:val="00EB589A"/>
    <w:rsid w:val="00EB6075"/>
    <w:rsid w:val="00ED146D"/>
    <w:rsid w:val="00ED362A"/>
    <w:rsid w:val="00ED3FF4"/>
    <w:rsid w:val="00ED4203"/>
    <w:rsid w:val="00EE1E8C"/>
    <w:rsid w:val="00EE21CA"/>
    <w:rsid w:val="00EE3DA5"/>
    <w:rsid w:val="00EE77A7"/>
    <w:rsid w:val="00EE78C7"/>
    <w:rsid w:val="00EF0BA2"/>
    <w:rsid w:val="00EF0FB1"/>
    <w:rsid w:val="00EF200D"/>
    <w:rsid w:val="00EF315F"/>
    <w:rsid w:val="00EF785C"/>
    <w:rsid w:val="00EF7D2E"/>
    <w:rsid w:val="00F00B65"/>
    <w:rsid w:val="00F04E75"/>
    <w:rsid w:val="00F132F4"/>
    <w:rsid w:val="00F14A3C"/>
    <w:rsid w:val="00F17A18"/>
    <w:rsid w:val="00F21FFB"/>
    <w:rsid w:val="00F222E2"/>
    <w:rsid w:val="00F27AA1"/>
    <w:rsid w:val="00F35F40"/>
    <w:rsid w:val="00F40605"/>
    <w:rsid w:val="00F52D2B"/>
    <w:rsid w:val="00F54744"/>
    <w:rsid w:val="00F66564"/>
    <w:rsid w:val="00F70015"/>
    <w:rsid w:val="00F75E60"/>
    <w:rsid w:val="00F80320"/>
    <w:rsid w:val="00F81D07"/>
    <w:rsid w:val="00F8739A"/>
    <w:rsid w:val="00F92EEE"/>
    <w:rsid w:val="00FA1522"/>
    <w:rsid w:val="00FB0630"/>
    <w:rsid w:val="00FC33CE"/>
    <w:rsid w:val="00FC4FE0"/>
    <w:rsid w:val="00FC5DA8"/>
    <w:rsid w:val="00FD3E5E"/>
    <w:rsid w:val="00FE3762"/>
    <w:rsid w:val="00FF01A2"/>
    <w:rsid w:val="00FF061B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B0F4"/>
  <w15:docId w15:val="{D94FCC5A-92DD-D24E-A535-CF731B46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874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0C"/>
  </w:style>
  <w:style w:type="paragraph" w:styleId="Stopka">
    <w:name w:val="footer"/>
    <w:basedOn w:val="Normalny"/>
    <w:link w:val="StopkaZnak"/>
    <w:uiPriority w:val="99"/>
    <w:unhideWhenUsed/>
    <w:rsid w:val="002874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0C"/>
  </w:style>
  <w:style w:type="paragraph" w:styleId="Tekstdymka">
    <w:name w:val="Balloon Text"/>
    <w:basedOn w:val="Normalny"/>
    <w:link w:val="TekstdymkaZnak"/>
    <w:uiPriority w:val="99"/>
    <w:semiHidden/>
    <w:unhideWhenUsed/>
    <w:rsid w:val="00287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74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74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9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5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5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5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0C65"/>
    <w:pPr>
      <w:spacing w:line="240" w:lineRule="auto"/>
    </w:pPr>
  </w:style>
  <w:style w:type="paragraph" w:styleId="Bezodstpw">
    <w:name w:val="No Spacing"/>
    <w:uiPriority w:val="1"/>
    <w:qFormat/>
    <w:rsid w:val="002639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witkowska@linkleade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luty@linkleadr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E669-41D6-4BFE-AF89-D6265AB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5292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zxING Allerts,Jack (GBS PPM) EXTERNAL</dc:creator>
  <cp:lastModifiedBy>Paweł Luty</cp:lastModifiedBy>
  <cp:revision>2</cp:revision>
  <dcterms:created xsi:type="dcterms:W3CDTF">2022-05-18T11:51:00Z</dcterms:created>
  <dcterms:modified xsi:type="dcterms:W3CDTF">2022-05-18T11:51:00Z</dcterms:modified>
</cp:coreProperties>
</file>