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2E30" w14:textId="77777777" w:rsidR="006C0207" w:rsidRDefault="006C0207">
      <w:pPr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642D9E48" w14:textId="77777777" w:rsidR="006C0207" w:rsidRDefault="006C0207">
      <w:pPr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451E2EDC" w14:textId="77777777" w:rsidR="006C0207" w:rsidRDefault="006C0207">
      <w:pPr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31F88DAE" w14:textId="77777777" w:rsidR="006C0207" w:rsidRDefault="003677E4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Bezpieczeństwo bankomatów: jak skutecznie ochronić bankomat przed fizycznymi atakami? </w:t>
      </w:r>
    </w:p>
    <w:p w14:paraId="27602B4C" w14:textId="77777777" w:rsidR="006C0207" w:rsidRDefault="006C0207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F69C958" w14:textId="77777777" w:rsidR="006C0207" w:rsidRDefault="003677E4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Wysadzane, wyrywane i taranowane – bankomaty bywają nadal celem przestępców. Jak wynika z raportu Związku Banków Polskich, straty gotówki ukradzionej w wyniku skutecznych włamań tylko w III kwartale 2021 r. wyniosły co najmniej 1 132 000 zł. Dla wielu Polaków gotówka to nadal najbardziej powszechny, najłatwiejszy i najbezpieczniejszy instrument płatniczy, więc zadbanie o bezpieczeństwo bankomatów za pomocą różnorodnych rozwiązań jest niezbędne.</w:t>
      </w:r>
    </w:p>
    <w:p w14:paraId="085DFA6E" w14:textId="77777777" w:rsidR="006C0207" w:rsidRDefault="006C0207">
      <w:pPr>
        <w:spacing w:line="276" w:lineRule="auto"/>
        <w:jc w:val="both"/>
        <w:rPr>
          <w:rFonts w:ascii="Calibri" w:eastAsia="Calibri" w:hAnsi="Calibri" w:cs="Calibri"/>
          <w:b/>
        </w:rPr>
      </w:pPr>
    </w:p>
    <w:p w14:paraId="185D100D" w14:textId="25B0F6B1" w:rsidR="006C0207" w:rsidRDefault="003677E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53135">
        <w:rPr>
          <w:rFonts w:ascii="Calibri" w:eastAsia="Calibri" w:hAnsi="Calibri" w:cs="Calibri"/>
          <w:sz w:val="22"/>
          <w:szCs w:val="22"/>
        </w:rPr>
        <w:t xml:space="preserve">Odkąd tylko pojawiły się bankomaty, przestępcy próbowali dostać się do przechowywanej w nich gotówki. Z każdym rokiem producenci opracowywali coraz bardziej zaawansowane sposoby ochrony urządzeń, a przestępcy odpowiadali nowymi sposobami ich obejścia. Niektóre ataki mają na celu uzyskanie dostępu do danych kart użytkowników, podczas gdy inne próbują manipulować wewnętrznym działaniem terminala. </w:t>
      </w:r>
      <w:r w:rsidR="005B35B8" w:rsidRPr="00353135">
        <w:rPr>
          <w:rFonts w:ascii="Calibri" w:eastAsia="Calibri" w:hAnsi="Calibri" w:cs="Calibri"/>
          <w:sz w:val="22"/>
          <w:szCs w:val="22"/>
        </w:rPr>
        <w:t xml:space="preserve">Co chwilę pojawiają się nowe typy ataków na bankomaty, więc stała czujność i zapewnienie ich bezpieczeństwa jest niezwykle istotna. </w:t>
      </w:r>
    </w:p>
    <w:p w14:paraId="453D7E24" w14:textId="77777777" w:rsidR="006C0207" w:rsidRDefault="003677E4">
      <w:pPr>
        <w:spacing w:before="280" w:after="2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Europie liczba ataków fizycznych na bankomaty wzrosła o 60% od 2011 r. Europejskie Stowarzyszenie na rzecz Bezpiecznych Transakcji (EAST) odnotowało straty w wysokości 22 mln euro w związku z fizycznymi atakami w 2020 r. – nie licząc szkody dla reputacji pośrednika finansowego oraz ryzyka, jakie próba fizycznego ataku może stanowić dla niewinnych osób postronnych. Z kolei, jak wynika z raportu Związku Banków Polskich, w Polsce tylko w III kwartale 2021 r. doszło do 32 napadów na bankomaty, a straty gotówki ukradzionej w wyniku 10 skutecznych włamań w wyniosły co najmniej 1 132 000 zł.</w:t>
      </w:r>
    </w:p>
    <w:p w14:paraId="631D067D" w14:textId="77777777" w:rsidR="006C0207" w:rsidRDefault="003677E4">
      <w:pPr>
        <w:spacing w:before="280" w:after="280" w:line="276" w:lineRule="auto"/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Bez wątpienia każdy bankomat należy zabezpieczyć w maksymalny sposób, zarówno pod kątem bezpieczeństwa cybernetycznego, zabezpieczenia danych, ale i bezpieczeństwa fizycznego. Od ponad 160 lat, </w:t>
      </w:r>
      <w:proofErr w:type="spellStart"/>
      <w:r>
        <w:rPr>
          <w:rFonts w:ascii="Calibri" w:eastAsia="Calibri" w:hAnsi="Calibri" w:cs="Calibri"/>
          <w:sz w:val="22"/>
          <w:szCs w:val="22"/>
        </w:rPr>
        <w:t>Diebold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Nixdorf stale rozwija inteligentne, wielowarstwowe i dopasowane do potrzeb różnych organizacji rozwiązania, które zmniejszają ryzyko i równoważą potrzeby biznesowe z oczekiwaniami klientów w zakresie ochrony prywatności – mówi </w:t>
      </w:r>
      <w:r>
        <w:rPr>
          <w:rFonts w:ascii="Calibri" w:eastAsia="Calibri" w:hAnsi="Calibri" w:cs="Calibri"/>
          <w:b/>
          <w:sz w:val="22"/>
          <w:szCs w:val="22"/>
        </w:rPr>
        <w:t xml:space="preserve">Tomasz Rokita, członek zarządu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Diebold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Nixdrof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w Polsce.</w:t>
      </w:r>
    </w:p>
    <w:p w14:paraId="6B8EDA53" w14:textId="77777777" w:rsidR="006C0207" w:rsidRDefault="003677E4">
      <w:pPr>
        <w:spacing w:before="280" w:after="28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Najpopularniejsze typy ataków fizycznych na bankomaty</w:t>
      </w:r>
    </w:p>
    <w:p w14:paraId="625A9816" w14:textId="77777777" w:rsidR="006C0207" w:rsidRDefault="003677E4">
      <w:pPr>
        <w:spacing w:before="280" w:after="2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Dwa główne typy ataków fizycznych na bankomaty to wysadzenie i wyrywanie bankomatu łańcuchami. </w:t>
      </w:r>
    </w:p>
    <w:p w14:paraId="48898099" w14:textId="77777777" w:rsidR="006C0207" w:rsidRDefault="003677E4">
      <w:pPr>
        <w:spacing w:before="280" w:after="2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ataku wybuchowym przestępcy używają gazu lub stałych materiałów wybuchowych oraz narzędzi, aby uzyskać dostęp do sejfu bankomatu. Po włożeniu materiału wybuchowego sejf zostaje wysadzony w powietrze, a przestępcy zabierają gotówkę. Tego typu ataki całkowicie lub częściowo niszczą bankomat czyniąc go bezużytecznym i mogą być niezwykle kosztowne, ponieważ banki muszą nie tylko wymienić zniszczony bankomat,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ale także uporać się z dodatkowymi szkodami, które mogły powstać w jego otoczeniu. Nie należy zapominać również, że ataki wybuchowe mogą stanowić zagrożenie dla ludzi w okolicznych budynkach, a latające odłamki mogą stanowić zagrożenie dla przechodniów. </w:t>
      </w:r>
    </w:p>
    <w:p w14:paraId="5E174A0B" w14:textId="77777777" w:rsidR="006C0207" w:rsidRDefault="003677E4">
      <w:pPr>
        <w:spacing w:before="280" w:after="2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 kolei w ataku z użyciem haka i łańcucha przestępcy próbują rozerwać bankomat przypinając go łańcuchami i mocując je hakiem do (często skradzionego) pojazdu. Po wyrwaniu osłony bankomatu ponownie zaczepiają łańcuch o otwory w drzwiach sejfu. Po otwarciu drzwi wyjmują kasety z gotówką. Zazwyczaj tego typu atak trwa mniej niż dwie minuty.</w:t>
      </w:r>
    </w:p>
    <w:p w14:paraId="3E806761" w14:textId="77777777" w:rsidR="006C0207" w:rsidRDefault="003677E4">
      <w:pPr>
        <w:spacing w:before="280" w:after="28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Sposoby na ochronę bankomatów przed atakami fizycznymi</w:t>
      </w:r>
    </w:p>
    <w:p w14:paraId="5F0AD6D8" w14:textId="77777777" w:rsidR="006C0207" w:rsidRDefault="003677E4">
      <w:pPr>
        <w:spacing w:before="280" w:after="2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Proponowane w przeszłości rozwiązania ochrony bankomatów to tzw. zestawy do otwierania sejfów, w których szczeliny w drzwiach sejfów są minimalizowane za pomocą zestawu doposażeniowego czy bramki bankomatów z dużym drążkiem, który zasłania front bankomatu. Oba rozwiązania posiadają pewne wady: pierwsza z nich jedynie opóźnia atak, więc nadal wymagane są dodatkowe środki bezpieczeństwa, a druga zwiększa koszty i złożoność procesów obsługi. </w:t>
      </w:r>
    </w:p>
    <w:p w14:paraId="3DE0F7CF" w14:textId="77777777" w:rsidR="006C0207" w:rsidRDefault="003677E4">
      <w:pPr>
        <w:spacing w:before="280" w:after="2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Aby zmniejszyć skuteczność ataków fizycznych na bankomaty, niezbędne jest podejście opierające się na najnowszych technologiach i na kilku rozwiązaniach jednocześnie. Pierwszym z nich jest wykorzystanie czujników, które wykrywają gwałtowne otwarcie rolety i obudowy bankomatu. Działanie czujników połączone z monitoringiem z kamery, daje policji więcej czasu na reakcję.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 bankomatach DN Series zastosowany został system </w:t>
      </w:r>
      <w:proofErr w:type="spellStart"/>
      <w:r>
        <w:rPr>
          <w:rFonts w:ascii="Calibri" w:eastAsia="Calibri" w:hAnsi="Calibri" w:cs="Calibri"/>
          <w:sz w:val="22"/>
          <w:szCs w:val="22"/>
        </w:rPr>
        <w:t>ActivGuard</w:t>
      </w:r>
      <w:proofErr w:type="spellEnd"/>
      <w:r>
        <w:rPr>
          <w:rFonts w:ascii="Calibri" w:eastAsia="Calibri" w:hAnsi="Calibri" w:cs="Calibri"/>
          <w:sz w:val="22"/>
          <w:szCs w:val="22"/>
        </w:rPr>
        <w:t>, który wykrywa i inteligentnie raportuje informacje z 12 różnych czujników.</w:t>
      </w:r>
    </w:p>
    <w:p w14:paraId="7A8F83C8" w14:textId="77777777" w:rsidR="006C0207" w:rsidRDefault="003677E4">
      <w:pPr>
        <w:spacing w:before="280" w:after="2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Kolejnym działaniem jest opóźnienie ataku dzięki zastosowaniu wzmocnień obudowy i sejfu. Im więcej czasu przestępcy są zmuszeni spędzić na próbie dostania się do bankomatu, tym bardziej prawdopodobne jest, że zrezygnują z ataku. Systemy zastosowane w DN Series zapewniają ochronę nie tylko dzięki wzmocnieniu obudowy i sejfu, ale również poprzez zaawansowane mechanizmy blokujące, zaślepki otworów na kable, wzmocnione wsporniki podstawy i zabezpieczenia przed wierceniem.</w:t>
      </w:r>
    </w:p>
    <w:p w14:paraId="6EBF89B6" w14:textId="6C2718CC" w:rsidR="006C0207" w:rsidRDefault="003677E4">
      <w:pPr>
        <w:spacing w:before="280" w:after="280"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353135">
        <w:rPr>
          <w:rFonts w:ascii="Calibri" w:eastAsia="Calibri" w:hAnsi="Calibri" w:cs="Calibri"/>
          <w:sz w:val="22"/>
          <w:szCs w:val="22"/>
        </w:rPr>
        <w:t xml:space="preserve">- Projektując nowe bankomaty DN Series, za główny priorytet postawiliśmy sobie względy bezpieczeństwa. M.in. sejf i górny moduł gotówki są oddzielone od siebie, a </w:t>
      </w:r>
      <w:r w:rsidR="00CB4327" w:rsidRPr="00353135">
        <w:rPr>
          <w:rFonts w:ascii="Calibri" w:eastAsia="Calibri" w:hAnsi="Calibri" w:cs="Calibri"/>
          <w:sz w:val="22"/>
          <w:szCs w:val="22"/>
        </w:rPr>
        <w:t>drog</w:t>
      </w:r>
      <w:r w:rsidRPr="00353135">
        <w:rPr>
          <w:rFonts w:ascii="Calibri" w:eastAsia="Calibri" w:hAnsi="Calibri" w:cs="Calibri"/>
          <w:sz w:val="22"/>
          <w:szCs w:val="22"/>
        </w:rPr>
        <w:t>a</w:t>
      </w:r>
      <w:r w:rsidR="00CB4327" w:rsidRPr="00353135">
        <w:rPr>
          <w:rFonts w:ascii="Calibri" w:eastAsia="Calibri" w:hAnsi="Calibri" w:cs="Calibri"/>
          <w:sz w:val="22"/>
          <w:szCs w:val="22"/>
        </w:rPr>
        <w:t xml:space="preserve"> transportu</w:t>
      </w:r>
      <w:r w:rsidRPr="00353135">
        <w:rPr>
          <w:rFonts w:ascii="Calibri" w:eastAsia="Calibri" w:hAnsi="Calibri" w:cs="Calibri"/>
          <w:sz w:val="22"/>
          <w:szCs w:val="22"/>
        </w:rPr>
        <w:t xml:space="preserve"> banknotu od </w:t>
      </w:r>
      <w:proofErr w:type="spellStart"/>
      <w:r w:rsidR="00CB4327" w:rsidRPr="00353135">
        <w:rPr>
          <w:rFonts w:ascii="Calibri" w:eastAsia="Calibri" w:hAnsi="Calibri" w:cs="Calibri"/>
          <w:sz w:val="22"/>
          <w:szCs w:val="22"/>
        </w:rPr>
        <w:t>shut</w:t>
      </w:r>
      <w:r w:rsidR="001362D6" w:rsidRPr="00353135">
        <w:rPr>
          <w:rFonts w:ascii="Calibri" w:eastAsia="Calibri" w:hAnsi="Calibri" w:cs="Calibri"/>
          <w:sz w:val="22"/>
          <w:szCs w:val="22"/>
        </w:rPr>
        <w:t>t</w:t>
      </w:r>
      <w:r w:rsidR="00CB4327" w:rsidRPr="00353135">
        <w:rPr>
          <w:rFonts w:ascii="Calibri" w:eastAsia="Calibri" w:hAnsi="Calibri" w:cs="Calibri"/>
          <w:sz w:val="22"/>
          <w:szCs w:val="22"/>
        </w:rPr>
        <w:t>era</w:t>
      </w:r>
      <w:proofErr w:type="spellEnd"/>
      <w:r w:rsidRPr="00353135">
        <w:rPr>
          <w:rFonts w:ascii="Calibri" w:eastAsia="Calibri" w:hAnsi="Calibri" w:cs="Calibri"/>
          <w:sz w:val="22"/>
          <w:szCs w:val="22"/>
        </w:rPr>
        <w:t xml:space="preserve"> do sejfu została zaprojektowana tak, aby była wyjątkowo trudno dostępna. Ponieważ zarówno ataki wybuchowe, jak i ataki z użyciem łańcucha wymagają dostępu do sejfu, ta funkcja jest niezwykle skuteczna w udaremnianiu fizycznych ataków – mówi </w:t>
      </w:r>
      <w:r w:rsidRPr="00353135">
        <w:rPr>
          <w:rFonts w:ascii="Calibri" w:eastAsia="Calibri" w:hAnsi="Calibri" w:cs="Calibri"/>
          <w:b/>
          <w:sz w:val="22"/>
          <w:szCs w:val="22"/>
        </w:rPr>
        <w:t xml:space="preserve">Tomasz Rokita, członek zarządu </w:t>
      </w:r>
      <w:proofErr w:type="spellStart"/>
      <w:r w:rsidRPr="00353135">
        <w:rPr>
          <w:rFonts w:ascii="Calibri" w:eastAsia="Calibri" w:hAnsi="Calibri" w:cs="Calibri"/>
          <w:b/>
          <w:sz w:val="22"/>
          <w:szCs w:val="22"/>
        </w:rPr>
        <w:t>Diebold</w:t>
      </w:r>
      <w:proofErr w:type="spellEnd"/>
      <w:r w:rsidRPr="00353135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353135">
        <w:rPr>
          <w:rFonts w:ascii="Calibri" w:eastAsia="Calibri" w:hAnsi="Calibri" w:cs="Calibri"/>
          <w:b/>
          <w:sz w:val="22"/>
          <w:szCs w:val="22"/>
        </w:rPr>
        <w:t>Nixdrof</w:t>
      </w:r>
      <w:proofErr w:type="spellEnd"/>
      <w:r w:rsidRPr="00353135">
        <w:rPr>
          <w:rFonts w:ascii="Calibri" w:eastAsia="Calibri" w:hAnsi="Calibri" w:cs="Calibri"/>
          <w:b/>
          <w:sz w:val="22"/>
          <w:szCs w:val="22"/>
        </w:rPr>
        <w:t xml:space="preserve"> w Polsce</w:t>
      </w:r>
      <w:r w:rsidRPr="00353135">
        <w:rPr>
          <w:rFonts w:ascii="Calibri" w:eastAsia="Calibri" w:hAnsi="Calibri" w:cs="Calibri"/>
          <w:sz w:val="22"/>
          <w:szCs w:val="22"/>
        </w:rPr>
        <w:t>.</w:t>
      </w:r>
    </w:p>
    <w:p w14:paraId="45130746" w14:textId="77777777" w:rsidR="006C0207" w:rsidRDefault="003677E4">
      <w:pPr>
        <w:spacing w:before="280" w:after="2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Trzecie rozwiązanie zastosowane w bankomatach DN Series i obecnie regulowane również nowelizacją rozporządzenia nałożonego na banki i operatorów, to neutralizacja celu ataku, czyli farbowanie gotówki w kasetach. Farbowanie banknotów sprawia, że stają się dla przestępców bezużyteczne, a już sama informacja o zastosowanym systemie farbowania może skutecznie zniechęcić do podjęcia próby obrabowania bankomatu.</w:t>
      </w:r>
    </w:p>
    <w:p w14:paraId="060AE186" w14:textId="77777777" w:rsidR="006C0207" w:rsidRDefault="003677E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Więcej informacji na temat rozwiązań DN Series dla banków można znaleźć na stronie </w:t>
      </w:r>
      <w:hyperlink r:id="rId7">
        <w:r>
          <w:rPr>
            <w:rFonts w:ascii="Calibri" w:eastAsia="Calibri" w:hAnsi="Calibri" w:cs="Calibri"/>
            <w:sz w:val="22"/>
            <w:szCs w:val="22"/>
            <w:u w:val="single"/>
          </w:rPr>
          <w:t>www.dieboldnixdorf.com</w:t>
        </w:r>
      </w:hyperlink>
    </w:p>
    <w:sectPr w:rsidR="006C0207">
      <w:headerReference w:type="default" r:id="rId8"/>
      <w:footerReference w:type="default" r:id="rId9"/>
      <w:headerReference w:type="first" r:id="rId10"/>
      <w:pgSz w:w="12240" w:h="15840"/>
      <w:pgMar w:top="1438" w:right="1080" w:bottom="1714" w:left="1080" w:header="720" w:footer="20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CFE1" w14:textId="77777777" w:rsidR="0085618C" w:rsidRDefault="0085618C">
      <w:r>
        <w:separator/>
      </w:r>
    </w:p>
  </w:endnote>
  <w:endnote w:type="continuationSeparator" w:id="0">
    <w:p w14:paraId="69B35AC0" w14:textId="77777777" w:rsidR="0085618C" w:rsidRDefault="0085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DA84" w14:textId="77777777" w:rsidR="006C0207" w:rsidRDefault="006C02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9742" w14:textId="77777777" w:rsidR="0085618C" w:rsidRDefault="0085618C">
      <w:r>
        <w:separator/>
      </w:r>
    </w:p>
  </w:footnote>
  <w:footnote w:type="continuationSeparator" w:id="0">
    <w:p w14:paraId="1B71F62C" w14:textId="77777777" w:rsidR="0085618C" w:rsidRDefault="0085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BB50" w14:textId="77777777" w:rsidR="006C0207" w:rsidRDefault="003677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0C0A257E" wp14:editId="7C4CFBE8">
          <wp:simplePos x="0" y="0"/>
          <wp:positionH relativeFrom="page">
            <wp:posOffset>-2538</wp:posOffset>
          </wp:positionH>
          <wp:positionV relativeFrom="page">
            <wp:posOffset>3585</wp:posOffset>
          </wp:positionV>
          <wp:extent cx="7772400" cy="10058400"/>
          <wp:effectExtent l="0" t="0" r="0" b="0"/>
          <wp:wrapNone/>
          <wp:docPr id="1073741828" name="image1.jpg" descr="US regular_interi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S regular_interi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82FF" w14:textId="77777777" w:rsidR="006C0207" w:rsidRDefault="003677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 wp14:anchorId="3068E8C5" wp14:editId="43B6A036">
          <wp:simplePos x="0" y="0"/>
          <wp:positionH relativeFrom="page">
            <wp:posOffset>12102</wp:posOffset>
          </wp:positionH>
          <wp:positionV relativeFrom="page">
            <wp:posOffset>6985</wp:posOffset>
          </wp:positionV>
          <wp:extent cx="7772400" cy="10058400"/>
          <wp:effectExtent l="0" t="0" r="0" b="0"/>
          <wp:wrapNone/>
          <wp:docPr id="1073741827" name="image2.png" descr="US regular_cov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S regular_cov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07"/>
    <w:rsid w:val="00112C42"/>
    <w:rsid w:val="001362D6"/>
    <w:rsid w:val="00353135"/>
    <w:rsid w:val="003677E4"/>
    <w:rsid w:val="00552BD5"/>
    <w:rsid w:val="005B35B8"/>
    <w:rsid w:val="006C0207"/>
    <w:rsid w:val="0085618C"/>
    <w:rsid w:val="00CB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1006"/>
  <w15:docId w15:val="{8DE14953-3258-4655-80DA-FD3D6CDD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D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E35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CE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CED"/>
    <w:rPr>
      <w:rFonts w:eastAsia="Arial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3F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01A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Arial" w:eastAsia="Arial" w:hAnsi="Arial" w:cs="Arial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786D14"/>
    <w:rPr>
      <w:color w:val="FF00FF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4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467"/>
    <w:rPr>
      <w:rFonts w:eastAsia="Times New Roman"/>
      <w:bdr w:val="none" w:sz="0" w:space="0" w:color="auto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467"/>
    <w:rPr>
      <w:vertAlign w:val="superscript"/>
    </w:rPr>
  </w:style>
  <w:style w:type="paragraph" w:styleId="Poprawka">
    <w:name w:val="Revision"/>
    <w:hidden/>
    <w:uiPriority w:val="99"/>
    <w:semiHidden/>
    <w:rsid w:val="00B219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640"/>
    <w:rPr>
      <w:rFonts w:eastAsia="Times New Roman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640"/>
    <w:rPr>
      <w:rFonts w:eastAsia="Times New Roman"/>
      <w:b/>
      <w:bCs/>
      <w:bdr w:val="none" w:sz="0" w:space="0" w:color="aut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730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55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E3551"/>
    <w:rPr>
      <w:rFonts w:eastAsia="Times New Roman"/>
      <w:b/>
      <w:bCs/>
      <w:sz w:val="27"/>
      <w:szCs w:val="27"/>
      <w:bdr w:val="none" w:sz="0" w:space="0" w:color="auto"/>
    </w:rPr>
  </w:style>
  <w:style w:type="paragraph" w:customStyle="1" w:styleId="pr-story--lead-sans">
    <w:name w:val="pr-story--lead-sans"/>
    <w:basedOn w:val="Normalny"/>
    <w:rsid w:val="00BE355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E3551"/>
    <w:rPr>
      <w:b/>
      <w:bCs/>
    </w:rPr>
  </w:style>
  <w:style w:type="paragraph" w:customStyle="1" w:styleId="pr-story--quote">
    <w:name w:val="pr-story--quote"/>
    <w:basedOn w:val="Normalny"/>
    <w:rsid w:val="00BE3551"/>
    <w:pPr>
      <w:spacing w:before="100" w:beforeAutospacing="1" w:after="100" w:afterAutospacing="1"/>
    </w:pPr>
  </w:style>
  <w:style w:type="paragraph" w:customStyle="1" w:styleId="pr-story--text-small">
    <w:name w:val="pr-story--text-small"/>
    <w:basedOn w:val="Normalny"/>
    <w:rsid w:val="00BE3551"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eboldnixdor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bQTTJkAnuImV06dSSh1QEb2j0w==">AMUW2mVO2AzGnytaCwWRlggLoHSjUtMDjXTT5Gtn5NlN1loOewTJsXRTsL0rJDPM6ocsuSjr2X3D8u9Z0N9hGrYIxcoygb5fTxvpc9dJcHh5xcvEdILvgYFLGI3h+gZkuefRTpNzWI0ixh3Kii0z1RoTSG4N/d/FN0ctW6rEnAxDHTMauuO2mFRCRO08oEPc1QQsjoiIn0xKRwr7d/qth0pECksyysMwaLFgs8SaD1kbsae5JM5whxGkENV0fym7/Xhgn/x91SxftnnIXW13hQ14GBkRVtc9IcusDNJEjWK0PDbP+GPnDnRCc4yiJn9fZY366CEx7AActKm3/Ypk1X/xvHqOvX6qhnNCHbaYCIDpvKwDEwgbQ4xnn9vsqvgz86o/eTDVqFxJyP7vNVWFOJuR3gog/7t9ZOaJczqwFbejPLpa5Fzq0GIKSZOYB6kqR0aaJ0wzOk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Mroz, Pawel</dc:creator>
  <cp:lastModifiedBy>Link Leaders</cp:lastModifiedBy>
  <cp:revision>6</cp:revision>
  <dcterms:created xsi:type="dcterms:W3CDTF">2022-03-17T14:06:00Z</dcterms:created>
  <dcterms:modified xsi:type="dcterms:W3CDTF">2022-05-27T09:55:00Z</dcterms:modified>
</cp:coreProperties>
</file>