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FBD7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4B2FA744" wp14:editId="7E30ADAC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4C69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6DFA21CC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2FEF7E28" w14:textId="77777777" w:rsidR="009A233D" w:rsidRPr="00906693" w:rsidRDefault="00E14005" w:rsidP="009A233D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Sosnowska</w:t>
      </w:r>
      <w:r w:rsidR="009A233D" w:rsidRPr="00906693">
        <w:rPr>
          <w:rFonts w:cs="Calibri"/>
          <w:sz w:val="24"/>
          <w:szCs w:val="24"/>
        </w:rPr>
        <w:t>, PARP</w:t>
      </w:r>
    </w:p>
    <w:p w14:paraId="11C77F81" w14:textId="77777777" w:rsidR="009A233D" w:rsidRPr="009930FF" w:rsidRDefault="009A233D" w:rsidP="009A233D">
      <w:pPr>
        <w:spacing w:after="0" w:line="276" w:lineRule="auto"/>
        <w:rPr>
          <w:rFonts w:cs="Calibri"/>
          <w:sz w:val="24"/>
          <w:szCs w:val="24"/>
          <w:lang w:val="en-GB"/>
        </w:rPr>
      </w:pPr>
      <w:r w:rsidRPr="009930FF">
        <w:rPr>
          <w:rFonts w:cs="Calibri"/>
          <w:sz w:val="24"/>
          <w:szCs w:val="24"/>
          <w:lang w:val="en-GB"/>
        </w:rPr>
        <w:t xml:space="preserve">e-mail: </w:t>
      </w:r>
      <w:hyperlink r:id="rId11" w:history="1">
        <w:r w:rsidR="00022B86" w:rsidRPr="009930FF">
          <w:rPr>
            <w:rStyle w:val="Hipercze"/>
            <w:sz w:val="24"/>
            <w:szCs w:val="24"/>
            <w:lang w:val="en-GB"/>
          </w:rPr>
          <w:t>luiza_nowicka@parp.gov.pl</w:t>
        </w:r>
      </w:hyperlink>
      <w:r w:rsidR="00E14005" w:rsidRPr="009930FF">
        <w:rPr>
          <w:sz w:val="24"/>
          <w:szCs w:val="24"/>
          <w:lang w:val="en-GB"/>
        </w:rPr>
        <w:t xml:space="preserve"> </w:t>
      </w:r>
    </w:p>
    <w:p w14:paraId="2D732978" w14:textId="77777777" w:rsidR="009A233D" w:rsidRPr="00906693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54551D">
        <w:rPr>
          <w:rFonts w:cs="Calibri"/>
          <w:sz w:val="24"/>
          <w:szCs w:val="24"/>
        </w:rPr>
        <w:t>880 524 959</w:t>
      </w:r>
    </w:p>
    <w:p w14:paraId="360A9D83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504977EA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2D8A373B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F4683F">
        <w:rPr>
          <w:rFonts w:cs="Calibri"/>
          <w:sz w:val="24"/>
          <w:szCs w:val="24"/>
        </w:rPr>
        <w:t>09</w:t>
      </w:r>
      <w:r w:rsidR="00276F52">
        <w:rPr>
          <w:rFonts w:cs="Calibri"/>
          <w:sz w:val="24"/>
          <w:szCs w:val="24"/>
        </w:rPr>
        <w:t>.</w:t>
      </w:r>
      <w:r w:rsidR="00F4683F">
        <w:rPr>
          <w:rFonts w:cs="Calibri"/>
          <w:sz w:val="24"/>
          <w:szCs w:val="24"/>
        </w:rPr>
        <w:t>06</w:t>
      </w:r>
      <w:r w:rsidRPr="008614C9">
        <w:rPr>
          <w:rFonts w:cs="Calibri"/>
          <w:sz w:val="24"/>
          <w:szCs w:val="24"/>
        </w:rPr>
        <w:t>.202</w:t>
      </w:r>
      <w:r w:rsidR="00F4683F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2A75A980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7EF46FE2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2752FE2" w14:textId="77777777" w:rsidR="009A233D" w:rsidRDefault="009A233D" w:rsidP="00E14005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</w:p>
    <w:p w14:paraId="64BAB177" w14:textId="77777777" w:rsidR="00276F52" w:rsidRPr="00B307EC" w:rsidRDefault="00276F52" w:rsidP="0098389D">
      <w:pPr>
        <w:pStyle w:val="Nagwek1"/>
        <w:spacing w:before="120" w:after="120" w:line="276" w:lineRule="auto"/>
        <w:rPr>
          <w:b w:val="0"/>
          <w:lang w:eastAsia="pl-PL"/>
        </w:rPr>
      </w:pPr>
      <w:r w:rsidRPr="00B307EC">
        <w:rPr>
          <w:lang w:eastAsia="pl-PL"/>
        </w:rPr>
        <w:t xml:space="preserve">„Pracodawca Jutra” – </w:t>
      </w:r>
      <w:r w:rsidR="0052097B">
        <w:rPr>
          <w:lang w:eastAsia="pl-PL"/>
        </w:rPr>
        <w:t>wyłoniono</w:t>
      </w:r>
      <w:r w:rsidR="00F4683F">
        <w:rPr>
          <w:lang w:eastAsia="pl-PL"/>
        </w:rPr>
        <w:t xml:space="preserve"> laureatów 6. edycji konkursu</w:t>
      </w:r>
    </w:p>
    <w:p w14:paraId="6936FD32" w14:textId="77777777" w:rsidR="00276F52" w:rsidRDefault="00F4683F" w:rsidP="0098389D">
      <w:pPr>
        <w:spacing w:before="120" w:after="120" w:line="276" w:lineRule="auto"/>
        <w:rPr>
          <w:rStyle w:val="Pogrubienie"/>
          <w:rFonts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pl-PL"/>
        </w:rPr>
        <w:t>Zakończyła się</w:t>
      </w:r>
      <w:r w:rsidR="00276F52" w:rsidRPr="00276F52">
        <w:rPr>
          <w:rFonts w:eastAsia="Times New Roman" w:cs="Calibri"/>
          <w:b/>
          <w:sz w:val="24"/>
          <w:szCs w:val="24"/>
          <w:lang w:eastAsia="pl-PL"/>
        </w:rPr>
        <w:t xml:space="preserve"> 6. edycja konkursu Polskiej Agencji Rozwoju Przedsiębiorczości na najciekawsze inicjatywy z zakresu współpracy biznesu z edukacją, rozwoju pracowników i kształcenia przyszłych kadr.</w:t>
      </w:r>
      <w:r w:rsidR="00276F52" w:rsidRPr="0043256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4683F">
        <w:rPr>
          <w:rFonts w:eastAsia="Times New Roman" w:cs="Calibri"/>
          <w:b/>
          <w:bCs/>
          <w:sz w:val="24"/>
          <w:szCs w:val="24"/>
          <w:lang w:eastAsia="pl-PL"/>
        </w:rPr>
        <w:t>Pracodawcy aplikowali</w:t>
      </w:r>
      <w:r w:rsidR="00276F52" w:rsidRPr="0043256E">
        <w:rPr>
          <w:rStyle w:val="Pogrubienie"/>
          <w:rFonts w:cs="Calibri"/>
          <w:sz w:val="24"/>
          <w:szCs w:val="24"/>
        </w:rPr>
        <w:t xml:space="preserve"> w trzech kategoriach: „Rozwój pracownika”, „Dojrzałe kompetencje” oraz „Ambasador Edukacji”.</w:t>
      </w:r>
      <w:r w:rsidR="00276F52">
        <w:rPr>
          <w:rStyle w:val="Pogrubienie"/>
          <w:rFonts w:cs="Calibri"/>
          <w:sz w:val="24"/>
          <w:szCs w:val="24"/>
        </w:rPr>
        <w:t xml:space="preserve"> Konkurs </w:t>
      </w:r>
      <w:r>
        <w:rPr>
          <w:rStyle w:val="Pogrubienie"/>
          <w:rFonts w:cs="Calibri"/>
          <w:sz w:val="24"/>
          <w:szCs w:val="24"/>
        </w:rPr>
        <w:t>s</w:t>
      </w:r>
      <w:r w:rsidR="00276F52">
        <w:rPr>
          <w:rStyle w:val="Pogrubienie"/>
          <w:rFonts w:cs="Calibri"/>
          <w:sz w:val="24"/>
          <w:szCs w:val="24"/>
        </w:rPr>
        <w:t>finansowan</w:t>
      </w:r>
      <w:r>
        <w:rPr>
          <w:rStyle w:val="Pogrubienie"/>
          <w:rFonts w:cs="Calibri"/>
          <w:sz w:val="24"/>
          <w:szCs w:val="24"/>
        </w:rPr>
        <w:t>o</w:t>
      </w:r>
      <w:r w:rsidR="00022B86">
        <w:rPr>
          <w:rStyle w:val="Pogrubienie"/>
          <w:rFonts w:cs="Calibri"/>
          <w:sz w:val="24"/>
          <w:szCs w:val="24"/>
        </w:rPr>
        <w:t xml:space="preserve"> w ramach Funduszy Europejskich,</w:t>
      </w:r>
      <w:r w:rsidR="00295F90">
        <w:rPr>
          <w:rStyle w:val="Pogrubienie"/>
          <w:rFonts w:cs="Calibri"/>
          <w:sz w:val="24"/>
          <w:szCs w:val="24"/>
        </w:rPr>
        <w:t xml:space="preserve"> </w:t>
      </w:r>
      <w:r w:rsidR="00276F52">
        <w:rPr>
          <w:rStyle w:val="Pogrubienie"/>
          <w:rFonts w:cs="Calibri"/>
          <w:sz w:val="24"/>
          <w:szCs w:val="24"/>
        </w:rPr>
        <w:t>z Programu Wiedza Edukacja Rozwój</w:t>
      </w:r>
      <w:r w:rsidR="00022B86">
        <w:rPr>
          <w:rStyle w:val="Pogrubienie"/>
          <w:rFonts w:cs="Calibri"/>
          <w:sz w:val="24"/>
          <w:szCs w:val="24"/>
        </w:rPr>
        <w:t xml:space="preserve"> (POWER)</w:t>
      </w:r>
      <w:r w:rsidR="00276F52">
        <w:rPr>
          <w:rStyle w:val="Pogrubienie"/>
          <w:rFonts w:cs="Calibri"/>
          <w:sz w:val="24"/>
          <w:szCs w:val="24"/>
        </w:rPr>
        <w:t>.</w:t>
      </w:r>
    </w:p>
    <w:p w14:paraId="7D9C4545" w14:textId="77777777" w:rsidR="00295F90" w:rsidRPr="00295F90" w:rsidRDefault="00D75B45" w:rsidP="0098389D">
      <w:pPr>
        <w:spacing w:before="120" w:after="120" w:line="276" w:lineRule="auto"/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Polska Agencja Rozwoju Przedsiębiorczości we współpracy z ekspertami rynku pracy</w:t>
      </w:r>
      <w:r w:rsidR="00616127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przedstawicielami Rady Programowej ds. </w:t>
      </w:r>
      <w:r w:rsidR="001268CC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K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ompetencji oraz Sektorowych Rad ds. </w:t>
      </w:r>
      <w:r w:rsidR="001268CC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K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ompetencji wybrała laureatów konkursu Pracodawca Jutra. </w:t>
      </w:r>
      <w:r w:rsidR="00295F90" w:rsidRPr="00295F90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 tegorocznej edycji konkursu</w:t>
      </w:r>
      <w:r w:rsidR="00022B86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95F90" w:rsidRPr="00295F90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zgłoszono </w:t>
      </w:r>
      <w:r w:rsidR="00295F90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89</w:t>
      </w:r>
      <w:r w:rsidR="00295F90" w:rsidRPr="00295F90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inicjatyw na rzecz rozwoju kapitału ludzkiego w firmach. Pracodawcy</w:t>
      </w:r>
      <w:r w:rsidR="00022B86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</w:t>
      </w:r>
      <w:r w:rsidR="00295F90" w:rsidRPr="00295F90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ubiegający się o nagrodę w konkursie, musieli wykazać, że podejmowane przez nich działania</w:t>
      </w:r>
      <w:r w:rsidR="00022B86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</w:t>
      </w:r>
      <w:r w:rsidR="00295F90" w:rsidRPr="00295F90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mają charakter kompleksowy, zostały przygotowane w sposób przemyślany, </w:t>
      </w:r>
      <w:r w:rsidR="00022B86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</w:t>
      </w:r>
      <w:r w:rsidR="00295F90" w:rsidRPr="00295F90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udział w nich</w:t>
      </w:r>
      <w:r w:rsidR="00022B86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95F90" w:rsidRPr="00295F90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faktycznie przyczyni</w:t>
      </w:r>
      <w:r w:rsidR="00372D70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ł</w:t>
      </w:r>
      <w:r w:rsidR="00295F90" w:rsidRPr="00295F90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się do zwiększenia wiedzy lub umiejętności pracowników.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Gala wręczenia nagród laureatom, odbyła się 9 czerwca w Warszawie.</w:t>
      </w:r>
      <w:r w:rsidR="001268CC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Wręczono 5 nagród przyznanych przez Kapitułę Konkursu oraz 15 nagród branżowych przyznanych przez Kapituły Sektorowe utworzone przez rady sektorowe. Kapituły Sektorowe zdecydowały także o wyróżnieniu 3 inicjatyw.</w:t>
      </w:r>
    </w:p>
    <w:p w14:paraId="6F1A6DA9" w14:textId="77777777" w:rsidR="00A90A2E" w:rsidRPr="00A90A2E" w:rsidRDefault="00A90A2E" w:rsidP="0098389D">
      <w:pPr>
        <w:pStyle w:val="NormalnyWeb"/>
        <w:spacing w:before="120" w:beforeAutospacing="0" w:after="120" w:afterAutospacing="0" w:line="276" w:lineRule="auto"/>
        <w:rPr>
          <w:rFonts w:asciiTheme="majorHAnsi" w:hAnsiTheme="majorHAnsi" w:cstheme="majorHAnsi"/>
        </w:rPr>
      </w:pPr>
      <w:r w:rsidRPr="00A90A2E">
        <w:rPr>
          <w:rFonts w:ascii="Calibri" w:hAnsi="Calibri" w:cs="Calibri"/>
        </w:rPr>
        <w:t xml:space="preserve">– </w:t>
      </w:r>
      <w:r w:rsidR="005C7D6E">
        <w:rPr>
          <w:rFonts w:ascii="Calibri" w:hAnsi="Calibri" w:cs="Calibri"/>
        </w:rPr>
        <w:t xml:space="preserve">Rozwijanie kompetencji pracowników jest </w:t>
      </w:r>
      <w:r w:rsidR="00A93298">
        <w:rPr>
          <w:rFonts w:ascii="Calibri" w:hAnsi="Calibri" w:cs="Calibri"/>
        </w:rPr>
        <w:t xml:space="preserve">niezwykle </w:t>
      </w:r>
      <w:r w:rsidR="005C7D6E">
        <w:rPr>
          <w:rFonts w:ascii="Calibri" w:hAnsi="Calibri" w:cs="Calibri"/>
        </w:rPr>
        <w:t xml:space="preserve">istotne w dobie dynamicznego rozwoju rynku, który dotyczy praktycznie każdej branży. Jak wynika z ostatniego raportu przygotowanego przez PARP </w:t>
      </w:r>
      <w:r w:rsidR="005C7D6E" w:rsidRPr="005C7D6E">
        <w:rPr>
          <w:rFonts w:ascii="Calibri" w:hAnsi="Calibri" w:cs="Calibri"/>
        </w:rPr>
        <w:t>„Rynek pracy, edukacja, kompetencje. Aktualne trendy i wyniki badań (maj 2022)</w:t>
      </w:r>
      <w:r>
        <w:rPr>
          <w:rFonts w:ascii="Calibri" w:hAnsi="Calibri" w:cs="Calibri"/>
        </w:rPr>
        <w:t>”</w:t>
      </w:r>
      <w:r w:rsidR="00022B86">
        <w:rPr>
          <w:rFonts w:ascii="Calibri" w:hAnsi="Calibri" w:cs="Calibri"/>
          <w:b/>
          <w:bCs/>
        </w:rPr>
        <w:t xml:space="preserve"> </w:t>
      </w:r>
      <w:r w:rsidR="00022B86" w:rsidRPr="00022B86">
        <w:rPr>
          <w:rFonts w:ascii="Calibri" w:hAnsi="Calibri" w:cs="Calibri"/>
          <w:bCs/>
        </w:rPr>
        <w:t xml:space="preserve">– </w:t>
      </w:r>
      <w:r w:rsidR="005C7D6E">
        <w:rPr>
          <w:rFonts w:ascii="Calibri" w:hAnsi="Calibri" w:cs="Calibri"/>
        </w:rPr>
        <w:t>d</w:t>
      </w:r>
      <w:r w:rsidR="0052097B" w:rsidRPr="0052097B">
        <w:rPr>
          <w:rFonts w:ascii="Calibri" w:hAnsi="Calibri" w:cs="Calibri"/>
        </w:rPr>
        <w:t xml:space="preserve">la </w:t>
      </w:r>
      <w:r w:rsidR="00BC377D" w:rsidRPr="0052097B">
        <w:rPr>
          <w:rFonts w:ascii="Calibri" w:hAnsi="Calibri" w:cs="Calibri"/>
        </w:rPr>
        <w:t>większości</w:t>
      </w:r>
      <w:r w:rsidR="0052097B" w:rsidRPr="0052097B">
        <w:rPr>
          <w:rFonts w:ascii="Calibri" w:hAnsi="Calibri" w:cs="Calibri"/>
        </w:rPr>
        <w:t xml:space="preserve"> polskich firm </w:t>
      </w:r>
      <w:r w:rsidR="00BC377D" w:rsidRPr="0052097B">
        <w:rPr>
          <w:rFonts w:ascii="Calibri" w:hAnsi="Calibri" w:cs="Calibri"/>
        </w:rPr>
        <w:t>trudności</w:t>
      </w:r>
      <w:r w:rsidR="0052097B" w:rsidRPr="0052097B">
        <w:rPr>
          <w:rFonts w:ascii="Calibri" w:hAnsi="Calibri" w:cs="Calibri"/>
        </w:rPr>
        <w:t xml:space="preserve"> w pozyskiwaniu</w:t>
      </w:r>
      <w:r w:rsidR="0052097B">
        <w:rPr>
          <w:rFonts w:ascii="Calibri" w:hAnsi="Calibri" w:cs="Calibri"/>
        </w:rPr>
        <w:t xml:space="preserve"> </w:t>
      </w:r>
      <w:r w:rsidR="00BC377D" w:rsidRPr="0052097B">
        <w:rPr>
          <w:rFonts w:ascii="Calibri" w:hAnsi="Calibri" w:cs="Calibri"/>
        </w:rPr>
        <w:t>pracowników</w:t>
      </w:r>
      <w:r w:rsidR="00022B86">
        <w:rPr>
          <w:rFonts w:ascii="Calibri" w:hAnsi="Calibri" w:cs="Calibri"/>
        </w:rPr>
        <w:t>,</w:t>
      </w:r>
      <w:r w:rsidR="0052097B" w:rsidRPr="0052097B">
        <w:rPr>
          <w:rFonts w:ascii="Calibri" w:hAnsi="Calibri" w:cs="Calibri"/>
        </w:rPr>
        <w:t xml:space="preserve"> o odpowiednich kompetencjach</w:t>
      </w:r>
      <w:r w:rsidR="00022B86">
        <w:rPr>
          <w:rFonts w:ascii="Calibri" w:hAnsi="Calibri" w:cs="Calibri"/>
        </w:rPr>
        <w:t>,</w:t>
      </w:r>
      <w:r w:rsidR="0052097B" w:rsidRPr="0052097B">
        <w:rPr>
          <w:rFonts w:ascii="Calibri" w:hAnsi="Calibri" w:cs="Calibri"/>
        </w:rPr>
        <w:t xml:space="preserve"> </w:t>
      </w:r>
      <w:proofErr w:type="spellStart"/>
      <w:r w:rsidR="0052097B" w:rsidRPr="0052097B">
        <w:rPr>
          <w:rFonts w:ascii="Calibri" w:hAnsi="Calibri" w:cs="Calibri"/>
        </w:rPr>
        <w:t>sa</w:t>
      </w:r>
      <w:proofErr w:type="spellEnd"/>
      <w:r w:rsidR="0052097B" w:rsidRPr="0052097B">
        <w:rPr>
          <w:rFonts w:ascii="Calibri" w:hAnsi="Calibri" w:cs="Calibri"/>
        </w:rPr>
        <w:t>̨ barierą</w:t>
      </w:r>
      <w:r w:rsidR="0052097B">
        <w:rPr>
          <w:rFonts w:ascii="Calibri" w:hAnsi="Calibri" w:cs="Calibri"/>
        </w:rPr>
        <w:t xml:space="preserve"> </w:t>
      </w:r>
      <w:r w:rsidR="0052097B" w:rsidRPr="0052097B">
        <w:rPr>
          <w:rFonts w:ascii="Calibri" w:hAnsi="Calibri" w:cs="Calibri"/>
        </w:rPr>
        <w:t xml:space="preserve">w ich </w:t>
      </w:r>
      <w:r w:rsidR="00BC377D" w:rsidRPr="0052097B">
        <w:rPr>
          <w:rFonts w:ascii="Calibri" w:hAnsi="Calibri" w:cs="Calibri"/>
        </w:rPr>
        <w:t>działalności</w:t>
      </w:r>
      <w:r w:rsidR="0052097B" w:rsidRPr="0052097B">
        <w:rPr>
          <w:rFonts w:ascii="Calibri" w:hAnsi="Calibri" w:cs="Calibri"/>
        </w:rPr>
        <w:t xml:space="preserve">. Co trzecie z tych </w:t>
      </w:r>
      <w:r w:rsidR="00BC377D" w:rsidRPr="0052097B">
        <w:rPr>
          <w:rFonts w:ascii="Calibri" w:hAnsi="Calibri" w:cs="Calibri"/>
        </w:rPr>
        <w:t>przedsiębiorstw</w:t>
      </w:r>
      <w:r w:rsidR="0052097B" w:rsidRPr="0052097B">
        <w:rPr>
          <w:rFonts w:ascii="Calibri" w:hAnsi="Calibri" w:cs="Calibri"/>
        </w:rPr>
        <w:t xml:space="preserve"> </w:t>
      </w:r>
      <w:r w:rsidR="00BC377D" w:rsidRPr="0052097B">
        <w:rPr>
          <w:rFonts w:ascii="Calibri" w:hAnsi="Calibri" w:cs="Calibri"/>
        </w:rPr>
        <w:t>uważa</w:t>
      </w:r>
      <w:r w:rsidR="0052097B" w:rsidRPr="0052097B">
        <w:rPr>
          <w:rFonts w:ascii="Calibri" w:hAnsi="Calibri" w:cs="Calibri"/>
        </w:rPr>
        <w:t xml:space="preserve">, </w:t>
      </w:r>
      <w:r w:rsidR="00BC377D" w:rsidRPr="0052097B">
        <w:rPr>
          <w:rFonts w:ascii="Calibri" w:hAnsi="Calibri" w:cs="Calibri"/>
        </w:rPr>
        <w:t>że</w:t>
      </w:r>
      <w:r w:rsidR="0052097B" w:rsidRPr="0052097B">
        <w:rPr>
          <w:rFonts w:ascii="Calibri" w:hAnsi="Calibri" w:cs="Calibri"/>
        </w:rPr>
        <w:t xml:space="preserve"> mają one </w:t>
      </w:r>
      <w:r w:rsidR="00BC377D" w:rsidRPr="0052097B">
        <w:rPr>
          <w:rFonts w:ascii="Calibri" w:hAnsi="Calibri" w:cs="Calibri"/>
        </w:rPr>
        <w:t>duże</w:t>
      </w:r>
      <w:r w:rsidR="0052097B" w:rsidRPr="0052097B">
        <w:rPr>
          <w:rFonts w:ascii="Calibri" w:hAnsi="Calibri" w:cs="Calibri"/>
        </w:rPr>
        <w:t xml:space="preserve"> lub bardzo </w:t>
      </w:r>
      <w:r w:rsidR="00BC377D" w:rsidRPr="0052097B">
        <w:rPr>
          <w:rFonts w:ascii="Calibri" w:hAnsi="Calibri" w:cs="Calibri"/>
        </w:rPr>
        <w:t>duże</w:t>
      </w:r>
      <w:r w:rsidR="0052097B" w:rsidRPr="0052097B">
        <w:rPr>
          <w:rFonts w:ascii="Calibri" w:hAnsi="Calibri" w:cs="Calibri"/>
        </w:rPr>
        <w:t xml:space="preserve"> znaczenie dla</w:t>
      </w:r>
      <w:r w:rsidR="0052097B">
        <w:rPr>
          <w:rFonts w:ascii="Calibri" w:hAnsi="Calibri" w:cs="Calibri"/>
        </w:rPr>
        <w:t xml:space="preserve"> </w:t>
      </w:r>
      <w:r w:rsidR="0052097B" w:rsidRPr="0052097B">
        <w:rPr>
          <w:rFonts w:ascii="Calibri" w:hAnsi="Calibri" w:cs="Calibri"/>
        </w:rPr>
        <w:t xml:space="preserve">funkcjonowania firmy, a 29% ocenia je jako </w:t>
      </w:r>
      <w:r w:rsidR="00BC377D" w:rsidRPr="0052097B">
        <w:rPr>
          <w:rFonts w:ascii="Calibri" w:hAnsi="Calibri" w:cs="Calibri"/>
        </w:rPr>
        <w:t>średnie</w:t>
      </w:r>
      <w:r w:rsidR="005C7D6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Inicjatywy</w:t>
      </w:r>
      <w:r w:rsidR="00022B86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takie jak „Pracodawca Jutra”</w:t>
      </w:r>
      <w:r w:rsidR="00022B86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pozwalają docenić </w:t>
      </w:r>
      <w:r w:rsidR="00EC67DA">
        <w:rPr>
          <w:rFonts w:ascii="Calibri" w:hAnsi="Calibri" w:cs="Calibri"/>
        </w:rPr>
        <w:t>te firmy</w:t>
      </w:r>
      <w:r>
        <w:rPr>
          <w:rFonts w:ascii="Calibri" w:hAnsi="Calibri" w:cs="Calibri"/>
        </w:rPr>
        <w:t xml:space="preserve">, które zwracają szczególną uwagę na rozwój kompetencji swoich kadr </w:t>
      </w:r>
      <w:r w:rsidR="001F4ED5">
        <w:rPr>
          <w:rFonts w:ascii="Calibri" w:hAnsi="Calibri" w:cs="Calibri"/>
        </w:rPr>
        <w:t>i stanowią dobry przykład dla biznesu</w:t>
      </w:r>
      <w:r w:rsidR="00022B86">
        <w:rPr>
          <w:rFonts w:ascii="Calibri" w:hAnsi="Calibri" w:cs="Calibri"/>
        </w:rPr>
        <w:t xml:space="preserve"> </w:t>
      </w:r>
      <w:r w:rsidRPr="00A90A2E">
        <w:rPr>
          <w:rFonts w:ascii="Calibri" w:hAnsi="Calibri" w:cs="Calibri"/>
        </w:rPr>
        <w:t xml:space="preserve">– </w:t>
      </w:r>
      <w:r w:rsidRPr="00A90A2E">
        <w:rPr>
          <w:rFonts w:asciiTheme="majorHAnsi" w:hAnsiTheme="majorHAnsi" w:cstheme="majorHAnsi"/>
        </w:rPr>
        <w:t xml:space="preserve">komentuje </w:t>
      </w:r>
      <w:r w:rsidRPr="00A90A2E">
        <w:rPr>
          <w:rFonts w:asciiTheme="majorHAnsi" w:hAnsiTheme="majorHAnsi" w:cstheme="majorHAnsi"/>
          <w:b/>
          <w:bCs/>
        </w:rPr>
        <w:t>Dariusz Budrowski</w:t>
      </w:r>
      <w:r w:rsidRPr="00A90A2E">
        <w:rPr>
          <w:rFonts w:asciiTheme="majorHAnsi" w:hAnsiTheme="majorHAnsi" w:cstheme="majorHAnsi"/>
        </w:rPr>
        <w:t xml:space="preserve">, </w:t>
      </w:r>
      <w:r w:rsidR="00BC377D">
        <w:rPr>
          <w:rFonts w:asciiTheme="majorHAnsi" w:hAnsiTheme="majorHAnsi" w:cstheme="majorHAnsi"/>
        </w:rPr>
        <w:t>p</w:t>
      </w:r>
      <w:r w:rsidRPr="00A90A2E">
        <w:rPr>
          <w:rFonts w:asciiTheme="majorHAnsi" w:hAnsiTheme="majorHAnsi" w:cstheme="majorHAnsi"/>
        </w:rPr>
        <w:t>rezes P</w:t>
      </w:r>
      <w:r w:rsidR="00022B86">
        <w:rPr>
          <w:rFonts w:asciiTheme="majorHAnsi" w:hAnsiTheme="majorHAnsi" w:cstheme="majorHAnsi"/>
        </w:rPr>
        <w:t>olskiej Agencji Rozwoju Przedsiębiorczości</w:t>
      </w:r>
      <w:r w:rsidRPr="00A90A2E">
        <w:rPr>
          <w:rFonts w:asciiTheme="majorHAnsi" w:hAnsiTheme="majorHAnsi" w:cstheme="majorHAnsi"/>
          <w:b/>
          <w:bCs/>
        </w:rPr>
        <w:t>.</w:t>
      </w:r>
    </w:p>
    <w:p w14:paraId="63EDE780" w14:textId="77777777" w:rsidR="00276F52" w:rsidRPr="00EB2252" w:rsidRDefault="00EB2252" w:rsidP="0098389D">
      <w:pPr>
        <w:pStyle w:val="Nagwek2"/>
        <w:spacing w:before="120" w:after="120" w:line="276" w:lineRule="auto"/>
        <w:rPr>
          <w:lang w:eastAsia="pl-PL"/>
        </w:rPr>
      </w:pPr>
      <w:r w:rsidRPr="00EB2252">
        <w:rPr>
          <w:lang w:eastAsia="pl-PL"/>
        </w:rPr>
        <w:lastRenderedPageBreak/>
        <w:t>Kategorie</w:t>
      </w:r>
      <w:r w:rsidR="00276F52" w:rsidRPr="00EB2252">
        <w:rPr>
          <w:lang w:eastAsia="pl-PL"/>
        </w:rPr>
        <w:t xml:space="preserve"> konkursu</w:t>
      </w:r>
    </w:p>
    <w:p w14:paraId="38D70420" w14:textId="77777777" w:rsidR="00276F52" w:rsidRPr="0043256E" w:rsidRDefault="00276F52" w:rsidP="0098389D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sz w:val="24"/>
          <w:szCs w:val="24"/>
          <w:lang w:eastAsia="pl-PL"/>
        </w:rPr>
        <w:t>Organizatorzy</w:t>
      </w:r>
      <w:r w:rsidR="00EB2252">
        <w:rPr>
          <w:rFonts w:eastAsia="Times New Roman" w:cs="Calibri"/>
          <w:sz w:val="24"/>
          <w:szCs w:val="24"/>
          <w:lang w:eastAsia="pl-PL"/>
        </w:rPr>
        <w:t xml:space="preserve"> wyłonili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zwycięzców w </w:t>
      </w:r>
      <w:r w:rsidRPr="00155466">
        <w:rPr>
          <w:rFonts w:eastAsia="Times New Roman" w:cs="Calibri"/>
          <w:b/>
          <w:sz w:val="24"/>
          <w:szCs w:val="24"/>
          <w:lang w:eastAsia="pl-PL"/>
        </w:rPr>
        <w:t>trzech kategoriach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: </w:t>
      </w:r>
      <w:r w:rsidR="00022B86">
        <w:rPr>
          <w:rFonts w:eastAsia="Times New Roman" w:cs="Calibri"/>
          <w:sz w:val="24"/>
          <w:szCs w:val="24"/>
          <w:lang w:eastAsia="pl-PL"/>
        </w:rPr>
        <w:t>„</w:t>
      </w:r>
      <w:r w:rsidRPr="00155466">
        <w:rPr>
          <w:rFonts w:eastAsia="Times New Roman" w:cs="Calibri"/>
          <w:b/>
          <w:sz w:val="24"/>
          <w:szCs w:val="24"/>
          <w:lang w:eastAsia="pl-PL"/>
        </w:rPr>
        <w:t>Rozwój pracownika</w:t>
      </w:r>
      <w:r w:rsidRPr="0043256E">
        <w:rPr>
          <w:rFonts w:eastAsia="Times New Roman" w:cs="Calibri"/>
          <w:sz w:val="24"/>
          <w:szCs w:val="24"/>
          <w:lang w:eastAsia="pl-PL"/>
        </w:rPr>
        <w:t>”, „</w:t>
      </w:r>
      <w:r w:rsidRPr="00155466">
        <w:rPr>
          <w:rFonts w:eastAsia="Times New Roman" w:cs="Calibri"/>
          <w:b/>
          <w:sz w:val="24"/>
          <w:szCs w:val="24"/>
          <w:lang w:eastAsia="pl-PL"/>
        </w:rPr>
        <w:t>Dojrzałe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55466">
        <w:rPr>
          <w:rFonts w:eastAsia="Times New Roman" w:cs="Calibri"/>
          <w:b/>
          <w:sz w:val="24"/>
          <w:szCs w:val="24"/>
          <w:lang w:eastAsia="pl-PL"/>
        </w:rPr>
        <w:t>kompetencje</w:t>
      </w:r>
      <w:r w:rsidRPr="0043256E">
        <w:rPr>
          <w:rFonts w:eastAsia="Times New Roman" w:cs="Calibri"/>
          <w:sz w:val="24"/>
          <w:szCs w:val="24"/>
          <w:lang w:eastAsia="pl-PL"/>
        </w:rPr>
        <w:t>” oraz „</w:t>
      </w:r>
      <w:r w:rsidRPr="00155466">
        <w:rPr>
          <w:rFonts w:eastAsia="Times New Roman" w:cs="Calibri"/>
          <w:b/>
          <w:sz w:val="24"/>
          <w:szCs w:val="24"/>
          <w:lang w:eastAsia="pl-PL"/>
        </w:rPr>
        <w:t>Ambasador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55466">
        <w:rPr>
          <w:rFonts w:eastAsia="Times New Roman" w:cs="Calibri"/>
          <w:b/>
          <w:sz w:val="24"/>
          <w:szCs w:val="24"/>
          <w:lang w:eastAsia="pl-PL"/>
        </w:rPr>
        <w:t>Edukacji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”. Dodatkowo swoje </w:t>
      </w:r>
      <w:r w:rsidR="00476F92">
        <w:rPr>
          <w:rFonts w:eastAsia="Times New Roman" w:cs="Calibri"/>
          <w:sz w:val="24"/>
          <w:szCs w:val="24"/>
          <w:lang w:eastAsia="pl-PL"/>
        </w:rPr>
        <w:t>nagrody</w:t>
      </w:r>
      <w:r w:rsidR="00476F92" w:rsidRPr="0043256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3256E">
        <w:rPr>
          <w:rFonts w:eastAsia="Times New Roman" w:cs="Calibri"/>
          <w:sz w:val="24"/>
          <w:szCs w:val="24"/>
          <w:lang w:eastAsia="pl-PL"/>
        </w:rPr>
        <w:t>przyzna</w:t>
      </w:r>
      <w:r w:rsidR="00EB2252">
        <w:rPr>
          <w:rFonts w:eastAsia="Times New Roman" w:cs="Calibri"/>
          <w:sz w:val="24"/>
          <w:szCs w:val="24"/>
          <w:lang w:eastAsia="pl-PL"/>
        </w:rPr>
        <w:t>li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przedstawiciele 1</w:t>
      </w:r>
      <w:r w:rsidR="00EF79EF">
        <w:rPr>
          <w:rFonts w:eastAsia="Times New Roman" w:cs="Calibri"/>
          <w:sz w:val="24"/>
          <w:szCs w:val="24"/>
          <w:lang w:eastAsia="pl-PL"/>
        </w:rPr>
        <w:t>5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</w:t>
      </w:r>
      <w:r w:rsidR="0098389D">
        <w:rPr>
          <w:rFonts w:eastAsia="Times New Roman" w:cs="Calibri"/>
          <w:sz w:val="24"/>
          <w:szCs w:val="24"/>
          <w:lang w:eastAsia="pl-PL"/>
        </w:rPr>
        <w:t>S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ektorowych </w:t>
      </w:r>
      <w:r w:rsidR="0098389D">
        <w:rPr>
          <w:rFonts w:eastAsia="Times New Roman" w:cs="Calibri"/>
          <w:sz w:val="24"/>
          <w:szCs w:val="24"/>
          <w:lang w:eastAsia="pl-PL"/>
        </w:rPr>
        <w:t>R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ad ds. </w:t>
      </w:r>
      <w:r w:rsidR="0098389D">
        <w:rPr>
          <w:rFonts w:eastAsia="Times New Roman" w:cs="Calibri"/>
          <w:sz w:val="24"/>
          <w:szCs w:val="24"/>
          <w:lang w:eastAsia="pl-PL"/>
        </w:rPr>
        <w:t>K</w:t>
      </w:r>
      <w:r w:rsidRPr="0043256E">
        <w:rPr>
          <w:rFonts w:eastAsia="Times New Roman" w:cs="Calibri"/>
          <w:sz w:val="24"/>
          <w:szCs w:val="24"/>
          <w:lang w:eastAsia="pl-PL"/>
        </w:rPr>
        <w:t>ompetencji.</w:t>
      </w:r>
      <w:bookmarkStart w:id="1" w:name="_GoBack"/>
      <w:bookmarkEnd w:id="1"/>
    </w:p>
    <w:p w14:paraId="2BC6054F" w14:textId="77777777" w:rsidR="00276F52" w:rsidRPr="0043256E" w:rsidRDefault="00276F52" w:rsidP="0098389D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sz w:val="24"/>
          <w:szCs w:val="24"/>
          <w:lang w:eastAsia="pl-PL"/>
        </w:rPr>
        <w:t>W pierwszej kategorii „</w:t>
      </w:r>
      <w:r w:rsidRPr="00155466">
        <w:rPr>
          <w:rFonts w:eastAsia="Times New Roman" w:cs="Calibri"/>
          <w:b/>
          <w:sz w:val="24"/>
          <w:szCs w:val="24"/>
          <w:lang w:eastAsia="pl-PL"/>
        </w:rPr>
        <w:t>Rozwój pracownika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” </w:t>
      </w:r>
      <w:r w:rsidR="00EB2252">
        <w:rPr>
          <w:rFonts w:eastAsia="Times New Roman" w:cs="Calibri"/>
          <w:sz w:val="24"/>
          <w:szCs w:val="24"/>
          <w:lang w:eastAsia="pl-PL"/>
        </w:rPr>
        <w:t>zgłoszono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projekty motywujące do rozwoju zawodowego kadry, programy podnoszące kompetencje zawodowe, szkolenia oraz inne inwestycje w poszerzanie umiejętności pracowników.</w:t>
      </w:r>
    </w:p>
    <w:p w14:paraId="66C67EB0" w14:textId="77777777" w:rsidR="00276F52" w:rsidRPr="0043256E" w:rsidRDefault="00276F52" w:rsidP="0098389D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sz w:val="24"/>
          <w:szCs w:val="24"/>
          <w:lang w:eastAsia="pl-PL"/>
        </w:rPr>
        <w:t>Kategoria „</w:t>
      </w:r>
      <w:r w:rsidRPr="00155466">
        <w:rPr>
          <w:rFonts w:eastAsia="Times New Roman" w:cs="Calibri"/>
          <w:b/>
          <w:sz w:val="24"/>
          <w:szCs w:val="24"/>
          <w:lang w:eastAsia="pl-PL"/>
        </w:rPr>
        <w:t>Dojrzałe kompetencje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” </w:t>
      </w:r>
      <w:r w:rsidR="00EB2252">
        <w:rPr>
          <w:rFonts w:eastAsia="Times New Roman" w:cs="Calibri"/>
          <w:sz w:val="24"/>
          <w:szCs w:val="24"/>
          <w:lang w:eastAsia="pl-PL"/>
        </w:rPr>
        <w:t>była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przeznaczona dla przedsiębiorców, tworzących inicjatywy dla pracowników powyżej 50. roku życia. Uwzględni</w:t>
      </w:r>
      <w:r w:rsidR="00EB2252">
        <w:rPr>
          <w:rFonts w:eastAsia="Times New Roman" w:cs="Calibri"/>
          <w:sz w:val="24"/>
          <w:szCs w:val="24"/>
          <w:lang w:eastAsia="pl-PL"/>
        </w:rPr>
        <w:t>ono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programy mentorskie, polegające na wykorzystaniu eksperckiej wiedzy doświadczon</w:t>
      </w:r>
      <w:r w:rsidR="00EF79EF">
        <w:rPr>
          <w:rFonts w:eastAsia="Times New Roman" w:cs="Calibri"/>
          <w:sz w:val="24"/>
          <w:szCs w:val="24"/>
          <w:lang w:eastAsia="pl-PL"/>
        </w:rPr>
        <w:t>ych pracowników</w:t>
      </w:r>
      <w:r w:rsidRPr="0043256E">
        <w:rPr>
          <w:rFonts w:eastAsia="Times New Roman" w:cs="Calibri"/>
          <w:sz w:val="24"/>
          <w:szCs w:val="24"/>
          <w:lang w:eastAsia="pl-PL"/>
        </w:rPr>
        <w:t>, wymian</w:t>
      </w:r>
      <w:r w:rsidR="00EB2252">
        <w:rPr>
          <w:rFonts w:eastAsia="Times New Roman" w:cs="Calibri"/>
          <w:sz w:val="24"/>
          <w:szCs w:val="24"/>
          <w:lang w:eastAsia="pl-PL"/>
        </w:rPr>
        <w:t>ie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doświadczeń z podwładnymi na początku kariery zawodowej oraz przedsięwzięcia mające na celu zwiększanie szans i możliwości na rynku pracy osób powyżej 50. roku życia.</w:t>
      </w:r>
    </w:p>
    <w:p w14:paraId="67F721B8" w14:textId="77777777" w:rsidR="00276F52" w:rsidRDefault="00276F52" w:rsidP="0098389D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sz w:val="24"/>
          <w:szCs w:val="24"/>
          <w:lang w:eastAsia="pl-PL"/>
        </w:rPr>
        <w:t>Zakres inicjatyw wchodzący w skład ostatniej kategorii „</w:t>
      </w:r>
      <w:r w:rsidRPr="00155466">
        <w:rPr>
          <w:rFonts w:eastAsia="Times New Roman" w:cs="Calibri"/>
          <w:b/>
          <w:sz w:val="24"/>
          <w:szCs w:val="24"/>
          <w:lang w:eastAsia="pl-PL"/>
        </w:rPr>
        <w:t>Ambasador edukacji</w:t>
      </w:r>
      <w:r w:rsidRPr="0043256E">
        <w:rPr>
          <w:rFonts w:eastAsia="Times New Roman" w:cs="Calibri"/>
          <w:sz w:val="24"/>
          <w:szCs w:val="24"/>
          <w:lang w:eastAsia="pl-PL"/>
        </w:rPr>
        <w:t>” to wszystkie działania, które skupi</w:t>
      </w:r>
      <w:r w:rsidR="00EB2252">
        <w:rPr>
          <w:rFonts w:eastAsia="Times New Roman" w:cs="Calibri"/>
          <w:sz w:val="24"/>
          <w:szCs w:val="24"/>
          <w:lang w:eastAsia="pl-PL"/>
        </w:rPr>
        <w:t>ł</w:t>
      </w:r>
      <w:r w:rsidR="0052097B">
        <w:rPr>
          <w:rFonts w:eastAsia="Times New Roman" w:cs="Calibri"/>
          <w:sz w:val="24"/>
          <w:szCs w:val="24"/>
          <w:lang w:eastAsia="pl-PL"/>
        </w:rPr>
        <w:t>y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się na wspieraniu edukacji dzieci, młodzieży, studentów oraz </w:t>
      </w:r>
      <w:r w:rsidR="00EF79EF">
        <w:rPr>
          <w:rFonts w:eastAsia="Times New Roman" w:cs="Calibri"/>
          <w:sz w:val="24"/>
          <w:szCs w:val="24"/>
          <w:lang w:eastAsia="pl-PL"/>
        </w:rPr>
        <w:t xml:space="preserve">na </w:t>
      </w:r>
      <w:r w:rsidRPr="0043256E">
        <w:rPr>
          <w:rFonts w:eastAsia="Times New Roman" w:cs="Calibri"/>
          <w:sz w:val="24"/>
          <w:szCs w:val="24"/>
          <w:lang w:eastAsia="pl-PL"/>
        </w:rPr>
        <w:t>rozwoj</w:t>
      </w:r>
      <w:r w:rsidR="00EF79EF">
        <w:rPr>
          <w:rFonts w:eastAsia="Times New Roman" w:cs="Calibri"/>
          <w:sz w:val="24"/>
          <w:szCs w:val="24"/>
          <w:lang w:eastAsia="pl-PL"/>
        </w:rPr>
        <w:t>u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kadry pracowników oświaty. </w:t>
      </w:r>
      <w:r w:rsidR="00EF79EF">
        <w:rPr>
          <w:rFonts w:eastAsia="Times New Roman" w:cs="Calibri"/>
          <w:sz w:val="24"/>
          <w:szCs w:val="24"/>
          <w:lang w:eastAsia="pl-PL"/>
        </w:rPr>
        <w:t>Jest to m. in.</w:t>
      </w:r>
      <w:r w:rsidRPr="0043256E">
        <w:rPr>
          <w:rFonts w:eastAsia="Times New Roman" w:cs="Calibri"/>
          <w:sz w:val="24"/>
          <w:szCs w:val="24"/>
          <w:lang w:eastAsia="pl-PL"/>
        </w:rPr>
        <w:t>: prowadzenie kursów i warsztatów w szkołach i na uczelniach, tworzenie lub wspieranie platform i aplikacji edukacyjnych, organizacja konkursów oraz staży, aranżowanie programów klas profilowych, przygotowywanie pomocy dydaktycznych dla nauczycieli oraz zaangażowanie na rzecz zdobywania lub rozwoju kompetencji poszukiwanych na rynku pracy.</w:t>
      </w:r>
    </w:p>
    <w:p w14:paraId="0ED56C62" w14:textId="77777777" w:rsidR="00E0052A" w:rsidRDefault="00D40073" w:rsidP="0098389D">
      <w:pPr>
        <w:spacing w:before="120" w:after="120" w:line="276" w:lineRule="auto"/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</w:pPr>
      <w:r w:rsidRPr="00295F90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Zgłoszenia konkursowe zostały ocenione przez </w:t>
      </w:r>
      <w:r w:rsidR="00476F92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20</w:t>
      </w:r>
      <w:r w:rsidRPr="00295F90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-osobową kapitułę, której przewodniczył </w:t>
      </w:r>
      <w:r w:rsidR="00476F92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Pan Mikołaj Różycki, Zastępca Prezesa PARP.</w:t>
      </w:r>
    </w:p>
    <w:p w14:paraId="2CABAB98" w14:textId="77777777" w:rsidR="0038713E" w:rsidRDefault="0038713E" w:rsidP="0098389D">
      <w:pPr>
        <w:pStyle w:val="Nagwek2"/>
        <w:spacing w:before="120" w:after="120" w:line="276" w:lineRule="auto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 xml:space="preserve">Laureaci </w:t>
      </w:r>
      <w:r w:rsidR="00226BAE">
        <w:rPr>
          <w:shd w:val="clear" w:color="auto" w:fill="FFFFFF"/>
          <w:lang w:eastAsia="pl-PL"/>
        </w:rPr>
        <w:t>„Pracodawcy Jutra”</w:t>
      </w:r>
    </w:p>
    <w:p w14:paraId="50E29E57" w14:textId="77777777" w:rsidR="007F4285" w:rsidRPr="00226BAE" w:rsidRDefault="00155466" w:rsidP="0098389D">
      <w:pPr>
        <w:spacing w:before="120" w:after="120" w:line="276" w:lineRule="auto"/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</w:pPr>
      <w:r w:rsidRPr="00155466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>W kategorii</w:t>
      </w:r>
      <w:r w:rsidR="00226BAE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8713E" w:rsidRPr="007F428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Rozwój pracownika</w:t>
      </w:r>
      <w:r w:rsidR="00226BAE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w segmencie </w:t>
      </w:r>
      <w:r w:rsidR="0038713E" w:rsidRPr="0038713E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mikro i małe przedsiębiorstwa</w:t>
      </w:r>
      <w:r w:rsidR="00226BAE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wybrano projekt zgłoszony przez </w:t>
      </w:r>
      <w:r w:rsidR="00476F92" w:rsidRPr="0038713E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Rem</w:t>
      </w:r>
      <w:r w:rsidR="00476F92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i</w:t>
      </w:r>
      <w:r w:rsidR="00476F92" w:rsidRPr="0038713E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7F428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Vision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0E14B52" w14:textId="77777777" w:rsidR="004B741D" w:rsidRDefault="007F4285" w:rsidP="00F7550B">
      <w:pPr>
        <w:spacing w:before="120" w:after="120" w:line="276" w:lineRule="auto"/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</w:pPr>
      <w:r w:rsidRPr="007F428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Remi </w:t>
      </w:r>
      <w:proofErr w:type="spellStart"/>
      <w:r w:rsidRPr="007F428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Vision</w:t>
      </w:r>
      <w:proofErr w:type="spellEnd"/>
      <w:r w:rsidRPr="007F428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to firma informatyczna</w:t>
      </w:r>
      <w:r w:rsidR="00D64CA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</w:t>
      </w:r>
      <w:r w:rsidRPr="007F428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zajmująca się produkcją gier typu łamigłówki. Działa jako niezależna spółka, wspiera merytorycznie Uniwersytet Kazimierza Wielkiego w Bydgoszczy</w:t>
      </w:r>
      <w:r w:rsidR="00EC67DA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07066E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br/>
      </w:r>
      <w:r w:rsidRPr="007F428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w zakresie realizacji kierunku Humanistyka Drugiej Generacji (Projektowanie Gier). Firma </w:t>
      </w:r>
      <w:r w:rsidR="002A004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inwestuje w przyszłe kadry poprzez projekt </w:t>
      </w:r>
      <w:r w:rsidRPr="007F428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Remi </w:t>
      </w:r>
      <w:proofErr w:type="spellStart"/>
      <w:r w:rsidRPr="007F428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Academy</w:t>
      </w:r>
      <w:proofErr w:type="spellEnd"/>
      <w:r w:rsidRPr="007F428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 który realiz</w:t>
      </w:r>
      <w:r w:rsidR="002A004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uje w dwóch ścieżkach</w:t>
      </w:r>
      <w:r w:rsidRPr="007F428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. Pierwsza dotyczy rozwoju zawodowego, druga związana jest z promocją zdrowego stylu życia.</w:t>
      </w:r>
      <w:r w:rsidR="00F7550B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7550B" w:rsidRPr="00F7550B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Porównywanie wyników z kolegami zwiększ</w:t>
      </w:r>
      <w:r w:rsidR="00F7550B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yło</w:t>
      </w:r>
      <w:r w:rsidR="00F7550B" w:rsidRPr="00F7550B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motywację do wspólnych </w:t>
      </w:r>
      <w:r w:rsidR="00F7550B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i </w:t>
      </w:r>
      <w:r w:rsidR="00F7550B" w:rsidRPr="00F7550B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indywidualnych treningów. Aktywność fizyczna wpłynęła pozytywnie na zdrowie osób, które pracują w trybie siedzącym lub stojącym. Siłownia w miejscu pracy pozwoliła na regularne dbanie o sprawność ruchową, co przełożyło się na lepsze samopoczucie kadry. W ramach inicjatywy Remi </w:t>
      </w:r>
      <w:proofErr w:type="spellStart"/>
      <w:r w:rsidR="00F7550B" w:rsidRPr="00F7550B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Academy</w:t>
      </w:r>
      <w:proofErr w:type="spellEnd"/>
      <w:r w:rsidR="00F7550B" w:rsidRPr="00F7550B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zintegrowano interdyscyplinarny zespół, co wpłynęło na zwiększenie efektywności, produktywności oraz współpracy w zespole. System jest konsekwentnie ulepszany w oparciu o uwagi oraz sugestie uczestników Remi </w:t>
      </w:r>
      <w:proofErr w:type="spellStart"/>
      <w:r w:rsidR="00F7550B" w:rsidRPr="00F7550B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Academy</w:t>
      </w:r>
      <w:proofErr w:type="spellEnd"/>
      <w:r w:rsidR="00F7550B" w:rsidRPr="00F7550B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7E1348D9" w14:textId="77777777" w:rsidR="004B741D" w:rsidRPr="006D4DD4" w:rsidRDefault="00155466" w:rsidP="00155466">
      <w:pPr>
        <w:spacing w:before="480" w:after="120" w:line="276" w:lineRule="auto"/>
      </w:pPr>
      <w:r w:rsidRPr="00155466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W kategorii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7F428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Rozwój pracownika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 w segmencie</w:t>
      </w:r>
      <w:r w:rsidR="006D4DD4">
        <w:t xml:space="preserve"> </w:t>
      </w:r>
      <w:r w:rsidR="004B741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średnie i duże</w:t>
      </w:r>
      <w:r w:rsidR="004B741D" w:rsidRPr="0038713E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przedsiębiorstwa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wygrało </w:t>
      </w:r>
      <w:r w:rsidR="004B741D" w:rsidRPr="008545B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Miejskie Przedsiębiorstwo Wodociągów i Kanalizacji S.A. </w:t>
      </w:r>
      <w:r w:rsidR="0007066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 Wrocławia</w:t>
      </w:r>
    </w:p>
    <w:p w14:paraId="44DEB8A6" w14:textId="77777777" w:rsidR="006D4DD4" w:rsidRPr="004B741D" w:rsidRDefault="00EA4011" w:rsidP="0098389D">
      <w:pPr>
        <w:spacing w:before="120" w:after="120" w:line="276" w:lineRule="auto"/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</w:pPr>
      <w:r w:rsidRPr="00EA4011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MPWiK we Wrocławiu odpowiada za dostarczani</w:t>
      </w:r>
      <w:r w:rsidR="00D64CA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e</w:t>
      </w:r>
      <w:r w:rsidRPr="00EA4011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wody i odprowadzani</w:t>
      </w:r>
      <w:r w:rsidR="00D64CA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e</w:t>
      </w:r>
      <w:r w:rsidRPr="00EA4011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ścieków na obszarze Wrocławia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="0007066E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Do konkursu zgłoszono inicjatywę, która </w:t>
      </w:r>
      <w:r w:rsidR="004B741D" w:rsidRPr="004B741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została podzielona na dwie części: Mistrzowskie Przywództwo – projekt dla grupy stanowiskowej mistrzów oraz Angażujące Przywództwo – projekt dla pracowników na stanowiskach: lider, menedżer, dyrektor oraz zarząd. Podział ten wynikał z innej specyfiki pracy grup i umożliwił dopasowanie działań rozwojowych, programu, kadry trenerskiej do potrzeb uczestników. Dla każdej z grup stanowiskowych został stworzony autorski program, zawierający moduły tematyczne</w:t>
      </w:r>
      <w:r w:rsidR="00D64CA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</w:t>
      </w:r>
      <w:r w:rsidR="004B741D" w:rsidRPr="004B741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odpowiadające lukom kompetencyjnym.</w:t>
      </w:r>
      <w:r w:rsidR="0007066E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07066E" w:rsidRPr="004B741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Na potrzeby realizacji projektu przygotowano i wykorzystano dedykowane narzędzia</w:t>
      </w:r>
      <w:r w:rsidR="0007066E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, w tym </w:t>
      </w:r>
      <w:r w:rsidR="0007066E" w:rsidRPr="004B741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platformy projektowe</w:t>
      </w:r>
      <w:r w:rsidR="0007066E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dostępne dla pracowników online.</w:t>
      </w:r>
    </w:p>
    <w:p w14:paraId="2F5E900C" w14:textId="77777777" w:rsidR="00EA4011" w:rsidRDefault="0007066E" w:rsidP="0098389D">
      <w:pPr>
        <w:spacing w:before="120" w:after="120" w:line="276" w:lineRule="auto"/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Zgłoszona i</w:t>
      </w:r>
      <w:r w:rsidR="004B741D" w:rsidRPr="004B741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nicjatywa sprzyja rozwoj</w:t>
      </w:r>
      <w:r w:rsidR="00D64CA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owi</w:t>
      </w:r>
      <w:r w:rsidR="004B741D" w:rsidRPr="004B741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kompetencji miękkich (uniwersalnych), poszukiwanych przez pracodawców</w:t>
      </w:r>
      <w:r w:rsidR="00D64CA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</w:t>
      </w:r>
      <w:r w:rsidR="004B741D" w:rsidRPr="004B741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o czym świadczy tematyka oferowanych modułów szkoleniowych (Komunikacja i informacja zwrotna, Zarządzanie zespołem, Rozwiązywanie konfliktów, Organizacja pracy zespołu, Motywowanie pracowników, Rozwiązywanie problemów, Rozwój pracowników). </w:t>
      </w:r>
    </w:p>
    <w:p w14:paraId="59C8EABC" w14:textId="77777777" w:rsidR="00EA4011" w:rsidRDefault="00155466" w:rsidP="00155466">
      <w:pPr>
        <w:spacing w:before="480" w:after="120" w:line="276" w:lineRule="auto"/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55466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>W kategorii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75986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Ambasador Edukacji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w segmencie</w:t>
      </w:r>
      <w:r w:rsidR="006D4DD4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A4011" w:rsidRPr="0038713E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mikro i małe przedsiębiorstwa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zwyciężyła firma </w:t>
      </w:r>
      <w:proofErr w:type="spellStart"/>
      <w:r w:rsidR="00575986" w:rsidRPr="00575986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Perceptus</w:t>
      </w:r>
      <w:proofErr w:type="spellEnd"/>
      <w:r w:rsidR="00575986" w:rsidRPr="00575986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Sp. z o.o.</w:t>
      </w:r>
    </w:p>
    <w:p w14:paraId="0BE207FD" w14:textId="77777777" w:rsidR="00575986" w:rsidRDefault="004D3DE9" w:rsidP="0098389D">
      <w:pPr>
        <w:spacing w:before="120" w:after="120" w:line="276" w:lineRule="auto"/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4D3DE9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Perceptus</w:t>
      </w:r>
      <w:proofErr w:type="spellEnd"/>
      <w:r w:rsidRPr="004D3DE9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IT Security </w:t>
      </w:r>
      <w:proofErr w:type="spellStart"/>
      <w:r w:rsidRPr="004D3DE9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Academy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to i</w:t>
      </w:r>
      <w:r w:rsidR="00575986" w:rsidRPr="00575986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nicjatywa mająca na celu przekazanie uczniom i studentom wiedzy i doświadczenia w dziedzinie bezpieczeństwa IT. Dzięki projektowi młodzi ludzie mają możliwość zdobycia dodatkowej wiedzy oraz pozyskania praktycznych umiejętności w temacie IT Security, cenionych przez potencjalnych pracodawców. Ułatwi im to start </w:t>
      </w:r>
      <w:r w:rsidR="00D64CA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 karierze</w:t>
      </w:r>
      <w:r w:rsidR="00575986" w:rsidRPr="00575986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, we wszystkich przedsiębiorstwach związanych z branżą IT, w szczególności w aspekcie cyberbezpieczeństwa. </w:t>
      </w:r>
    </w:p>
    <w:p w14:paraId="795938A4" w14:textId="77777777" w:rsidR="00575986" w:rsidRDefault="00155466" w:rsidP="00155466">
      <w:pPr>
        <w:spacing w:before="480" w:after="120" w:line="276" w:lineRule="auto"/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55466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>W kategorii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75986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Ambasador Edukacji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w segmencie</w:t>
      </w:r>
      <w:r w:rsidR="006D4DD4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75986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średnie i duże</w:t>
      </w:r>
      <w:r w:rsidR="00575986" w:rsidRPr="0038713E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przedsiębiorstwa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wybrano projekt zgłoszony przez </w:t>
      </w:r>
      <w:r w:rsidR="004D3DE9" w:rsidRPr="004D3DE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Mercedes-Benz Manufacturing Poland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6EDEF392" w14:textId="77777777" w:rsidR="00B422F1" w:rsidRDefault="004D3DE9" w:rsidP="0098389D">
      <w:pPr>
        <w:spacing w:before="120" w:after="120" w:line="276" w:lineRule="auto"/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</w:pPr>
      <w:r w:rsidRPr="004D3DE9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Program „Girls Go Technology, czyli dziewczyny oswajają technologię”</w:t>
      </w:r>
      <w:r w:rsidR="001B4366" w:rsidRPr="001B4366">
        <w:t xml:space="preserve"> </w:t>
      </w:r>
      <w:r w:rsidR="001B4366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</w:t>
      </w:r>
      <w:r w:rsidR="001B4366" w:rsidRPr="001B4366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o autorski projekt Mercedes-Benz Manufacturing Poland</w:t>
      </w:r>
      <w:r w:rsidR="001B4366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.</w:t>
      </w:r>
      <w:r w:rsidR="006C34E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1B4366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</w:t>
      </w:r>
      <w:r w:rsidRPr="004D3DE9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o cykl warsztatów, adresowanych do uczennic szkół średnich powiatu jaworskiego, których celem jest „oswojenie” technologii, przybliżenie nauk matematycznych, technicznych i inżynierii w przyjazny sposób. Program „Girls GO Technology” ma na celu zainteresowanie </w:t>
      </w:r>
      <w:r w:rsidR="00616127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adresatek programu</w:t>
      </w:r>
      <w:r w:rsidRPr="004D3DE9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pracą w zawodach technicznych, stereotypowo uznawanych za „męskie”, bądź studiami na kierunkach STEM (Science, Technology, Engineering, </w:t>
      </w:r>
      <w:proofErr w:type="spellStart"/>
      <w:r w:rsidRPr="004D3DE9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Mathematics</w:t>
      </w:r>
      <w:proofErr w:type="spellEnd"/>
      <w:r w:rsidRPr="004D3DE9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). Dane zebrane w trakcie trzech edycji programu „Girls GO Technology” uwidoczniły m.in </w:t>
      </w:r>
      <w:r w:rsidR="00D64CA5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duży</w:t>
      </w:r>
      <w:r w:rsidRPr="004D3DE9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wpływ czynników środowiskowych na decyzje zawodowe młodych kobiet, takich jak możliwości edukacji i pracy oraz wyobrażenia otoczenia o roli zawodowej czy pozycji kobiety w </w:t>
      </w:r>
      <w:r w:rsidRPr="004D3DE9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życiu społecznym. Najważniejsza konkluzja: uczennice spoza wielkomiejskich aglomeracji nie mają prawie żadnych wzorców kariery i przykładów kobiet sukcesu </w:t>
      </w:r>
      <w:r w:rsidR="00616127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.</w:t>
      </w:r>
      <w:r w:rsidR="0098389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7A331BF3" w14:textId="77777777" w:rsidR="001B42B4" w:rsidRPr="006D4DD4" w:rsidRDefault="00155466" w:rsidP="00155466">
      <w:pPr>
        <w:spacing w:before="480" w:after="120" w:line="276" w:lineRule="auto"/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55466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>W kategorii</w:t>
      </w:r>
      <w:r w:rsidR="006D4DD4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422F1" w:rsidRPr="00B422F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Dojrzałe Kompetencje</w:t>
      </w:r>
      <w:r w:rsidR="006D4DD4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155466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>w segmencie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422F1"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mikro i małe przedsiębiorstwa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nagroda przyznana została </w:t>
      </w:r>
      <w:proofErr w:type="spellStart"/>
      <w:r w:rsidR="00B422F1" w:rsidRPr="001B42B4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Inventity</w:t>
      </w:r>
      <w:proofErr w:type="spellEnd"/>
      <w:r w:rsidR="00B422F1" w:rsidRPr="001B42B4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Foundation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.</w:t>
      </w:r>
      <w:r w:rsidR="001B42B4" w:rsidRPr="001B42B4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proofErr w:type="spellStart"/>
      <w:r w:rsidR="001B42B4"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Inventity</w:t>
      </w:r>
      <w:proofErr w:type="spellEnd"/>
      <w:r w:rsidR="001B42B4"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Foundation jest organizacją wspierającą polskich przedsiębiorców w rozwoju ich biznesu. Obsługuje firmy średnie i duże, ze szczególnym uwzględnieniem firm rodzinnych. </w:t>
      </w:r>
    </w:p>
    <w:p w14:paraId="15C4397C" w14:textId="77777777" w:rsidR="00575986" w:rsidRPr="001B42B4" w:rsidRDefault="001B42B4" w:rsidP="0098389D">
      <w:pPr>
        <w:spacing w:before="120" w:after="120" w:line="276" w:lineRule="auto"/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Inicjatywa </w:t>
      </w:r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Train the </w:t>
      </w:r>
      <w:proofErr w:type="spellStart"/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Trainers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to</w:t>
      </w:r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szkolenie i certyfikacja osób w wieku 50+ z doświadczeniem menedżerskim.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</w:t>
      </w:r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owstała z myślą o menedżerach, którzy wychodzą ze struktur korporacyjnych lub z dużych firm, a z drugiej strony mają zbyt mało kompetencji przedsiębiorczych, aby rozwinąć własną firmę. Odbiorcami ostatecznymi inicjatywy są polscy przedsiębiorcy, których firmy potrzebują poprawy efektywności, profesjonalizacji procesów</w:t>
      </w:r>
      <w:r w:rsidR="0098389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. Ponadto te osoby, </w:t>
      </w:r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któr</w:t>
      </w:r>
      <w:r w:rsidR="0098389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e</w:t>
      </w:r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chci</w:t>
      </w:r>
      <w:r w:rsidR="0098389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ałyby</w:t>
      </w:r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rozwinąć skalę przedsiębiorstwa, a</w:t>
      </w:r>
      <w:r w:rsidR="0098389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le </w:t>
      </w:r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nie stać </w:t>
      </w:r>
      <w:r w:rsidR="0098389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ich </w:t>
      </w:r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na zatrudnienie profesjonalnego menedżera</w:t>
      </w:r>
      <w:r w:rsidR="0098389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lub</w:t>
      </w:r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mają trudność ze znalezieniem menedżera</w:t>
      </w:r>
      <w:r w:rsidR="0098389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</w:t>
      </w:r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pasującego do charakteru organizacji i jej kultury.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</w:t>
      </w:r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ziałania prowadzone są według zasad opracowanych w ramach metodyki </w:t>
      </w:r>
      <w:proofErr w:type="spellStart"/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Growing</w:t>
      </w:r>
      <w:proofErr w:type="spellEnd"/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Pains</w:t>
      </w:r>
      <w:proofErr w:type="spellEnd"/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Strategy</w:t>
      </w:r>
      <w:proofErr w:type="spellEnd"/>
      <w:r w:rsidRPr="001B42B4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®. </w:t>
      </w:r>
    </w:p>
    <w:p w14:paraId="23DDF56F" w14:textId="77777777" w:rsidR="006D4DD4" w:rsidRDefault="006D4DD4" w:rsidP="00155466">
      <w:pPr>
        <w:pStyle w:val="Nagwek2"/>
        <w:spacing w:before="480" w:after="12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>Wyróżnieni przez środowisko branżowe</w:t>
      </w:r>
    </w:p>
    <w:p w14:paraId="151D5D52" w14:textId="77777777" w:rsidR="006D4DD4" w:rsidRPr="006D4DD4" w:rsidRDefault="006D4DD4" w:rsidP="0098389D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6D4DD4">
        <w:rPr>
          <w:rFonts w:ascii="Calibri" w:hAnsi="Calibri" w:cs="Calibri"/>
        </w:rPr>
        <w:t xml:space="preserve">W ramach konkursu „Pracodawca Jutra” przyznano również </w:t>
      </w:r>
      <w:r w:rsidR="0045035F">
        <w:rPr>
          <w:rFonts w:ascii="Calibri" w:hAnsi="Calibri" w:cs="Calibri"/>
        </w:rPr>
        <w:t>nagrody branżowe</w:t>
      </w:r>
      <w:r w:rsidRPr="006D4DD4">
        <w:rPr>
          <w:rFonts w:ascii="Calibri" w:hAnsi="Calibri" w:cs="Calibri"/>
        </w:rPr>
        <w:t xml:space="preserve"> </w:t>
      </w:r>
      <w:hyperlink r:id="rId12" w:history="1">
        <w:r w:rsidRPr="006D4DD4">
          <w:rPr>
            <w:rStyle w:val="Hipercze"/>
            <w:rFonts w:ascii="Calibri" w:eastAsia="Calibri" w:hAnsi="Calibri" w:cs="Calibri"/>
          </w:rPr>
          <w:t>Sektorowych Rad ds. Kompetencji</w:t>
        </w:r>
      </w:hyperlink>
      <w:r w:rsidR="00155466">
        <w:rPr>
          <w:rFonts w:ascii="Calibri" w:hAnsi="Calibri" w:cs="Calibri"/>
        </w:rPr>
        <w:t xml:space="preserve"> w następujących branżach:</w:t>
      </w:r>
    </w:p>
    <w:p w14:paraId="2291DCE5" w14:textId="77777777" w:rsidR="000A68BB" w:rsidRDefault="00E0052A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Sektor Żyw</w:t>
      </w:r>
      <w:r w:rsidR="006D4DD4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ości Wysokiej Jakości </w:t>
      </w:r>
    </w:p>
    <w:p w14:paraId="50D40951" w14:textId="77777777" w:rsidR="00E0052A" w:rsidRPr="006D4DD4" w:rsidRDefault="00E0052A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D4D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Grupa Maspex Sp. z o.o.</w:t>
      </w:r>
    </w:p>
    <w:p w14:paraId="7176573E" w14:textId="77777777" w:rsidR="000A68BB" w:rsidRDefault="006D4DD4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Finan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sów</w:t>
      </w:r>
    </w:p>
    <w:p w14:paraId="63FDD829" w14:textId="77777777" w:rsidR="00722601" w:rsidRPr="006D4DD4" w:rsidRDefault="009F0CA0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D4D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BNP </w:t>
      </w:r>
      <w:proofErr w:type="spellStart"/>
      <w:r w:rsidRPr="006D4D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Paribas</w:t>
      </w:r>
      <w:proofErr w:type="spellEnd"/>
      <w:r w:rsidRPr="006D4D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Bank Polski S</w:t>
      </w:r>
      <w:r w:rsidR="000B60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  <w:r w:rsidRPr="006D4D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="000B60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</w:p>
    <w:p w14:paraId="1C5A99CD" w14:textId="77777777" w:rsidR="00290628" w:rsidRDefault="006D4DD4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Odzysk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Materiałow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ego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Surowców</w:t>
      </w:r>
    </w:p>
    <w:p w14:paraId="5ACB1F71" w14:textId="77777777" w:rsidR="009F0CA0" w:rsidRPr="006D4DD4" w:rsidRDefault="009F0CA0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D4D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Regionalny Zakład Zagospodarowania Odpadów Sp. z o.o.</w:t>
      </w:r>
    </w:p>
    <w:p w14:paraId="3D822750" w14:textId="77777777" w:rsidR="00290628" w:rsidRDefault="006D4DD4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Gospodark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Wodno-</w:t>
      </w:r>
      <w:r w:rsidR="000B6092">
        <w:rPr>
          <w:rFonts w:asciiTheme="majorHAnsi" w:eastAsia="Times New Roman" w:hAnsiTheme="majorHAnsi" w:cstheme="majorHAnsi"/>
          <w:sz w:val="24"/>
          <w:szCs w:val="24"/>
          <w:lang w:eastAsia="pl-PL"/>
        </w:rPr>
        <w:t>ś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ciekow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ej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Rekultywac</w:t>
      </w:r>
      <w:r w:rsidR="00C369A8">
        <w:rPr>
          <w:rFonts w:asciiTheme="majorHAnsi" w:eastAsia="Times New Roman" w:hAnsiTheme="majorHAnsi" w:cstheme="majorHAnsi"/>
          <w:sz w:val="24"/>
          <w:szCs w:val="24"/>
          <w:lang w:eastAsia="pl-PL"/>
        </w:rPr>
        <w:t>j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452B0C2B" w14:textId="77777777" w:rsidR="009F0CA0" w:rsidRPr="006D4DD4" w:rsidRDefault="009F0CA0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D4D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Miejskie Przedsiębiorstwo Wodociągów i Kanalizacji</w:t>
      </w:r>
      <w:r w:rsidR="008545B6" w:rsidRPr="006D4D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S.A. </w:t>
      </w:r>
      <w:r w:rsidR="00C369A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we Wrocławiu</w:t>
      </w:r>
    </w:p>
    <w:p w14:paraId="1F7E9AE0" w14:textId="77777777" w:rsidR="00290628" w:rsidRDefault="00D64CA5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Telekomunikacj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</w:t>
      </w:r>
      <w:proofErr w:type="spellStart"/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Cyberbe</w:t>
      </w:r>
      <w:r w:rsidR="000B60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pieczeństw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proofErr w:type="spellEnd"/>
    </w:p>
    <w:p w14:paraId="57084144" w14:textId="77777777" w:rsidR="009F0CA0" w:rsidRPr="00D64CA5" w:rsidRDefault="009F0CA0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proofErr w:type="spellStart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Spint</w:t>
      </w:r>
      <w:proofErr w:type="spellEnd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S.A.</w:t>
      </w:r>
    </w:p>
    <w:p w14:paraId="72BCA8E3" w14:textId="77777777" w:rsidR="00290628" w:rsidRDefault="00D64CA5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Komunikacj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Marketingow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ej</w:t>
      </w:r>
    </w:p>
    <w:p w14:paraId="4AA80ED7" w14:textId="77777777" w:rsidR="009F0CA0" w:rsidRPr="00D64CA5" w:rsidRDefault="009F0CA0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proofErr w:type="spellStart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Dentsu</w:t>
      </w:r>
      <w:proofErr w:type="spellEnd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Polska Sp. z o.o.</w:t>
      </w:r>
    </w:p>
    <w:p w14:paraId="2C4E2A0B" w14:textId="77777777" w:rsidR="00290628" w:rsidRDefault="00D64CA5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Sektor 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Hand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lu</w:t>
      </w:r>
      <w:r w:rsidR="009F0CA0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4DAFBCF7" w14:textId="77777777" w:rsidR="009F0CA0" w:rsidRPr="00D64CA5" w:rsidRDefault="000B6092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9F0CA0"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Społem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  <w:r w:rsidR="009F0CA0"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Poznańska Spółdzielnia Spożywców w Poznaniu</w:t>
      </w:r>
    </w:p>
    <w:p w14:paraId="69F128D1" w14:textId="77777777" w:rsidR="00290628" w:rsidRDefault="00D64CA5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15332C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Nowoczesn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r w:rsidR="0015332C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Usług Biznesow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r w:rsidR="0015332C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3B7D901" w14:textId="77777777" w:rsidR="0015332C" w:rsidRPr="00D64CA5" w:rsidRDefault="0015332C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</w:pPr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HEINEKEN Global Shared Services Sp. z </w:t>
      </w:r>
      <w:proofErr w:type="spellStart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o.o</w:t>
      </w:r>
      <w:proofErr w:type="spellEnd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.</w:t>
      </w:r>
    </w:p>
    <w:p w14:paraId="1F0CD79A" w14:textId="77777777" w:rsidR="00290628" w:rsidRDefault="00D64CA5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15332C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Opiek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15332C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Zdrowotn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ej</w:t>
      </w:r>
      <w:r w:rsidR="0015332C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Pomoc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="0015332C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Społeczn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ej</w:t>
      </w:r>
      <w:r w:rsidR="0015332C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4AB7F96C" w14:textId="77777777" w:rsidR="0015332C" w:rsidRPr="00D64CA5" w:rsidRDefault="0015332C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FORMEDIS Sp. z o.o. Sp. K.</w:t>
      </w:r>
    </w:p>
    <w:p w14:paraId="0EE89335" w14:textId="77777777" w:rsidR="00290628" w:rsidRDefault="00D64CA5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15332C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Informatyk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15332C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B640C1C" w14:textId="77777777" w:rsidR="0015332C" w:rsidRPr="00D64CA5" w:rsidRDefault="0015332C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</w:pPr>
      <w:proofErr w:type="spellStart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Mobitouch</w:t>
      </w:r>
      <w:proofErr w:type="spellEnd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 sp. z </w:t>
      </w:r>
      <w:proofErr w:type="spellStart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o.o</w:t>
      </w:r>
      <w:proofErr w:type="spellEnd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.</w:t>
      </w:r>
    </w:p>
    <w:p w14:paraId="183135F6" w14:textId="77777777" w:rsidR="00290628" w:rsidRDefault="00D64CA5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15332C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Chemi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15332C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2EFE327" w14:textId="77777777" w:rsidR="0015332C" w:rsidRPr="00D64CA5" w:rsidRDefault="0015332C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Zakłady Farmaceutyczne Polpharma S.A</w:t>
      </w:r>
      <w:r w:rsidR="000B60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</w:p>
    <w:p w14:paraId="37EA1F44" w14:textId="77777777" w:rsidR="00290628" w:rsidRDefault="00D64CA5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C460BE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Motoryzacj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C460BE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r w:rsidR="00C460BE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lektromobilnośc</w:t>
      </w:r>
      <w:r w:rsidR="000B6092"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proofErr w:type="spellEnd"/>
      <w:r w:rsidR="00C460BE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2BBE5436" w14:textId="77777777" w:rsidR="00C460BE" w:rsidRPr="00D64CA5" w:rsidRDefault="00C460BE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</w:pPr>
      <w:proofErr w:type="spellStart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Stellantis</w:t>
      </w:r>
      <w:proofErr w:type="spellEnd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 Gliwice sp. z </w:t>
      </w:r>
      <w:proofErr w:type="spellStart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o.o</w:t>
      </w:r>
      <w:proofErr w:type="spellEnd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.</w:t>
      </w:r>
    </w:p>
    <w:p w14:paraId="3FB173A9" w14:textId="77777777" w:rsidR="00290628" w:rsidRDefault="00D64CA5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C460BE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Budownictw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</w:p>
    <w:p w14:paraId="15AEDE48" w14:textId="77777777" w:rsidR="00C460BE" w:rsidRPr="00D64CA5" w:rsidRDefault="00C460BE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UNIBEP S.A.</w:t>
      </w:r>
    </w:p>
    <w:p w14:paraId="7092395C" w14:textId="77777777" w:rsidR="00290628" w:rsidRDefault="00D64CA5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C460BE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Usług </w:t>
      </w:r>
      <w:r w:rsidR="000B6092"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r w:rsidR="000B6092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ozwojow</w:t>
      </w:r>
      <w:r w:rsidR="000B6092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</w:p>
    <w:p w14:paraId="34AF6A05" w14:textId="77777777" w:rsidR="00C460BE" w:rsidRPr="00D64CA5" w:rsidRDefault="00C460BE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Gdańska Fundacja Kształcenia Menedżerów</w:t>
      </w:r>
    </w:p>
    <w:p w14:paraId="4883155C" w14:textId="77777777" w:rsidR="00C460BE" w:rsidRPr="008545B6" w:rsidRDefault="00C460BE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7D75890" w14:textId="77777777" w:rsidR="00C460BE" w:rsidRDefault="00C460BE" w:rsidP="0098389D">
      <w:pPr>
        <w:pStyle w:val="Nagwek2"/>
        <w:spacing w:before="120" w:after="120" w:line="276" w:lineRule="auto"/>
        <w:rPr>
          <w:lang w:eastAsia="pl-PL"/>
        </w:rPr>
      </w:pPr>
      <w:r w:rsidRPr="008545B6">
        <w:rPr>
          <w:lang w:eastAsia="pl-PL"/>
        </w:rPr>
        <w:t>Wyróżnienia</w:t>
      </w:r>
      <w:r w:rsidR="006C34ED">
        <w:rPr>
          <w:lang w:eastAsia="pl-PL"/>
        </w:rPr>
        <w:t xml:space="preserve"> </w:t>
      </w:r>
      <w:r w:rsidRPr="008545B6">
        <w:rPr>
          <w:lang w:eastAsia="pl-PL"/>
        </w:rPr>
        <w:t>branżow</w:t>
      </w:r>
      <w:r w:rsidR="0045035F">
        <w:rPr>
          <w:lang w:eastAsia="pl-PL"/>
        </w:rPr>
        <w:t>e przyznane przez Kapituły Sektorowe</w:t>
      </w:r>
    </w:p>
    <w:p w14:paraId="4B6D8CF7" w14:textId="77777777" w:rsidR="00290628" w:rsidRDefault="00D64CA5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C460BE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Hand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lu</w:t>
      </w:r>
      <w:r w:rsidR="00C460BE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44C5B4D9" w14:textId="77777777" w:rsidR="00C460BE" w:rsidRPr="00D64CA5" w:rsidRDefault="00C460BE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Akademia Umiejętności Eurocash Sp. z o.o.</w:t>
      </w:r>
    </w:p>
    <w:p w14:paraId="6FB7CFDB" w14:textId="77777777" w:rsidR="00290628" w:rsidRDefault="00D64CA5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C460BE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Motoryzacj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C460BE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r w:rsidR="00C460BE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lektromobilności</w:t>
      </w:r>
      <w:proofErr w:type="spellEnd"/>
    </w:p>
    <w:p w14:paraId="79ADFB64" w14:textId="77777777" w:rsidR="00C460BE" w:rsidRPr="00D64CA5" w:rsidRDefault="00C460BE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</w:pPr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Mercede</w:t>
      </w:r>
      <w:r w:rsidR="00C369A8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s</w:t>
      </w:r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-Benz </w:t>
      </w:r>
      <w:r w:rsidR="00212429"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Manufact</w:t>
      </w:r>
      <w:r w:rsidR="00212429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u</w:t>
      </w:r>
      <w:r w:rsidR="00212429"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ring </w:t>
      </w:r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Poland Sp. z </w:t>
      </w:r>
      <w:proofErr w:type="spellStart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o.o</w:t>
      </w:r>
      <w:proofErr w:type="spellEnd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. </w:t>
      </w:r>
    </w:p>
    <w:p w14:paraId="22922ED4" w14:textId="77777777" w:rsidR="00290628" w:rsidRDefault="00D64CA5" w:rsidP="0098389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Sektor </w:t>
      </w:r>
      <w:r w:rsidR="008545B6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Usługi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r w:rsidR="008545B6" w:rsidRPr="008545B6">
        <w:rPr>
          <w:rFonts w:asciiTheme="majorHAnsi" w:eastAsia="Times New Roman" w:hAnsiTheme="majorHAnsi" w:cstheme="majorHAnsi"/>
          <w:sz w:val="24"/>
          <w:szCs w:val="24"/>
          <w:lang w:eastAsia="pl-PL"/>
        </w:rPr>
        <w:t>ozwojow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</w:p>
    <w:p w14:paraId="5D1B4C76" w14:textId="77777777" w:rsidR="00C460BE" w:rsidRDefault="008545B6" w:rsidP="0098389D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Fundacja </w:t>
      </w:r>
      <w:proofErr w:type="spellStart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Alae</w:t>
      </w:r>
      <w:proofErr w:type="spellEnd"/>
      <w:r w:rsidRPr="00D64CA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- skrzydła rozwoju</w:t>
      </w:r>
    </w:p>
    <w:p w14:paraId="7B5135B6" w14:textId="77777777" w:rsidR="0098389D" w:rsidRPr="0098389D" w:rsidRDefault="0098389D" w:rsidP="0098389D">
      <w:pPr>
        <w:pStyle w:val="Akapitzlist"/>
        <w:spacing w:before="120" w:after="12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5868811" w14:textId="77777777" w:rsidR="00155466" w:rsidRPr="001F4ED5" w:rsidRDefault="00155466" w:rsidP="00155466">
      <w:pPr>
        <w:pStyle w:val="Nagwek2"/>
        <w:spacing w:before="120" w:after="120" w:line="276" w:lineRule="auto"/>
      </w:pPr>
      <w:r w:rsidRPr="001F4ED5">
        <w:t>Kto mógł wziąć udział w konkursie</w:t>
      </w:r>
    </w:p>
    <w:p w14:paraId="451EE53E" w14:textId="77777777" w:rsidR="00155466" w:rsidRDefault="00155466" w:rsidP="00155466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175E76">
        <w:rPr>
          <w:rFonts w:eastAsia="Times New Roman" w:cs="Calibri"/>
          <w:sz w:val="24"/>
          <w:szCs w:val="24"/>
          <w:lang w:eastAsia="pl-PL"/>
        </w:rPr>
        <w:t xml:space="preserve">Konkurs przeznaczony </w:t>
      </w:r>
      <w:r>
        <w:rPr>
          <w:rFonts w:eastAsia="Times New Roman" w:cs="Calibri"/>
          <w:sz w:val="24"/>
          <w:szCs w:val="24"/>
          <w:lang w:eastAsia="pl-PL"/>
        </w:rPr>
        <w:t>był</w:t>
      </w:r>
      <w:r w:rsidRPr="00175E76">
        <w:rPr>
          <w:rFonts w:eastAsia="Times New Roman" w:cs="Calibri"/>
          <w:sz w:val="24"/>
          <w:szCs w:val="24"/>
          <w:lang w:eastAsia="pl-PL"/>
        </w:rPr>
        <w:t xml:space="preserve"> dla mikro, małych,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średnich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, ale także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dużych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przedsiębiorstw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,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które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r</w:t>
      </w:r>
      <w:r w:rsidRPr="00175E76">
        <w:rPr>
          <w:rFonts w:eastAsia="Times New Roman" w:cs="Calibri"/>
          <w:sz w:val="24"/>
          <w:szCs w:val="24"/>
          <w:lang w:eastAsia="pl-PL"/>
        </w:rPr>
        <w:t>ealizowały inicjatywy edukacyjne. Projekt</w:t>
      </w:r>
      <w:r>
        <w:rPr>
          <w:rFonts w:eastAsia="Times New Roman" w:cs="Calibri"/>
          <w:sz w:val="24"/>
          <w:szCs w:val="24"/>
          <w:lang w:eastAsia="pl-PL"/>
        </w:rPr>
        <w:t xml:space="preserve"> musiał</w:t>
      </w:r>
      <w:r w:rsidRPr="00175E76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być</w:t>
      </w:r>
      <w:r w:rsidRPr="00175E76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s</w:t>
      </w:r>
      <w:r w:rsidRPr="00175E76">
        <w:rPr>
          <w:rFonts w:eastAsia="Times New Roman" w:cs="Calibri"/>
          <w:sz w:val="24"/>
          <w:szCs w:val="24"/>
          <w:lang w:eastAsia="pl-PL"/>
        </w:rPr>
        <w:t xml:space="preserve">kierowany do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następujących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grup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odbiorców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: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uczniów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,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studentów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,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absolwentów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szkół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wyższych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>/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średnich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>/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branżowych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,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lastRenderedPageBreak/>
        <w:t>pracowników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lub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osób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bezrobotnych i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poszukujących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pracy, nauczycieli,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wykładowców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akademickich,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trenerów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,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doradców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oraz innych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środowisk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reprezentujących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sektor edukacji formalnej i nieformalnej oraz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emerytów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i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rencistów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(</w:t>
      </w:r>
      <w:r w:rsidRPr="00175E76">
        <w:rPr>
          <w:rFonts w:eastAsia="Times New Roman" w:cs="Calibri"/>
          <w:sz w:val="24"/>
          <w:szCs w:val="24"/>
          <w:lang w:eastAsia="pl-PL"/>
        </w:rPr>
        <w:t xml:space="preserve">o ile inicjatywy miały na celu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przywrócenie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ich do </w:t>
      </w:r>
      <w:proofErr w:type="spellStart"/>
      <w:r w:rsidRPr="00175E76">
        <w:rPr>
          <w:rFonts w:eastAsia="Times New Roman" w:cs="Calibri"/>
          <w:sz w:val="24"/>
          <w:szCs w:val="24"/>
          <w:lang w:eastAsia="pl-PL"/>
        </w:rPr>
        <w:t>aktywności</w:t>
      </w:r>
      <w:proofErr w:type="spellEnd"/>
      <w:r w:rsidRPr="00175E76">
        <w:rPr>
          <w:rFonts w:eastAsia="Times New Roman" w:cs="Calibri"/>
          <w:sz w:val="24"/>
          <w:szCs w:val="24"/>
          <w:lang w:eastAsia="pl-PL"/>
        </w:rPr>
        <w:t xml:space="preserve"> zawodowej</w:t>
      </w:r>
      <w:r>
        <w:rPr>
          <w:rFonts w:eastAsia="Times New Roman" w:cs="Calibri"/>
          <w:sz w:val="24"/>
          <w:szCs w:val="24"/>
          <w:lang w:eastAsia="pl-PL"/>
        </w:rPr>
        <w:t>)</w:t>
      </w:r>
      <w:r w:rsidRPr="00175E76">
        <w:rPr>
          <w:rFonts w:eastAsia="Times New Roman" w:cs="Calibri"/>
          <w:sz w:val="24"/>
          <w:szCs w:val="24"/>
          <w:lang w:eastAsia="pl-PL"/>
        </w:rPr>
        <w:t xml:space="preserve">. Warunkiem formalnym </w:t>
      </w:r>
      <w:r>
        <w:rPr>
          <w:rFonts w:eastAsia="Times New Roman" w:cs="Calibri"/>
          <w:sz w:val="24"/>
          <w:szCs w:val="24"/>
          <w:lang w:eastAsia="pl-PL"/>
        </w:rPr>
        <w:t>było</w:t>
      </w:r>
      <w:r w:rsidRPr="00175E76">
        <w:rPr>
          <w:rFonts w:eastAsia="Times New Roman" w:cs="Calibri"/>
          <w:sz w:val="24"/>
          <w:szCs w:val="24"/>
          <w:lang w:eastAsia="pl-PL"/>
        </w:rPr>
        <w:t xml:space="preserve"> prowadzenie biznesu na terenie Polski. </w:t>
      </w:r>
    </w:p>
    <w:p w14:paraId="4D4D591C" w14:textId="77777777" w:rsidR="00276F52" w:rsidRPr="00372D70" w:rsidRDefault="00276F52" w:rsidP="0098389D">
      <w:pPr>
        <w:pStyle w:val="Nagwek2"/>
        <w:spacing w:before="120" w:after="120" w:line="276" w:lineRule="auto"/>
        <w:rPr>
          <w:lang w:eastAsia="pl-PL"/>
        </w:rPr>
      </w:pPr>
      <w:r w:rsidRPr="00372D70">
        <w:rPr>
          <w:lang w:eastAsia="pl-PL"/>
        </w:rPr>
        <w:t>Nagrody dla zwycięzców</w:t>
      </w:r>
    </w:p>
    <w:p w14:paraId="2B605BFE" w14:textId="77777777" w:rsidR="00276F52" w:rsidRPr="0043256E" w:rsidRDefault="00276F52" w:rsidP="0098389D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sz w:val="24"/>
          <w:szCs w:val="24"/>
          <w:lang w:eastAsia="pl-PL"/>
        </w:rPr>
        <w:t>Laureaci, wybrani przez Kapitułę Konkursu, otrzyma</w:t>
      </w:r>
      <w:r w:rsidR="00372D70">
        <w:rPr>
          <w:rFonts w:eastAsia="Times New Roman" w:cs="Calibri"/>
          <w:sz w:val="24"/>
          <w:szCs w:val="24"/>
          <w:lang w:eastAsia="pl-PL"/>
        </w:rPr>
        <w:t>li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możliwość bezterminowego posługiwania się tytułem „Pracodawca Jutra Roku 202</w:t>
      </w:r>
      <w:r w:rsidR="00212429">
        <w:rPr>
          <w:rFonts w:eastAsia="Times New Roman" w:cs="Calibri"/>
          <w:sz w:val="24"/>
          <w:szCs w:val="24"/>
          <w:lang w:eastAsia="pl-PL"/>
        </w:rPr>
        <w:t>1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” oraz korzystania z logotypu i materiałów reklamowych przez okres roku od daty przyznania nagrody. Każdy z wyłonionych zwycięzców </w:t>
      </w:r>
      <w:r w:rsidR="00372D70">
        <w:rPr>
          <w:rFonts w:eastAsia="Times New Roman" w:cs="Calibri"/>
          <w:sz w:val="24"/>
          <w:szCs w:val="24"/>
          <w:lang w:eastAsia="pl-PL"/>
        </w:rPr>
        <w:t>ma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możliwość promowania zwycięskiej inicjatywy w ramach działań komunikacyjnych i promocyjnych zaplanowanych przez Organizatora.</w:t>
      </w:r>
    </w:p>
    <w:p w14:paraId="2AB5EA6E" w14:textId="77777777" w:rsidR="00276F52" w:rsidRDefault="00276F52" w:rsidP="0098389D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sz w:val="24"/>
          <w:szCs w:val="24"/>
          <w:lang w:eastAsia="pl-PL"/>
        </w:rPr>
        <w:t>Sektorowe Rady ds. Kompetencji przeka</w:t>
      </w:r>
      <w:r w:rsidR="00372D70">
        <w:rPr>
          <w:rFonts w:eastAsia="Times New Roman" w:cs="Calibri"/>
          <w:sz w:val="24"/>
          <w:szCs w:val="24"/>
          <w:lang w:eastAsia="pl-PL"/>
        </w:rPr>
        <w:t>zały</w:t>
      </w:r>
      <w:r w:rsidR="001B4366">
        <w:rPr>
          <w:rFonts w:eastAsia="Times New Roman" w:cs="Calibri"/>
          <w:sz w:val="24"/>
          <w:szCs w:val="24"/>
          <w:lang w:eastAsia="pl-PL"/>
        </w:rPr>
        <w:t xml:space="preserve"> również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dodatkowe nagrody najlepszym inicjatywom branżowym.</w:t>
      </w:r>
    </w:p>
    <w:p w14:paraId="1FEF388F" w14:textId="77777777" w:rsidR="00276F52" w:rsidRDefault="00276F52" w:rsidP="0098389D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70645D">
        <w:rPr>
          <w:rFonts w:eastAsia="Times New Roman" w:cs="Calibri"/>
          <w:sz w:val="24"/>
          <w:szCs w:val="24"/>
          <w:lang w:eastAsia="pl-PL"/>
        </w:rPr>
        <w:t>Patronat nad programem obj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ęło Ministerstwo Rozwoju i Technologii oraz Ministerstwo Edukacji i Nauki. </w:t>
      </w:r>
    </w:p>
    <w:p w14:paraId="37597B13" w14:textId="77777777" w:rsidR="00616127" w:rsidRPr="0043256E" w:rsidRDefault="00212429" w:rsidP="0098389D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Konkurs został sfinansowany ze środków Unii Europejskiej w ramach Programu Operacyjnego Wiedza Edukacja Rozwój oraz ze środków budżetu państwa. </w:t>
      </w:r>
    </w:p>
    <w:p w14:paraId="7ED3596C" w14:textId="77777777" w:rsidR="00276F52" w:rsidRDefault="00276F52" w:rsidP="0052097B">
      <w:pPr>
        <w:spacing w:line="276" w:lineRule="auto"/>
      </w:pPr>
      <w:r>
        <w:rPr>
          <w:rFonts w:cs="Calibri"/>
          <w:noProof/>
          <w:color w:val="000000"/>
          <w:lang w:eastAsia="pl-PL"/>
        </w:rPr>
        <w:drawing>
          <wp:inline distT="0" distB="0" distL="0" distR="0" wp14:anchorId="2C8394C0" wp14:editId="4EEE4791">
            <wp:extent cx="1590675" cy="15906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A760E" w14:textId="77777777" w:rsidR="00CD1371" w:rsidRPr="00CD1371" w:rsidRDefault="00276F52" w:rsidP="008E4F58">
      <w:pPr>
        <w:spacing w:before="600" w:after="600" w:line="276" w:lineRule="auto"/>
        <w:jc w:val="center"/>
        <w:rPr>
          <w:rFonts w:asciiTheme="majorHAnsi" w:hAnsiTheme="majorHAnsi" w:cs="Calibri"/>
          <w:color w:val="0563C1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263C59E6" wp14:editId="74518652">
            <wp:extent cx="6120130" cy="462245"/>
            <wp:effectExtent l="0" t="0" r="0" b="0"/>
            <wp:docPr id="8" name="Obraz 8" descr="Ciąg Logotypów: Fundusze Europejskie Wiedza Edukacja Rozwój, Rzeczpospolita Polska, PARP Grupa PFR, Unia Europejska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: Fundusze Europejskie Wiedza Edukacja Rozwój, Rzeczpospolita Polska, PARP Grupa PFR, Unia Europejska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371" w:rsidRPr="00CD1371" w:rsidSect="006C34ED">
      <w:type w:val="continuous"/>
      <w:pgSz w:w="11906" w:h="16838"/>
      <w:pgMar w:top="198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3441C" w14:textId="77777777" w:rsidR="00072BFD" w:rsidRDefault="00072BFD">
      <w:pPr>
        <w:spacing w:after="0" w:line="240" w:lineRule="auto"/>
      </w:pPr>
      <w:r>
        <w:separator/>
      </w:r>
    </w:p>
  </w:endnote>
  <w:endnote w:type="continuationSeparator" w:id="0">
    <w:p w14:paraId="3A2E9B2D" w14:textId="77777777" w:rsidR="00072BFD" w:rsidRDefault="0007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14AA" w14:textId="77777777" w:rsidR="00072BFD" w:rsidRDefault="00072BFD">
      <w:pPr>
        <w:spacing w:after="0" w:line="240" w:lineRule="auto"/>
      </w:pPr>
      <w:r>
        <w:separator/>
      </w:r>
    </w:p>
  </w:footnote>
  <w:footnote w:type="continuationSeparator" w:id="0">
    <w:p w14:paraId="0EA3FDC0" w14:textId="77777777" w:rsidR="00072BFD" w:rsidRDefault="0007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88A2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0E649C" wp14:editId="7736891D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257B" w14:textId="605DAA63" w:rsidR="007C1744" w:rsidRDefault="000E4830">
    <w:pPr>
      <w:pStyle w:val="Nagwek"/>
    </w:pPr>
    <w:r>
      <w:rPr>
        <w:rFonts w:eastAsia="Times New Roman" w:cs="Calibri"/>
        <w:b/>
        <w:noProof/>
        <w:color w:val="000000"/>
        <w:sz w:val="32"/>
        <w:szCs w:val="32"/>
        <w:lang w:eastAsia="pl-PL"/>
      </w:rPr>
      <w:drawing>
        <wp:inline distT="0" distB="0" distL="0" distR="0" wp14:anchorId="045E813E" wp14:editId="2EAC6F72">
          <wp:extent cx="6120130" cy="609474"/>
          <wp:effectExtent l="0" t="0" r="0" b="635"/>
          <wp:docPr id="2" name="Obraz 31" descr="Logo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Logo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25441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1C8D4D" wp14:editId="4065B4DD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C6D"/>
    <w:multiLevelType w:val="multilevel"/>
    <w:tmpl w:val="835C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6A8A"/>
    <w:multiLevelType w:val="multilevel"/>
    <w:tmpl w:val="E3F8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E53FA"/>
    <w:multiLevelType w:val="hybridMultilevel"/>
    <w:tmpl w:val="B82E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C38C5"/>
    <w:multiLevelType w:val="hybridMultilevel"/>
    <w:tmpl w:val="ADA4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77F5C2C"/>
    <w:multiLevelType w:val="hybridMultilevel"/>
    <w:tmpl w:val="A036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A1CAF"/>
    <w:multiLevelType w:val="hybridMultilevel"/>
    <w:tmpl w:val="A3B03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22B86"/>
    <w:rsid w:val="00066AE7"/>
    <w:rsid w:val="0007066E"/>
    <w:rsid w:val="00072BFD"/>
    <w:rsid w:val="00081C97"/>
    <w:rsid w:val="00096144"/>
    <w:rsid w:val="000A68BB"/>
    <w:rsid w:val="000B4D3B"/>
    <w:rsid w:val="000B6092"/>
    <w:rsid w:val="000C172A"/>
    <w:rsid w:val="000E4830"/>
    <w:rsid w:val="0010620A"/>
    <w:rsid w:val="0012487A"/>
    <w:rsid w:val="001268CC"/>
    <w:rsid w:val="00152FFD"/>
    <w:rsid w:val="0015332C"/>
    <w:rsid w:val="00155466"/>
    <w:rsid w:val="00155BAB"/>
    <w:rsid w:val="0016526B"/>
    <w:rsid w:val="00175E76"/>
    <w:rsid w:val="001B42B4"/>
    <w:rsid w:val="001B4366"/>
    <w:rsid w:val="001C3206"/>
    <w:rsid w:val="001D3DA7"/>
    <w:rsid w:val="001F4ED5"/>
    <w:rsid w:val="00212429"/>
    <w:rsid w:val="00216BDD"/>
    <w:rsid w:val="002212A1"/>
    <w:rsid w:val="00226BAE"/>
    <w:rsid w:val="0023061E"/>
    <w:rsid w:val="002325E3"/>
    <w:rsid w:val="002331C4"/>
    <w:rsid w:val="002379B9"/>
    <w:rsid w:val="00276F52"/>
    <w:rsid w:val="00290628"/>
    <w:rsid w:val="00291E8B"/>
    <w:rsid w:val="0029503E"/>
    <w:rsid w:val="00295F90"/>
    <w:rsid w:val="002A0044"/>
    <w:rsid w:val="0032194C"/>
    <w:rsid w:val="0032710E"/>
    <w:rsid w:val="00336F70"/>
    <w:rsid w:val="00343AAD"/>
    <w:rsid w:val="00372D70"/>
    <w:rsid w:val="00384B85"/>
    <w:rsid w:val="00385BED"/>
    <w:rsid w:val="0038713E"/>
    <w:rsid w:val="003970E6"/>
    <w:rsid w:val="003A40C4"/>
    <w:rsid w:val="003A43D7"/>
    <w:rsid w:val="003A65B1"/>
    <w:rsid w:val="003B24B1"/>
    <w:rsid w:val="003B635D"/>
    <w:rsid w:val="003B7C12"/>
    <w:rsid w:val="003E2179"/>
    <w:rsid w:val="0045035F"/>
    <w:rsid w:val="00476F92"/>
    <w:rsid w:val="00484CE7"/>
    <w:rsid w:val="004850BD"/>
    <w:rsid w:val="004A5A88"/>
    <w:rsid w:val="004B10E2"/>
    <w:rsid w:val="004B495F"/>
    <w:rsid w:val="004B741D"/>
    <w:rsid w:val="004D3DE9"/>
    <w:rsid w:val="004E185E"/>
    <w:rsid w:val="004F4A11"/>
    <w:rsid w:val="0051766E"/>
    <w:rsid w:val="0052097B"/>
    <w:rsid w:val="00525237"/>
    <w:rsid w:val="00544A66"/>
    <w:rsid w:val="0054551D"/>
    <w:rsid w:val="00556688"/>
    <w:rsid w:val="00571B2A"/>
    <w:rsid w:val="00575986"/>
    <w:rsid w:val="005801BA"/>
    <w:rsid w:val="00583525"/>
    <w:rsid w:val="00597E74"/>
    <w:rsid w:val="005C7D6E"/>
    <w:rsid w:val="005F1E4D"/>
    <w:rsid w:val="005F3402"/>
    <w:rsid w:val="00600C38"/>
    <w:rsid w:val="0060342B"/>
    <w:rsid w:val="00616127"/>
    <w:rsid w:val="00627AE2"/>
    <w:rsid w:val="00631E77"/>
    <w:rsid w:val="006764EB"/>
    <w:rsid w:val="00696DC2"/>
    <w:rsid w:val="006C34ED"/>
    <w:rsid w:val="006C5EE8"/>
    <w:rsid w:val="006C79A1"/>
    <w:rsid w:val="006D4DD4"/>
    <w:rsid w:val="006D7547"/>
    <w:rsid w:val="00722601"/>
    <w:rsid w:val="00736FD9"/>
    <w:rsid w:val="007423E2"/>
    <w:rsid w:val="007503D5"/>
    <w:rsid w:val="00793D05"/>
    <w:rsid w:val="007A1F82"/>
    <w:rsid w:val="007D7EB1"/>
    <w:rsid w:val="007E435E"/>
    <w:rsid w:val="007F4285"/>
    <w:rsid w:val="008545B6"/>
    <w:rsid w:val="008659A5"/>
    <w:rsid w:val="00870DF3"/>
    <w:rsid w:val="00891221"/>
    <w:rsid w:val="008A3370"/>
    <w:rsid w:val="008A4AF3"/>
    <w:rsid w:val="008C3396"/>
    <w:rsid w:val="008E2F9D"/>
    <w:rsid w:val="008E4F58"/>
    <w:rsid w:val="008F174A"/>
    <w:rsid w:val="008F6A46"/>
    <w:rsid w:val="0091262D"/>
    <w:rsid w:val="00915325"/>
    <w:rsid w:val="00925945"/>
    <w:rsid w:val="00952C7B"/>
    <w:rsid w:val="00977D61"/>
    <w:rsid w:val="0098389D"/>
    <w:rsid w:val="00984E32"/>
    <w:rsid w:val="00990716"/>
    <w:rsid w:val="009930FF"/>
    <w:rsid w:val="009968B5"/>
    <w:rsid w:val="009A233D"/>
    <w:rsid w:val="009B78A3"/>
    <w:rsid w:val="009F0CA0"/>
    <w:rsid w:val="00A03989"/>
    <w:rsid w:val="00A43B17"/>
    <w:rsid w:val="00A62B86"/>
    <w:rsid w:val="00A749B7"/>
    <w:rsid w:val="00A80513"/>
    <w:rsid w:val="00A870E3"/>
    <w:rsid w:val="00A90A2E"/>
    <w:rsid w:val="00A93298"/>
    <w:rsid w:val="00AC65CF"/>
    <w:rsid w:val="00AD6E46"/>
    <w:rsid w:val="00B05769"/>
    <w:rsid w:val="00B307EC"/>
    <w:rsid w:val="00B422F1"/>
    <w:rsid w:val="00B50B4D"/>
    <w:rsid w:val="00B717D1"/>
    <w:rsid w:val="00B77154"/>
    <w:rsid w:val="00BC377D"/>
    <w:rsid w:val="00C369A8"/>
    <w:rsid w:val="00C460BE"/>
    <w:rsid w:val="00C66008"/>
    <w:rsid w:val="00CD1371"/>
    <w:rsid w:val="00D0763E"/>
    <w:rsid w:val="00D11E5A"/>
    <w:rsid w:val="00D12941"/>
    <w:rsid w:val="00D40073"/>
    <w:rsid w:val="00D570F4"/>
    <w:rsid w:val="00D612C4"/>
    <w:rsid w:val="00D64CA5"/>
    <w:rsid w:val="00D72A72"/>
    <w:rsid w:val="00D75B45"/>
    <w:rsid w:val="00D80723"/>
    <w:rsid w:val="00D96232"/>
    <w:rsid w:val="00DF4A4C"/>
    <w:rsid w:val="00E0052A"/>
    <w:rsid w:val="00E01993"/>
    <w:rsid w:val="00E14005"/>
    <w:rsid w:val="00E1790B"/>
    <w:rsid w:val="00E33B09"/>
    <w:rsid w:val="00E45205"/>
    <w:rsid w:val="00E50DA2"/>
    <w:rsid w:val="00E6417C"/>
    <w:rsid w:val="00E745B4"/>
    <w:rsid w:val="00EA06C5"/>
    <w:rsid w:val="00EA4011"/>
    <w:rsid w:val="00EB2252"/>
    <w:rsid w:val="00EC5AF8"/>
    <w:rsid w:val="00EC67DA"/>
    <w:rsid w:val="00EE0B72"/>
    <w:rsid w:val="00EF5A48"/>
    <w:rsid w:val="00EF79EF"/>
    <w:rsid w:val="00F21983"/>
    <w:rsid w:val="00F27F6E"/>
    <w:rsid w:val="00F33976"/>
    <w:rsid w:val="00F37FE3"/>
    <w:rsid w:val="00F4683F"/>
    <w:rsid w:val="00F7550B"/>
    <w:rsid w:val="00F76A54"/>
    <w:rsid w:val="00F80351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C5CC1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2B8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2B8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22B86"/>
    <w:rPr>
      <w:rFonts w:ascii="Calibri" w:eastAsiaTheme="majorEastAsia" w:hAnsi="Calibri" w:cstheme="majorBidi"/>
      <w:b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22B86"/>
    <w:rPr>
      <w:rFonts w:ascii="Calibri" w:eastAsiaTheme="majorEastAsia" w:hAnsi="Calibri" w:cstheme="majorBidi"/>
      <w:b/>
      <w:color w:val="000000" w:themeColor="text1"/>
      <w:sz w:val="26"/>
      <w:szCs w:val="26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276F52"/>
    <w:rPr>
      <w:b/>
      <w:bCs/>
    </w:rPr>
  </w:style>
  <w:style w:type="character" w:customStyle="1" w:styleId="markedcontent">
    <w:name w:val="markedcontent"/>
    <w:basedOn w:val="Domylnaczcionkaakapitu"/>
    <w:rsid w:val="00276F52"/>
  </w:style>
  <w:style w:type="character" w:styleId="Uwydatnienie">
    <w:name w:val="Emphasis"/>
    <w:basedOn w:val="Domylnaczcionkaakapitu"/>
    <w:uiPriority w:val="20"/>
    <w:qFormat/>
    <w:rsid w:val="00276F52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0E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30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arp.gov.pl/component/site/site/sektorowe-rady-ds-kompetencj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6 grudnia trwa nabór do XXIV edycji konkursu Polski Produkt Przyszłości</vt:lpstr>
    </vt:vector>
  </TitlesOfParts>
  <Manager/>
  <Company/>
  <LinksUpToDate>false</LinksUpToDate>
  <CharactersWithSpaces>11939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6 grudnia trwa nabór do XXIV edycji konkursu Polski Produkt Przyszłości</dc:title>
  <dc:subject>Do 6 grudnia trwa nabór do XXIV edycji konkursu Polski Produkt Przyszłościiał w konkursie PARP „Granty na Eurogranty”. Do zdobycie nawet 280 tys. zł. dofinansowania</dc:subject>
  <dc:creator>Magdalena Mikulska</dc:creator>
  <cp:keywords/>
  <dc:description/>
  <cp:lastModifiedBy>Józefowicz-Krakowiak Agnieszka</cp:lastModifiedBy>
  <cp:revision>3</cp:revision>
  <cp:lastPrinted>2022-06-09T07:19:00Z</cp:lastPrinted>
  <dcterms:created xsi:type="dcterms:W3CDTF">2022-06-09T07:19:00Z</dcterms:created>
  <dcterms:modified xsi:type="dcterms:W3CDTF">2022-06-09T07:24:00Z</dcterms:modified>
  <cp:category/>
</cp:coreProperties>
</file>