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5E66" w14:textId="77777777" w:rsidR="00BD1FCC" w:rsidRDefault="00BD1FCC" w:rsidP="00FF63F1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526C179" w14:textId="28D57D51" w:rsidR="002D2CB2" w:rsidRDefault="002D2CB2" w:rsidP="00FF63F1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F2616">
        <w:rPr>
          <w:rFonts w:asciiTheme="minorHAnsi" w:hAnsiTheme="minorHAnsi" w:cstheme="minorHAnsi"/>
          <w:b/>
          <w:bCs/>
          <w:sz w:val="28"/>
          <w:szCs w:val="28"/>
        </w:rPr>
        <w:t xml:space="preserve">Money, </w:t>
      </w:r>
      <w:proofErr w:type="spellStart"/>
      <w:r w:rsidRPr="005F2616">
        <w:rPr>
          <w:rFonts w:asciiTheme="minorHAnsi" w:hAnsiTheme="minorHAnsi" w:cstheme="minorHAnsi"/>
          <w:b/>
          <w:bCs/>
          <w:sz w:val="28"/>
          <w:szCs w:val="28"/>
        </w:rPr>
        <w:t>money</w:t>
      </w:r>
      <w:proofErr w:type="spellEnd"/>
      <w:r w:rsidRPr="005F2616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Pr="005F2616">
        <w:rPr>
          <w:rFonts w:asciiTheme="minorHAnsi" w:hAnsiTheme="minorHAnsi" w:cstheme="minorHAnsi"/>
          <w:b/>
          <w:bCs/>
          <w:sz w:val="28"/>
          <w:szCs w:val="28"/>
        </w:rPr>
        <w:t>money</w:t>
      </w:r>
      <w:proofErr w:type="spellEnd"/>
    </w:p>
    <w:p w14:paraId="05380589" w14:textId="72983FDD" w:rsidR="00AF3A04" w:rsidRPr="001F4A5E" w:rsidRDefault="00A92AA7" w:rsidP="00FF63F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Wyższe wynagrodzenia</w:t>
      </w:r>
      <w:r w:rsidR="00237834">
        <w:rPr>
          <w:rFonts w:asciiTheme="minorHAnsi" w:hAnsiTheme="minorHAnsi" w:cstheme="minorHAnsi"/>
          <w:b/>
          <w:bCs/>
          <w:sz w:val="24"/>
          <w:szCs w:val="24"/>
        </w:rPr>
        <w:t xml:space="preserve"> i </w:t>
      </w:r>
      <w:r w:rsidR="006C0FE3">
        <w:rPr>
          <w:rFonts w:asciiTheme="minorHAnsi" w:hAnsiTheme="minorHAnsi" w:cstheme="minorHAnsi"/>
          <w:b/>
          <w:bCs/>
          <w:sz w:val="24"/>
          <w:szCs w:val="24"/>
        </w:rPr>
        <w:t xml:space="preserve">pragnienie </w:t>
      </w:r>
      <w:r w:rsidR="00237834">
        <w:rPr>
          <w:rFonts w:asciiTheme="minorHAnsi" w:hAnsiTheme="minorHAnsi" w:cstheme="minorHAnsi"/>
          <w:b/>
          <w:bCs/>
          <w:sz w:val="24"/>
          <w:szCs w:val="24"/>
        </w:rPr>
        <w:t>samorealizacji głównym</w:t>
      </w:r>
      <w:r w:rsidR="001A03E4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237834">
        <w:rPr>
          <w:rFonts w:asciiTheme="minorHAnsi" w:hAnsiTheme="minorHAnsi" w:cstheme="minorHAnsi"/>
          <w:b/>
          <w:bCs/>
          <w:sz w:val="24"/>
          <w:szCs w:val="24"/>
        </w:rPr>
        <w:t xml:space="preserve"> powod</w:t>
      </w:r>
      <w:r w:rsidR="001A03E4">
        <w:rPr>
          <w:rFonts w:asciiTheme="minorHAnsi" w:hAnsiTheme="minorHAnsi" w:cstheme="minorHAnsi"/>
          <w:b/>
          <w:bCs/>
          <w:sz w:val="24"/>
          <w:szCs w:val="24"/>
        </w:rPr>
        <w:t>ami</w:t>
      </w:r>
      <w:r w:rsidR="0023783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56BD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37834">
        <w:rPr>
          <w:rFonts w:asciiTheme="minorHAnsi" w:hAnsiTheme="minorHAnsi" w:cstheme="minorHAnsi"/>
          <w:b/>
          <w:bCs/>
          <w:sz w:val="24"/>
          <w:szCs w:val="24"/>
        </w:rPr>
        <w:t xml:space="preserve">chęci zmiany </w:t>
      </w:r>
      <w:r w:rsidR="001A03E4">
        <w:rPr>
          <w:rFonts w:asciiTheme="minorHAnsi" w:hAnsiTheme="minorHAnsi" w:cstheme="minorHAnsi"/>
          <w:b/>
          <w:bCs/>
          <w:sz w:val="24"/>
          <w:szCs w:val="24"/>
        </w:rPr>
        <w:t>pracy</w:t>
      </w:r>
    </w:p>
    <w:p w14:paraId="3B1C9DBF" w14:textId="77777777" w:rsidR="00BD1FCC" w:rsidRDefault="00BD1FCC" w:rsidP="00FF63F1">
      <w:pPr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177D9123" w14:textId="17733DF5" w:rsidR="002D2CB2" w:rsidRPr="005F2616" w:rsidRDefault="001C2CFD" w:rsidP="00FF63F1">
      <w:pPr>
        <w:spacing w:before="120" w:line="276" w:lineRule="auto"/>
        <w:jc w:val="both"/>
        <w:rPr>
          <w:rFonts w:asciiTheme="minorHAnsi" w:hAnsiTheme="minorHAnsi" w:cstheme="minorHAnsi"/>
          <w:b/>
          <w:bCs/>
        </w:rPr>
      </w:pPr>
      <w:r w:rsidRPr="00841260">
        <w:rPr>
          <w:rFonts w:asciiTheme="minorHAnsi" w:hAnsiTheme="minorHAnsi" w:cstheme="minorHAnsi"/>
          <w:b/>
          <w:bCs/>
        </w:rPr>
        <w:t>Choć niepewna sytuacja związana z wojną w Ukrainie wpłynęła na zmniejszenie oczekiwań pracowników, w kwietniu br. podwyższenia wynagrodzenia spodziewało się 4</w:t>
      </w:r>
      <w:r w:rsidR="000864F1" w:rsidRPr="00841260">
        <w:rPr>
          <w:rFonts w:asciiTheme="minorHAnsi" w:hAnsiTheme="minorHAnsi" w:cstheme="minorHAnsi"/>
          <w:b/>
          <w:bCs/>
        </w:rPr>
        <w:t>1</w:t>
      </w:r>
      <w:r w:rsidRPr="00841260">
        <w:rPr>
          <w:rFonts w:asciiTheme="minorHAnsi" w:hAnsiTheme="minorHAnsi" w:cstheme="minorHAnsi"/>
          <w:b/>
          <w:bCs/>
        </w:rPr>
        <w:t xml:space="preserve"> proc. badanych. </w:t>
      </w:r>
      <w:r w:rsidR="005A35D4">
        <w:rPr>
          <w:rFonts w:asciiTheme="minorHAnsi" w:hAnsiTheme="minorHAnsi" w:cstheme="minorHAnsi"/>
          <w:b/>
          <w:bCs/>
        </w:rPr>
        <w:t xml:space="preserve">Wyższe zarobki to </w:t>
      </w:r>
      <w:r w:rsidR="001A03E4">
        <w:rPr>
          <w:rFonts w:asciiTheme="minorHAnsi" w:hAnsiTheme="minorHAnsi" w:cstheme="minorHAnsi"/>
          <w:b/>
          <w:bCs/>
        </w:rPr>
        <w:t xml:space="preserve">nadal najważniejszy </w:t>
      </w:r>
      <w:r w:rsidR="005A35D4">
        <w:rPr>
          <w:rFonts w:asciiTheme="minorHAnsi" w:hAnsiTheme="minorHAnsi" w:cstheme="minorHAnsi"/>
          <w:b/>
          <w:bCs/>
        </w:rPr>
        <w:t>powód</w:t>
      </w:r>
      <w:r w:rsidR="001A03E4">
        <w:rPr>
          <w:rFonts w:asciiTheme="minorHAnsi" w:hAnsiTheme="minorHAnsi" w:cstheme="minorHAnsi"/>
          <w:b/>
          <w:bCs/>
        </w:rPr>
        <w:t xml:space="preserve"> chęci</w:t>
      </w:r>
      <w:r w:rsidR="005A35D4">
        <w:rPr>
          <w:rFonts w:asciiTheme="minorHAnsi" w:hAnsiTheme="minorHAnsi" w:cstheme="minorHAnsi"/>
          <w:b/>
          <w:bCs/>
        </w:rPr>
        <w:t xml:space="preserve"> zmiany miejsca zatrudnienia</w:t>
      </w:r>
      <w:r w:rsidR="001A03E4">
        <w:rPr>
          <w:rFonts w:asciiTheme="minorHAnsi" w:hAnsiTheme="minorHAnsi" w:cstheme="minorHAnsi"/>
          <w:b/>
          <w:bCs/>
        </w:rPr>
        <w:t>,</w:t>
      </w:r>
      <w:r w:rsidR="000C1726">
        <w:rPr>
          <w:rFonts w:asciiTheme="minorHAnsi" w:hAnsiTheme="minorHAnsi" w:cstheme="minorHAnsi"/>
          <w:b/>
          <w:bCs/>
        </w:rPr>
        <w:t xml:space="preserve"> coraz istotniejsza jest jednak</w:t>
      </w:r>
      <w:r w:rsidR="001A03E4">
        <w:rPr>
          <w:rFonts w:asciiTheme="minorHAnsi" w:hAnsiTheme="minorHAnsi" w:cstheme="minorHAnsi"/>
          <w:b/>
          <w:bCs/>
        </w:rPr>
        <w:t xml:space="preserve"> </w:t>
      </w:r>
      <w:r w:rsidR="006C0FE3">
        <w:rPr>
          <w:rFonts w:asciiTheme="minorHAnsi" w:hAnsiTheme="minorHAnsi" w:cstheme="minorHAnsi"/>
          <w:b/>
          <w:bCs/>
        </w:rPr>
        <w:t xml:space="preserve">potrzeba </w:t>
      </w:r>
      <w:r w:rsidR="001A03E4">
        <w:rPr>
          <w:rFonts w:asciiTheme="minorHAnsi" w:hAnsiTheme="minorHAnsi" w:cstheme="minorHAnsi"/>
          <w:b/>
          <w:bCs/>
        </w:rPr>
        <w:t>samorealizacji</w:t>
      </w:r>
      <w:r w:rsidR="003163D4">
        <w:rPr>
          <w:rFonts w:asciiTheme="minorHAnsi" w:hAnsiTheme="minorHAnsi" w:cstheme="minorHAnsi"/>
          <w:b/>
          <w:bCs/>
        </w:rPr>
        <w:t>, wynika z</w:t>
      </w:r>
      <w:r w:rsidR="00DF2A3F" w:rsidRPr="005F2616">
        <w:rPr>
          <w:rFonts w:asciiTheme="minorHAnsi" w:hAnsiTheme="minorHAnsi" w:cstheme="minorHAnsi"/>
          <w:b/>
          <w:bCs/>
        </w:rPr>
        <w:t xml:space="preserve"> </w:t>
      </w:r>
      <w:r w:rsidR="002D2CB2" w:rsidRPr="005F2616">
        <w:rPr>
          <w:rFonts w:asciiTheme="minorHAnsi" w:hAnsiTheme="minorHAnsi" w:cstheme="minorHAnsi"/>
          <w:b/>
          <w:bCs/>
          <w:i/>
          <w:iCs/>
        </w:rPr>
        <w:t>XVI Barometru Rynku Pracy</w:t>
      </w:r>
      <w:r w:rsidR="002D2CB2" w:rsidRPr="005F2616">
        <w:rPr>
          <w:rFonts w:asciiTheme="minorHAnsi" w:hAnsiTheme="minorHAnsi" w:cstheme="minorHAnsi"/>
          <w:b/>
          <w:bCs/>
        </w:rPr>
        <w:t xml:space="preserve"> zrealizowanego na zlecenie G</w:t>
      </w:r>
      <w:r w:rsidR="000610DE" w:rsidRPr="005F2616">
        <w:rPr>
          <w:rFonts w:asciiTheme="minorHAnsi" w:hAnsiTheme="minorHAnsi" w:cstheme="minorHAnsi"/>
          <w:b/>
          <w:bCs/>
        </w:rPr>
        <w:t>i</w:t>
      </w:r>
      <w:r w:rsidR="002D2CB2" w:rsidRPr="005F2616">
        <w:rPr>
          <w:rFonts w:asciiTheme="minorHAnsi" w:hAnsiTheme="minorHAnsi" w:cstheme="minorHAnsi"/>
          <w:b/>
          <w:bCs/>
        </w:rPr>
        <w:t xml:space="preserve"> Group</w:t>
      </w:r>
      <w:r w:rsidR="00DF2A3F" w:rsidRPr="005F2616">
        <w:rPr>
          <w:rFonts w:asciiTheme="minorHAnsi" w:hAnsiTheme="minorHAnsi" w:cstheme="minorHAnsi"/>
          <w:b/>
          <w:bCs/>
        </w:rPr>
        <w:t xml:space="preserve">. </w:t>
      </w:r>
      <w:r w:rsidR="001960B4">
        <w:rPr>
          <w:rFonts w:asciiTheme="minorHAnsi" w:hAnsiTheme="minorHAnsi" w:cstheme="minorHAnsi"/>
          <w:b/>
          <w:bCs/>
        </w:rPr>
        <w:t>Jak</w:t>
      </w:r>
      <w:r w:rsidR="000A697D" w:rsidRPr="005F2616">
        <w:rPr>
          <w:rFonts w:asciiTheme="minorHAnsi" w:hAnsiTheme="minorHAnsi" w:cstheme="minorHAnsi"/>
          <w:b/>
          <w:bCs/>
        </w:rPr>
        <w:t xml:space="preserve"> zatrzymać dotychczasową kadrę i</w:t>
      </w:r>
      <w:r w:rsidR="000C1726">
        <w:rPr>
          <w:rFonts w:asciiTheme="minorHAnsi" w:hAnsiTheme="minorHAnsi" w:cstheme="minorHAnsi"/>
          <w:b/>
          <w:bCs/>
        </w:rPr>
        <w:t> </w:t>
      </w:r>
      <w:r w:rsidR="000A697D" w:rsidRPr="005F2616">
        <w:rPr>
          <w:rFonts w:asciiTheme="minorHAnsi" w:hAnsiTheme="minorHAnsi" w:cstheme="minorHAnsi"/>
          <w:b/>
          <w:bCs/>
        </w:rPr>
        <w:t>przyciągnąć now</w:t>
      </w:r>
      <w:r w:rsidR="00241D81">
        <w:rPr>
          <w:rFonts w:asciiTheme="minorHAnsi" w:hAnsiTheme="minorHAnsi" w:cstheme="minorHAnsi"/>
          <w:b/>
          <w:bCs/>
        </w:rPr>
        <w:t>ych pracowników</w:t>
      </w:r>
      <w:r w:rsidR="000A697D" w:rsidRPr="005F2616">
        <w:rPr>
          <w:rFonts w:asciiTheme="minorHAnsi" w:hAnsiTheme="minorHAnsi" w:cstheme="minorHAnsi"/>
          <w:b/>
          <w:bCs/>
        </w:rPr>
        <w:t>?</w:t>
      </w:r>
    </w:p>
    <w:p w14:paraId="792C3D51" w14:textId="2A35DE8C" w:rsidR="0070202F" w:rsidRDefault="00977293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241D81">
        <w:rPr>
          <w:rFonts w:asciiTheme="minorHAnsi" w:hAnsiTheme="minorHAnsi" w:cstheme="minorHAnsi"/>
        </w:rPr>
        <w:t xml:space="preserve">W dobie </w:t>
      </w:r>
      <w:r w:rsidR="006C0FE3">
        <w:rPr>
          <w:rFonts w:asciiTheme="minorHAnsi" w:hAnsiTheme="minorHAnsi" w:cstheme="minorHAnsi"/>
        </w:rPr>
        <w:t>galopującej</w:t>
      </w:r>
      <w:r w:rsidR="006C0FE3" w:rsidRPr="00241D81">
        <w:rPr>
          <w:rFonts w:asciiTheme="minorHAnsi" w:hAnsiTheme="minorHAnsi" w:cstheme="minorHAnsi"/>
        </w:rPr>
        <w:t xml:space="preserve"> </w:t>
      </w:r>
      <w:r w:rsidRPr="00241D81">
        <w:rPr>
          <w:rFonts w:asciiTheme="minorHAnsi" w:hAnsiTheme="minorHAnsi" w:cstheme="minorHAnsi"/>
        </w:rPr>
        <w:t xml:space="preserve">inflacji i cen oraz pod presją rosnących kosztów utrzymania, pojawia się </w:t>
      </w:r>
      <w:r>
        <w:rPr>
          <w:rFonts w:asciiTheme="minorHAnsi" w:hAnsiTheme="minorHAnsi" w:cstheme="minorHAnsi"/>
        </w:rPr>
        <w:t>potrzeba</w:t>
      </w:r>
      <w:r w:rsidRPr="00241D81">
        <w:rPr>
          <w:rFonts w:asciiTheme="minorHAnsi" w:hAnsiTheme="minorHAnsi" w:cstheme="minorHAnsi"/>
        </w:rPr>
        <w:t>, a</w:t>
      </w:r>
      <w:r w:rsidR="003163D4">
        <w:rPr>
          <w:rFonts w:asciiTheme="minorHAnsi" w:hAnsiTheme="minorHAnsi" w:cstheme="minorHAnsi"/>
        </w:rPr>
        <w:t> </w:t>
      </w:r>
      <w:r w:rsidRPr="00241D81">
        <w:rPr>
          <w:rFonts w:asciiTheme="minorHAnsi" w:hAnsiTheme="minorHAnsi" w:cstheme="minorHAnsi"/>
        </w:rPr>
        <w:t xml:space="preserve">czasem wręcz konieczność, polepszenia sytuacji materialnej. </w:t>
      </w:r>
      <w:r>
        <w:rPr>
          <w:rFonts w:asciiTheme="minorHAnsi" w:hAnsiTheme="minorHAnsi" w:cstheme="minorHAnsi"/>
        </w:rPr>
        <w:t>Choć niepewna sytuacja związana z</w:t>
      </w:r>
      <w:r w:rsidR="003163D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wojną w Ukrainie</w:t>
      </w:r>
      <w:r w:rsidR="00AD78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wpłynęła na zmniejszenie oczekiwań </w:t>
      </w:r>
      <w:r w:rsidR="006C0FE3">
        <w:rPr>
          <w:rFonts w:asciiTheme="minorHAnsi" w:hAnsiTheme="minorHAnsi" w:cstheme="minorHAnsi"/>
        </w:rPr>
        <w:t xml:space="preserve">finansowych </w:t>
      </w:r>
      <w:r>
        <w:rPr>
          <w:rFonts w:asciiTheme="minorHAnsi" w:hAnsiTheme="minorHAnsi" w:cstheme="minorHAnsi"/>
        </w:rPr>
        <w:t>pracowników, w kwietniu br. podwyższenia</w:t>
      </w:r>
      <w:r w:rsidR="00AD781F">
        <w:rPr>
          <w:rFonts w:asciiTheme="minorHAnsi" w:hAnsiTheme="minorHAnsi" w:cstheme="minorHAnsi"/>
        </w:rPr>
        <w:t xml:space="preserve"> wynagrodzenia </w:t>
      </w:r>
      <w:r>
        <w:rPr>
          <w:rFonts w:asciiTheme="minorHAnsi" w:hAnsiTheme="minorHAnsi" w:cstheme="minorHAnsi"/>
        </w:rPr>
        <w:t>spodziewało się</w:t>
      </w:r>
      <w:r w:rsidR="00AD781F">
        <w:rPr>
          <w:rFonts w:asciiTheme="minorHAnsi" w:hAnsiTheme="minorHAnsi" w:cstheme="minorHAnsi"/>
        </w:rPr>
        <w:t xml:space="preserve"> </w:t>
      </w:r>
      <w:r w:rsidR="008D05A8" w:rsidRPr="005A35D4">
        <w:rPr>
          <w:rFonts w:asciiTheme="minorHAnsi" w:hAnsiTheme="minorHAnsi" w:cstheme="minorHAnsi"/>
        </w:rPr>
        <w:t>4</w:t>
      </w:r>
      <w:r w:rsidR="0070202F" w:rsidRPr="005A35D4">
        <w:rPr>
          <w:rFonts w:asciiTheme="minorHAnsi" w:hAnsiTheme="minorHAnsi" w:cstheme="minorHAnsi"/>
        </w:rPr>
        <w:t>1</w:t>
      </w:r>
      <w:r w:rsidR="008D05A8" w:rsidRPr="005A35D4">
        <w:rPr>
          <w:rFonts w:asciiTheme="minorHAnsi" w:hAnsiTheme="minorHAnsi" w:cstheme="minorHAnsi"/>
        </w:rPr>
        <w:t xml:space="preserve"> proc. </w:t>
      </w:r>
      <w:r w:rsidR="00246089" w:rsidRPr="005A35D4">
        <w:rPr>
          <w:rFonts w:asciiTheme="minorHAnsi" w:hAnsiTheme="minorHAnsi" w:cstheme="minorHAnsi"/>
        </w:rPr>
        <w:t>badanych</w:t>
      </w:r>
      <w:r w:rsidRPr="005A35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(54,5 proc</w:t>
      </w:r>
      <w:r w:rsidR="008D05A8" w:rsidRPr="00241D8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w styczniu br.)</w:t>
      </w:r>
      <w:r w:rsidR="001C2CFD">
        <w:rPr>
          <w:rFonts w:asciiTheme="minorHAnsi" w:hAnsiTheme="minorHAnsi" w:cstheme="minorHAnsi"/>
        </w:rPr>
        <w:t>.</w:t>
      </w:r>
      <w:r w:rsidR="008D05A8" w:rsidRPr="00241D81">
        <w:rPr>
          <w:rFonts w:asciiTheme="minorHAnsi" w:hAnsiTheme="minorHAnsi" w:cstheme="minorHAnsi"/>
        </w:rPr>
        <w:t xml:space="preserve"> </w:t>
      </w:r>
      <w:r w:rsidR="00E121FD">
        <w:rPr>
          <w:rFonts w:asciiTheme="minorHAnsi" w:hAnsiTheme="minorHAnsi" w:cstheme="minorHAnsi"/>
        </w:rPr>
        <w:t xml:space="preserve">Na jego utrzymanie liczyło 32 proc. </w:t>
      </w:r>
    </w:p>
    <w:p w14:paraId="6FA76378" w14:textId="77777777" w:rsidR="00BD1FCC" w:rsidRDefault="00BD1FCC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</w:p>
    <w:p w14:paraId="165E2076" w14:textId="039FDECB" w:rsidR="00CF7A85" w:rsidRDefault="004C6BB5" w:rsidP="00FF63F1">
      <w:pPr>
        <w:spacing w:before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0E401DD" wp14:editId="083973CA">
            <wp:extent cx="5468064" cy="219807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132" cy="2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2D050" w14:textId="77777777" w:rsidR="00BD1FCC" w:rsidRPr="005F2616" w:rsidRDefault="00BD1FCC" w:rsidP="00FF63F1">
      <w:pPr>
        <w:spacing w:before="120" w:line="276" w:lineRule="auto"/>
        <w:jc w:val="center"/>
        <w:rPr>
          <w:rFonts w:asciiTheme="minorHAnsi" w:hAnsiTheme="minorHAnsi" w:cstheme="minorHAnsi"/>
        </w:rPr>
      </w:pPr>
    </w:p>
    <w:p w14:paraId="36BEEF7D" w14:textId="624CD943" w:rsidR="007712E5" w:rsidRPr="000B2330" w:rsidRDefault="002D2CB2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5F2616">
        <w:rPr>
          <w:rFonts w:asciiTheme="minorHAnsi" w:hAnsiTheme="minorHAnsi" w:cstheme="minorHAnsi"/>
          <w:b/>
          <w:bCs/>
          <w:i/>
          <w:iCs/>
        </w:rPr>
        <w:t xml:space="preserve">Po pierwsze – </w:t>
      </w:r>
      <w:r w:rsidR="0027566F">
        <w:rPr>
          <w:rFonts w:asciiTheme="minorHAnsi" w:hAnsiTheme="minorHAnsi" w:cstheme="minorHAnsi"/>
          <w:b/>
          <w:bCs/>
          <w:i/>
          <w:iCs/>
        </w:rPr>
        <w:t>finanse</w:t>
      </w:r>
      <w:r w:rsidRPr="005F2616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683F44B8" w14:textId="76102FF8" w:rsidR="00BD577B" w:rsidRDefault="007712E5" w:rsidP="00FF63F1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Aspekt finansowy jest n</w:t>
      </w:r>
      <w:r w:rsidRPr="00241D81">
        <w:rPr>
          <w:rFonts w:asciiTheme="minorHAnsi" w:hAnsiTheme="minorHAnsi" w:cstheme="minorHAnsi"/>
        </w:rPr>
        <w:t>ajczęstszym powodem chęci zmiany pracy</w:t>
      </w:r>
      <w:r w:rsidR="005A35D4">
        <w:rPr>
          <w:rFonts w:asciiTheme="minorHAnsi" w:hAnsiTheme="minorHAnsi" w:cstheme="minorHAnsi"/>
        </w:rPr>
        <w:t xml:space="preserve"> (43</w:t>
      </w:r>
      <w:r w:rsidR="00FF63F1">
        <w:rPr>
          <w:rFonts w:asciiTheme="minorHAnsi" w:hAnsiTheme="minorHAnsi" w:cstheme="minorHAnsi"/>
        </w:rPr>
        <w:t>,1</w:t>
      </w:r>
      <w:r w:rsidR="005A35D4">
        <w:rPr>
          <w:rFonts w:asciiTheme="minorHAnsi" w:hAnsiTheme="minorHAnsi" w:cstheme="minorHAnsi"/>
        </w:rPr>
        <w:t xml:space="preserve"> proc. wskazań)</w:t>
      </w:r>
      <w:r w:rsidR="00FF63F1">
        <w:rPr>
          <w:rFonts w:asciiTheme="minorHAnsi" w:hAnsiTheme="minorHAnsi" w:cstheme="minorHAnsi"/>
        </w:rPr>
        <w:t xml:space="preserve"> zarówno dla kobiet, jak i mężczyzn. B</w:t>
      </w:r>
      <w:r w:rsidR="00BD577B" w:rsidRPr="005F2616">
        <w:rPr>
          <w:rFonts w:asciiTheme="minorHAnsi" w:hAnsiTheme="minorHAnsi" w:cstheme="minorHAnsi"/>
        </w:rPr>
        <w:t>ardziej skłonni do poszukiwań</w:t>
      </w:r>
      <w:r w:rsidR="00BD577B">
        <w:rPr>
          <w:rFonts w:asciiTheme="minorHAnsi" w:hAnsiTheme="minorHAnsi" w:cstheme="minorHAnsi"/>
        </w:rPr>
        <w:t xml:space="preserve"> są</w:t>
      </w:r>
      <w:r w:rsidR="0027566F" w:rsidRPr="005F2616">
        <w:rPr>
          <w:rFonts w:asciiTheme="minorHAnsi" w:hAnsiTheme="minorHAnsi" w:cstheme="minorHAnsi"/>
        </w:rPr>
        <w:t xml:space="preserve"> zarabiający </w:t>
      </w:r>
      <w:r w:rsidR="00C55EAD">
        <w:rPr>
          <w:rFonts w:asciiTheme="minorHAnsi" w:hAnsiTheme="minorHAnsi" w:cstheme="minorHAnsi"/>
        </w:rPr>
        <w:t xml:space="preserve">najmniej - </w:t>
      </w:r>
      <w:r w:rsidR="0027566F" w:rsidRPr="005F2616">
        <w:rPr>
          <w:rFonts w:asciiTheme="minorHAnsi" w:hAnsiTheme="minorHAnsi" w:cstheme="minorHAnsi"/>
        </w:rPr>
        <w:t xml:space="preserve">do 1999 zł netto </w:t>
      </w:r>
      <w:r w:rsidR="00570D9A" w:rsidRPr="005F2616">
        <w:rPr>
          <w:rFonts w:asciiTheme="minorHAnsi" w:hAnsiTheme="minorHAnsi" w:cstheme="minorHAnsi"/>
        </w:rPr>
        <w:t>(51,4 proc.)</w:t>
      </w:r>
      <w:r w:rsidR="00BD577B">
        <w:rPr>
          <w:rFonts w:asciiTheme="minorHAnsi" w:hAnsiTheme="minorHAnsi" w:cstheme="minorHAnsi"/>
        </w:rPr>
        <w:t>,</w:t>
      </w:r>
      <w:r w:rsidR="00281EEF" w:rsidRPr="00C55EAD">
        <w:rPr>
          <w:rFonts w:asciiTheme="minorHAnsi" w:hAnsiTheme="minorHAnsi" w:cstheme="minorHAnsi"/>
        </w:rPr>
        <w:t xml:space="preserve"> </w:t>
      </w:r>
      <w:r w:rsidR="00C55EAD" w:rsidRPr="00C55EAD">
        <w:rPr>
          <w:rFonts w:asciiTheme="minorHAnsi" w:hAnsiTheme="minorHAnsi" w:cstheme="minorHAnsi"/>
        </w:rPr>
        <w:t xml:space="preserve">najmłodsi - </w:t>
      </w:r>
      <w:r w:rsidR="00281EEF" w:rsidRPr="00C55EAD">
        <w:rPr>
          <w:rFonts w:asciiTheme="minorHAnsi" w:hAnsiTheme="minorHAnsi" w:cstheme="minorHAnsi"/>
        </w:rPr>
        <w:t>osoby w wieku 18-24 lata (56,3</w:t>
      </w:r>
      <w:r w:rsidR="00C55EAD" w:rsidRPr="00C55EAD">
        <w:rPr>
          <w:rFonts w:asciiTheme="minorHAnsi" w:hAnsiTheme="minorHAnsi" w:cstheme="minorHAnsi"/>
        </w:rPr>
        <w:t xml:space="preserve"> proc.</w:t>
      </w:r>
      <w:r w:rsidR="00BD577B" w:rsidRPr="00C55EAD">
        <w:rPr>
          <w:rFonts w:asciiTheme="minorHAnsi" w:hAnsiTheme="minorHAnsi" w:cstheme="minorHAnsi"/>
        </w:rPr>
        <w:t>)</w:t>
      </w:r>
      <w:r w:rsidR="00281EEF" w:rsidRPr="00C55EAD">
        <w:rPr>
          <w:rFonts w:asciiTheme="minorHAnsi" w:hAnsiTheme="minorHAnsi" w:cstheme="minorHAnsi"/>
        </w:rPr>
        <w:t>, pracujący na umowach zlecenia lub o dzieło (54,6</w:t>
      </w:r>
      <w:r w:rsidR="00C55EAD" w:rsidRPr="00C55EAD">
        <w:rPr>
          <w:rFonts w:asciiTheme="minorHAnsi" w:hAnsiTheme="minorHAnsi" w:cstheme="minorHAnsi"/>
        </w:rPr>
        <w:t xml:space="preserve"> proc</w:t>
      </w:r>
      <w:r w:rsidR="00281EEF" w:rsidRPr="00C55EAD">
        <w:rPr>
          <w:rFonts w:asciiTheme="minorHAnsi" w:hAnsiTheme="minorHAnsi" w:cstheme="minorHAnsi"/>
        </w:rPr>
        <w:t>).</w:t>
      </w:r>
      <w:r w:rsidR="00BD577B" w:rsidRPr="00C55EAD">
        <w:rPr>
          <w:rFonts w:asciiTheme="minorHAnsi" w:hAnsiTheme="minorHAnsi" w:cstheme="minorHAnsi"/>
        </w:rPr>
        <w:t xml:space="preserve"> To </w:t>
      </w:r>
      <w:r w:rsidR="00C55EAD" w:rsidRPr="00C55EAD">
        <w:rPr>
          <w:rFonts w:asciiTheme="minorHAnsi" w:hAnsiTheme="minorHAnsi" w:cstheme="minorHAnsi"/>
        </w:rPr>
        <w:t>także</w:t>
      </w:r>
      <w:r w:rsidR="00BD577B" w:rsidRPr="00C55EAD">
        <w:rPr>
          <w:rFonts w:asciiTheme="minorHAnsi" w:hAnsiTheme="minorHAnsi" w:cstheme="minorHAnsi"/>
        </w:rPr>
        <w:t xml:space="preserve"> pracownicy </w:t>
      </w:r>
      <w:r w:rsidR="00281EEF" w:rsidRPr="00C55EAD">
        <w:rPr>
          <w:rFonts w:asciiTheme="minorHAnsi" w:hAnsiTheme="minorHAnsi" w:cstheme="minorHAnsi"/>
        </w:rPr>
        <w:t>niższego szczebla (39,7</w:t>
      </w:r>
      <w:r w:rsidR="00C55EAD" w:rsidRPr="00C55EAD">
        <w:rPr>
          <w:rFonts w:asciiTheme="minorHAnsi" w:hAnsiTheme="minorHAnsi" w:cstheme="minorHAnsi"/>
        </w:rPr>
        <w:t xml:space="preserve"> proc.</w:t>
      </w:r>
      <w:r w:rsidR="00281EEF" w:rsidRPr="00C55EAD">
        <w:rPr>
          <w:rFonts w:asciiTheme="minorHAnsi" w:hAnsiTheme="minorHAnsi" w:cstheme="minorHAnsi"/>
        </w:rPr>
        <w:t>)</w:t>
      </w:r>
      <w:r w:rsidR="00C55EAD" w:rsidRPr="00C55EAD">
        <w:rPr>
          <w:rFonts w:asciiTheme="minorHAnsi" w:hAnsiTheme="minorHAnsi" w:cstheme="minorHAnsi"/>
        </w:rPr>
        <w:t xml:space="preserve"> i</w:t>
      </w:r>
      <w:r w:rsidR="00281EEF" w:rsidRPr="00C55EAD">
        <w:rPr>
          <w:rFonts w:asciiTheme="minorHAnsi" w:hAnsiTheme="minorHAnsi" w:cstheme="minorHAnsi"/>
        </w:rPr>
        <w:t xml:space="preserve"> młods</w:t>
      </w:r>
      <w:r w:rsidR="00BD577B" w:rsidRPr="00C55EAD">
        <w:rPr>
          <w:rFonts w:asciiTheme="minorHAnsi" w:hAnsiTheme="minorHAnsi" w:cstheme="minorHAnsi"/>
        </w:rPr>
        <w:t>i</w:t>
      </w:r>
      <w:r w:rsidR="00281EEF" w:rsidRPr="00C55EAD">
        <w:rPr>
          <w:rFonts w:asciiTheme="minorHAnsi" w:hAnsiTheme="minorHAnsi" w:cstheme="minorHAnsi"/>
        </w:rPr>
        <w:t xml:space="preserve"> specjali</w:t>
      </w:r>
      <w:r w:rsidR="00BD577B" w:rsidRPr="00C55EAD">
        <w:rPr>
          <w:rFonts w:asciiTheme="minorHAnsi" w:hAnsiTheme="minorHAnsi" w:cstheme="minorHAnsi"/>
        </w:rPr>
        <w:t>ści</w:t>
      </w:r>
      <w:r w:rsidR="00281EEF" w:rsidRPr="00C55EAD">
        <w:rPr>
          <w:rFonts w:asciiTheme="minorHAnsi" w:hAnsiTheme="minorHAnsi" w:cstheme="minorHAnsi"/>
        </w:rPr>
        <w:t xml:space="preserve"> (40</w:t>
      </w:r>
      <w:r w:rsidR="00C55EAD" w:rsidRPr="00C55EAD">
        <w:rPr>
          <w:rFonts w:asciiTheme="minorHAnsi" w:hAnsiTheme="minorHAnsi" w:cstheme="minorHAnsi"/>
        </w:rPr>
        <w:t xml:space="preserve"> proc.</w:t>
      </w:r>
      <w:r w:rsidR="00281EEF" w:rsidRPr="00C55EAD">
        <w:rPr>
          <w:rFonts w:asciiTheme="minorHAnsi" w:hAnsiTheme="minorHAnsi" w:cstheme="minorHAnsi"/>
        </w:rPr>
        <w:t>)</w:t>
      </w:r>
      <w:r w:rsidR="00BD577B" w:rsidRPr="00C55EAD">
        <w:rPr>
          <w:rFonts w:asciiTheme="minorHAnsi" w:hAnsiTheme="minorHAnsi" w:cstheme="minorHAnsi"/>
        </w:rPr>
        <w:t xml:space="preserve">. </w:t>
      </w:r>
      <w:r w:rsidR="00C55EAD" w:rsidRPr="00C55EAD">
        <w:rPr>
          <w:rFonts w:asciiTheme="minorHAnsi" w:hAnsiTheme="minorHAnsi" w:cstheme="minorHAnsi"/>
        </w:rPr>
        <w:t xml:space="preserve">Na zmianę </w:t>
      </w:r>
      <w:r w:rsidR="00F532F1">
        <w:rPr>
          <w:rFonts w:asciiTheme="minorHAnsi" w:hAnsiTheme="minorHAnsi" w:cstheme="minorHAnsi"/>
        </w:rPr>
        <w:t>bardziej otwarci są</w:t>
      </w:r>
      <w:r w:rsidR="00C55EAD" w:rsidRPr="00C55EAD">
        <w:rPr>
          <w:rFonts w:asciiTheme="minorHAnsi" w:hAnsiTheme="minorHAnsi" w:cstheme="minorHAnsi"/>
        </w:rPr>
        <w:t xml:space="preserve"> </w:t>
      </w:r>
      <w:r w:rsidR="000C1726">
        <w:rPr>
          <w:rFonts w:asciiTheme="minorHAnsi" w:hAnsiTheme="minorHAnsi" w:cstheme="minorHAnsi"/>
        </w:rPr>
        <w:t xml:space="preserve">przy tym </w:t>
      </w:r>
      <w:r w:rsidR="00C55EAD" w:rsidRPr="00C55EAD">
        <w:rPr>
          <w:rFonts w:asciiTheme="minorHAnsi" w:hAnsiTheme="minorHAnsi" w:cstheme="minorHAnsi"/>
        </w:rPr>
        <w:t>zatrudnieni w handlu (40,7 proc.) niż w innych sektorach.</w:t>
      </w:r>
      <w:r w:rsidR="00F532F1">
        <w:rPr>
          <w:rFonts w:asciiTheme="minorHAnsi" w:hAnsiTheme="minorHAnsi" w:cstheme="minorHAnsi"/>
        </w:rPr>
        <w:t xml:space="preserve"> </w:t>
      </w:r>
      <w:r w:rsidR="00BD577B">
        <w:rPr>
          <w:rFonts w:asciiTheme="minorHAnsi" w:hAnsiTheme="minorHAnsi" w:cstheme="minorHAnsi"/>
        </w:rPr>
        <w:t>Istotnie rzadziej zdecydowałyby się na to osoby mające najbliżej do emerytury (zaledwie 16,8 proc.) oraz najlepiej zarabiający (25,5 proc.). Kierownicy, starsi specjaliści i zatrudnieni w sektorze publicznym są</w:t>
      </w:r>
      <w:r w:rsidR="003163D4">
        <w:rPr>
          <w:rFonts w:asciiTheme="minorHAnsi" w:hAnsiTheme="minorHAnsi" w:cstheme="minorHAnsi"/>
        </w:rPr>
        <w:t> </w:t>
      </w:r>
      <w:r w:rsidR="00BD577B">
        <w:rPr>
          <w:rFonts w:asciiTheme="minorHAnsi" w:hAnsiTheme="minorHAnsi" w:cstheme="minorHAnsi"/>
        </w:rPr>
        <w:t xml:space="preserve">zdecydowanie mniej skłonni do poszukiwania nowego pracodawcy. </w:t>
      </w:r>
    </w:p>
    <w:p w14:paraId="52CBAB9C" w14:textId="32120F46" w:rsidR="00BD577B" w:rsidRDefault="002D32A7" w:rsidP="00BD1FCC">
      <w:pPr>
        <w:spacing w:before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2D32A7">
        <w:rPr>
          <w:rFonts w:asciiTheme="minorHAnsi" w:eastAsia="Times New Roman" w:hAnsiTheme="minorHAnsi" w:cstheme="minorHAnsi"/>
          <w:lang w:eastAsia="pl-PL"/>
        </w:rPr>
        <w:lastRenderedPageBreak/>
        <w:t>–</w:t>
      </w:r>
      <w:r w:rsidR="00F532F1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Szczególnie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niepokojące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dla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pracodawców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powinny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być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wyniki badania w zakresie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planów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zmiany pracy w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zależności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od cech demograficznych.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Ponadprzeciętnie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wysoką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skłonność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do zmiany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deklarują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osoby najmłodsze (18-24 lata), a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więc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nalężące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do pokolenia „Z”, w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której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to grupie odsetek ten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sięga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56,3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 xml:space="preserve"> proc.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(przy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średniej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dla 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>próby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 xml:space="preserve"> 33,6</w:t>
      </w:r>
      <w:r w:rsidR="00F532F1" w:rsidRPr="005F2616">
        <w:rPr>
          <w:rFonts w:asciiTheme="minorHAnsi" w:eastAsia="Times New Roman" w:hAnsiTheme="minorHAnsi" w:cstheme="minorHAnsi"/>
          <w:i/>
          <w:iCs/>
          <w:lang w:eastAsia="pl-PL"/>
        </w:rPr>
        <w:t xml:space="preserve"> proc.</w:t>
      </w:r>
      <w:r w:rsidR="00F532F1" w:rsidRPr="00DF2A3F">
        <w:rPr>
          <w:rFonts w:asciiTheme="minorHAnsi" w:eastAsia="Times New Roman" w:hAnsiTheme="minorHAnsi" w:cstheme="minorHAnsi"/>
          <w:i/>
          <w:iCs/>
          <w:lang w:eastAsia="pl-PL"/>
        </w:rPr>
        <w:t>)</w:t>
      </w:r>
      <w:r w:rsidR="00F532F1" w:rsidRPr="005F2616">
        <w:rPr>
          <w:rFonts w:asciiTheme="minorHAnsi" w:eastAsia="Times New Roman" w:hAnsiTheme="minorHAnsi" w:cstheme="minorHAnsi"/>
          <w:lang w:eastAsia="pl-PL"/>
        </w:rPr>
        <w:t xml:space="preserve"> – zauważa dr hab. Jacek Sienkiewicz, profesor Politechniki Gdańskiej, Prezes Zarządu Instytutu Analiz Rynku Pracy.  </w:t>
      </w:r>
    </w:p>
    <w:p w14:paraId="47F54DF5" w14:textId="77777777" w:rsidR="00BD1FCC" w:rsidRPr="00BD1FCC" w:rsidRDefault="00BD1FCC" w:rsidP="00BD1FCC">
      <w:pPr>
        <w:spacing w:before="12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A1118C" w14:textId="636E5A3D" w:rsidR="00241D81" w:rsidRDefault="004C6BB5" w:rsidP="00FF63F1">
      <w:pPr>
        <w:spacing w:before="12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noProof/>
          <w:lang w:eastAsia="pl-PL"/>
        </w:rPr>
        <w:drawing>
          <wp:inline distT="0" distB="0" distL="0" distR="0" wp14:anchorId="068281CD" wp14:editId="496CA91D">
            <wp:extent cx="4785823" cy="3209192"/>
            <wp:effectExtent l="0" t="0" r="254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081" cy="32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8B373" w14:textId="77777777" w:rsidR="00BD1FCC" w:rsidRPr="005F2616" w:rsidRDefault="00BD1FCC" w:rsidP="00FF63F1">
      <w:pPr>
        <w:spacing w:before="12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3B2FA4A2" w14:textId="6658FBB9" w:rsidR="00DA7F7F" w:rsidRDefault="00AD723D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Odsetek pracujących, którzy myślą o zmianie miejsca zatrudnienia znacząco wzrósł w drugiej połowie </w:t>
      </w:r>
      <w:r w:rsidR="00FA2B7A">
        <w:rPr>
          <w:rFonts w:asciiTheme="minorHAnsi" w:hAnsiTheme="minorHAnsi" w:cstheme="minorHAnsi"/>
        </w:rPr>
        <w:t>2020 roku i utrzymuje się</w:t>
      </w:r>
      <w:r>
        <w:rPr>
          <w:rFonts w:asciiTheme="minorHAnsi" w:hAnsiTheme="minorHAnsi" w:cstheme="minorHAnsi"/>
        </w:rPr>
        <w:t xml:space="preserve"> na wysokim poziomie (33,6 proc.</w:t>
      </w:r>
      <w:r w:rsidR="006C0FE3">
        <w:rPr>
          <w:rFonts w:asciiTheme="minorHAnsi" w:hAnsiTheme="minorHAnsi" w:cstheme="minorHAnsi"/>
        </w:rPr>
        <w:t>).</w:t>
      </w:r>
      <w:r w:rsidR="006C0FE3" w:rsidRPr="000B2330">
        <w:rPr>
          <w:rFonts w:asciiTheme="minorHAnsi" w:hAnsiTheme="minorHAnsi" w:cstheme="minorHAnsi"/>
        </w:rPr>
        <w:t xml:space="preserve"> Jednocześnie</w:t>
      </w:r>
      <w:r w:rsidR="00DA7F7F" w:rsidRPr="000B2330">
        <w:rPr>
          <w:rFonts w:asciiTheme="minorHAnsi" w:hAnsiTheme="minorHAnsi" w:cstheme="minorHAnsi"/>
        </w:rPr>
        <w:t xml:space="preserve">, o niemal połowę (tj. z 82 proc. do 43,2 proc.) zmalał odsetek </w:t>
      </w:r>
      <w:r w:rsidR="00FB5005">
        <w:rPr>
          <w:rFonts w:asciiTheme="minorHAnsi" w:hAnsiTheme="minorHAnsi" w:cstheme="minorHAnsi"/>
        </w:rPr>
        <w:t>tych</w:t>
      </w:r>
      <w:r w:rsidR="00DA7F7F" w:rsidRPr="000B2330">
        <w:rPr>
          <w:rFonts w:asciiTheme="minorHAnsi" w:hAnsiTheme="minorHAnsi" w:cstheme="minorHAnsi"/>
        </w:rPr>
        <w:t>, któr</w:t>
      </w:r>
      <w:r w:rsidR="00FB5005">
        <w:rPr>
          <w:rFonts w:asciiTheme="minorHAnsi" w:hAnsiTheme="minorHAnsi" w:cstheme="minorHAnsi"/>
        </w:rPr>
        <w:t>zy</w:t>
      </w:r>
      <w:r w:rsidR="00DA7F7F" w:rsidRPr="000B2330">
        <w:rPr>
          <w:rFonts w:asciiTheme="minorHAnsi" w:hAnsiTheme="minorHAnsi" w:cstheme="minorHAnsi"/>
        </w:rPr>
        <w:t xml:space="preserve"> nie zamierzają podejmować takich kroków. Aż</w:t>
      </w:r>
      <w:r w:rsidR="00A92AA7">
        <w:rPr>
          <w:rFonts w:asciiTheme="minorHAnsi" w:hAnsiTheme="minorHAnsi" w:cstheme="minorHAnsi"/>
        </w:rPr>
        <w:t> </w:t>
      </w:r>
      <w:r w:rsidR="00DA7F7F" w:rsidRPr="000B2330">
        <w:rPr>
          <w:rFonts w:asciiTheme="minorHAnsi" w:hAnsiTheme="minorHAnsi" w:cstheme="minorHAnsi"/>
        </w:rPr>
        <w:t>siedmiokrotnie wzrosła liczba niezdecydowanych.</w:t>
      </w:r>
      <w:r w:rsidR="00DA7F7F">
        <w:rPr>
          <w:rFonts w:asciiTheme="minorHAnsi" w:hAnsiTheme="minorHAnsi" w:cstheme="minorHAnsi"/>
        </w:rPr>
        <w:t xml:space="preserve"> </w:t>
      </w:r>
    </w:p>
    <w:p w14:paraId="7EBDC3D7" w14:textId="77777777" w:rsidR="00BD1FCC" w:rsidRDefault="00BD1FCC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</w:p>
    <w:p w14:paraId="2DCBB9B6" w14:textId="77777777" w:rsidR="00DA7F7F" w:rsidRDefault="00DA7F7F" w:rsidP="00FF63F1">
      <w:pPr>
        <w:spacing w:before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  <w:noProof/>
        </w:rPr>
        <w:drawing>
          <wp:inline distT="0" distB="0" distL="0" distR="0" wp14:anchorId="50A8CF85" wp14:editId="5094E0D2">
            <wp:extent cx="5179901" cy="2338754"/>
            <wp:effectExtent l="0" t="0" r="190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245" cy="234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44C43" w14:textId="77777777" w:rsidR="002D2CB2" w:rsidRPr="005F2616" w:rsidRDefault="002D2CB2" w:rsidP="00FF63F1">
      <w:pPr>
        <w:spacing w:before="12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5F2616">
        <w:rPr>
          <w:rFonts w:asciiTheme="minorHAnsi" w:hAnsiTheme="minorHAnsi" w:cstheme="minorHAnsi"/>
          <w:b/>
          <w:bCs/>
          <w:i/>
          <w:iCs/>
        </w:rPr>
        <w:lastRenderedPageBreak/>
        <w:t>Po drugie - rozwój</w:t>
      </w:r>
    </w:p>
    <w:p w14:paraId="13ECD33D" w14:textId="0242B2BF" w:rsidR="002D2CB2" w:rsidRPr="005F2616" w:rsidRDefault="00241D81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ciągu ostatnich dwóch lat</w:t>
      </w:r>
      <w:r w:rsidR="002D2CB2" w:rsidRPr="005F2616">
        <w:rPr>
          <w:rFonts w:asciiTheme="minorHAnsi" w:hAnsiTheme="minorHAnsi" w:cstheme="minorHAnsi"/>
        </w:rPr>
        <w:t xml:space="preserve"> widocznie zwiększyło się znaczenie chęci samorealizacji jako czynnika przemawiającego za zmianą pracodawcy (wzrost z 26,1 proc. do 34,6 proc.), </w:t>
      </w:r>
      <w:r w:rsidR="00DA2A16">
        <w:rPr>
          <w:rFonts w:asciiTheme="minorHAnsi" w:hAnsiTheme="minorHAnsi" w:cstheme="minorHAnsi"/>
        </w:rPr>
        <w:t>w szczególności w</w:t>
      </w:r>
      <w:r w:rsidR="00A92AA7">
        <w:rPr>
          <w:rFonts w:asciiTheme="minorHAnsi" w:hAnsiTheme="minorHAnsi" w:cstheme="minorHAnsi"/>
        </w:rPr>
        <w:t> </w:t>
      </w:r>
      <w:r w:rsidR="00DA2A16">
        <w:rPr>
          <w:rFonts w:asciiTheme="minorHAnsi" w:hAnsiTheme="minorHAnsi" w:cstheme="minorHAnsi"/>
        </w:rPr>
        <w:t xml:space="preserve">przypadku kobiet, </w:t>
      </w:r>
      <w:r w:rsidR="002D2CB2" w:rsidRPr="005F2616">
        <w:rPr>
          <w:rFonts w:asciiTheme="minorHAnsi" w:hAnsiTheme="minorHAnsi" w:cstheme="minorHAnsi"/>
        </w:rPr>
        <w:t>a także powiązane z tym brak możliwości rozwoju (28,8 proc.) oraz brak perspektyw na awans (28 proc.). Spadło znaczenie czynników takich</w:t>
      </w:r>
      <w:r w:rsidR="006B76F1">
        <w:rPr>
          <w:rFonts w:asciiTheme="minorHAnsi" w:hAnsiTheme="minorHAnsi" w:cstheme="minorHAnsi"/>
        </w:rPr>
        <w:t>,</w:t>
      </w:r>
      <w:r w:rsidR="002D2CB2" w:rsidRPr="005F2616">
        <w:rPr>
          <w:rFonts w:asciiTheme="minorHAnsi" w:hAnsiTheme="minorHAnsi" w:cstheme="minorHAnsi"/>
        </w:rPr>
        <w:t xml:space="preserve"> jak redukcja etatów, długi dojazd do pracy, duża liczba obowiązków, gorsza atmosfera czy powody osobiste.</w:t>
      </w:r>
    </w:p>
    <w:p w14:paraId="35C7BB4F" w14:textId="0675DCDF" w:rsidR="002D2CB2" w:rsidRPr="0027566F" w:rsidRDefault="005F2616" w:rsidP="00FF63F1">
      <w:pPr>
        <w:spacing w:before="120" w:line="276" w:lineRule="auto"/>
        <w:jc w:val="both"/>
        <w:rPr>
          <w:rFonts w:asciiTheme="minorHAnsi" w:hAnsiTheme="minorHAnsi" w:cstheme="minorHAnsi"/>
          <w:i/>
          <w:iCs/>
        </w:rPr>
      </w:pPr>
      <w:r w:rsidRPr="005F2616">
        <w:rPr>
          <w:rFonts w:asciiTheme="minorHAnsi" w:hAnsiTheme="minorHAnsi" w:cstheme="minorHAnsi"/>
          <w:b/>
          <w:bCs/>
          <w:i/>
          <w:iCs/>
        </w:rPr>
        <w:t xml:space="preserve">Po trzecie </w:t>
      </w:r>
      <w:r w:rsidR="002D4AB2">
        <w:rPr>
          <w:rFonts w:asciiTheme="minorHAnsi" w:hAnsiTheme="minorHAnsi" w:cstheme="minorHAnsi"/>
          <w:b/>
          <w:bCs/>
          <w:i/>
          <w:iCs/>
        </w:rPr>
        <w:t>–</w:t>
      </w:r>
      <w:r w:rsidRPr="005F2616">
        <w:rPr>
          <w:rFonts w:asciiTheme="minorHAnsi" w:hAnsiTheme="minorHAnsi" w:cstheme="minorHAnsi"/>
          <w:b/>
          <w:bCs/>
          <w:i/>
          <w:iCs/>
        </w:rPr>
        <w:t xml:space="preserve"> otwartość</w:t>
      </w:r>
      <w:r w:rsidR="002D4AB2">
        <w:rPr>
          <w:rFonts w:asciiTheme="minorHAnsi" w:hAnsiTheme="minorHAnsi" w:cstheme="minorHAnsi"/>
          <w:b/>
          <w:bCs/>
          <w:i/>
          <w:iCs/>
        </w:rPr>
        <w:t xml:space="preserve"> na zmianę zawodu</w:t>
      </w:r>
    </w:p>
    <w:p w14:paraId="4659181B" w14:textId="2F299CBA" w:rsidR="00485FA8" w:rsidRDefault="002D2CB2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1828B9">
        <w:rPr>
          <w:rFonts w:asciiTheme="minorHAnsi" w:hAnsiTheme="minorHAnsi" w:cstheme="minorHAnsi"/>
        </w:rPr>
        <w:t>61,3 proc. osób</w:t>
      </w:r>
      <w:r w:rsidR="002D4AB2" w:rsidRPr="001828B9">
        <w:rPr>
          <w:rFonts w:asciiTheme="minorHAnsi" w:hAnsiTheme="minorHAnsi" w:cstheme="minorHAnsi"/>
        </w:rPr>
        <w:t xml:space="preserve"> rozważających zmianę pracy lub obawiających się jej utraty rozważa zmianę zawodu.</w:t>
      </w:r>
      <w:r w:rsidR="00AD781F">
        <w:rPr>
          <w:rFonts w:asciiTheme="minorHAnsi" w:hAnsiTheme="minorHAnsi" w:cstheme="minorHAnsi"/>
        </w:rPr>
        <w:t xml:space="preserve"> </w:t>
      </w:r>
      <w:r w:rsidRPr="005F2616">
        <w:rPr>
          <w:rFonts w:asciiTheme="minorHAnsi" w:hAnsiTheme="minorHAnsi" w:cstheme="minorHAnsi"/>
        </w:rPr>
        <w:t>W największym stopniu zmian</w:t>
      </w:r>
      <w:r w:rsidR="005F2616" w:rsidRPr="005F2616">
        <w:rPr>
          <w:rFonts w:asciiTheme="minorHAnsi" w:hAnsiTheme="minorHAnsi" w:cstheme="minorHAnsi"/>
        </w:rPr>
        <w:t>ę</w:t>
      </w:r>
      <w:r w:rsidRPr="005F2616">
        <w:rPr>
          <w:rFonts w:asciiTheme="minorHAnsi" w:hAnsiTheme="minorHAnsi" w:cstheme="minorHAnsi"/>
        </w:rPr>
        <w:t xml:space="preserve"> profesji </w:t>
      </w:r>
      <w:r w:rsidR="00AD781F">
        <w:rPr>
          <w:rFonts w:asciiTheme="minorHAnsi" w:hAnsiTheme="minorHAnsi" w:cstheme="minorHAnsi"/>
        </w:rPr>
        <w:t xml:space="preserve">biorą pod uwagę </w:t>
      </w:r>
      <w:r w:rsidRPr="005F2616">
        <w:rPr>
          <w:rFonts w:asciiTheme="minorHAnsi" w:hAnsiTheme="minorHAnsi" w:cstheme="minorHAnsi"/>
        </w:rPr>
        <w:t>osoby młode, przed 25. rokiem życia – zatem będące na początku kariery zawodowej (71,5 proc. skłonnych do przebranżowienia się). Częściej też zmianę branży rozważają pracownicy sektora handlu (66,2 proc.) i</w:t>
      </w:r>
      <w:r w:rsidR="00570D9A">
        <w:rPr>
          <w:rFonts w:asciiTheme="minorHAnsi" w:hAnsiTheme="minorHAnsi" w:cstheme="minorHAnsi"/>
        </w:rPr>
        <w:t> </w:t>
      </w:r>
      <w:r w:rsidRPr="005F2616">
        <w:rPr>
          <w:rFonts w:asciiTheme="minorHAnsi" w:hAnsiTheme="minorHAnsi" w:cstheme="minorHAnsi"/>
        </w:rPr>
        <w:t>usług (64,9 proc.).</w:t>
      </w:r>
      <w:r w:rsidR="00485FA8">
        <w:rPr>
          <w:rFonts w:asciiTheme="minorHAnsi" w:hAnsiTheme="minorHAnsi" w:cstheme="minorHAnsi"/>
        </w:rPr>
        <w:t xml:space="preserve"> </w:t>
      </w:r>
    </w:p>
    <w:p w14:paraId="76DB3D7E" w14:textId="63FB608D" w:rsidR="002D2CB2" w:rsidRDefault="00485FA8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Odsetek zamierzających zmienić zawód jest porównywalny z wynikami badania z grudnia 2020 roku, jest jednak znacznie wyższy niż wcześniej. Może to być związane z rosnącą świadomością Polaków dotyczącą przeobrażeń zachodzących na rynku pracy, </w:t>
      </w:r>
      <w:r w:rsidR="00570D9A">
        <w:rPr>
          <w:rFonts w:asciiTheme="minorHAnsi" w:hAnsiTheme="minorHAnsi" w:cstheme="minorHAnsi"/>
        </w:rPr>
        <w:t xml:space="preserve">w tym </w:t>
      </w:r>
      <w:r>
        <w:rPr>
          <w:rFonts w:asciiTheme="minorHAnsi" w:hAnsiTheme="minorHAnsi" w:cstheme="minorHAnsi"/>
        </w:rPr>
        <w:t xml:space="preserve">cyfryzacją </w:t>
      </w:r>
      <w:r w:rsidR="001F4A5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automatyzacją procesów, powstawaniem nowych zawodów i znikaniem innych.</w:t>
      </w:r>
    </w:p>
    <w:p w14:paraId="3DB3F703" w14:textId="77777777" w:rsidR="00BD1FCC" w:rsidRPr="005F2616" w:rsidRDefault="00BD1FCC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</w:p>
    <w:p w14:paraId="26A95738" w14:textId="3C17F63F" w:rsidR="00485FA8" w:rsidRDefault="00E80A62" w:rsidP="00FF63F1">
      <w:pPr>
        <w:spacing w:before="12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  <w:noProof/>
        </w:rPr>
        <w:drawing>
          <wp:inline distT="0" distB="0" distL="0" distR="0" wp14:anchorId="2CDB1BEC" wp14:editId="2F06897E">
            <wp:extent cx="5489339" cy="2400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626" cy="242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EA5A6" w14:textId="77777777" w:rsidR="00BD1FCC" w:rsidRDefault="00BD1FCC" w:rsidP="00FF63F1">
      <w:pPr>
        <w:spacing w:before="120" w:line="276" w:lineRule="auto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37CDF754" w14:textId="6D5162DD" w:rsidR="00BD7498" w:rsidRPr="005F2616" w:rsidRDefault="00DA2A16" w:rsidP="00FF63F1">
      <w:pPr>
        <w:spacing w:before="12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Pracodawcy: j</w:t>
      </w:r>
      <w:r w:rsidR="0027566F">
        <w:rPr>
          <w:rFonts w:asciiTheme="minorHAnsi" w:hAnsiTheme="minorHAnsi" w:cstheme="minorHAnsi"/>
          <w:b/>
          <w:bCs/>
          <w:i/>
          <w:iCs/>
        </w:rPr>
        <w:t>ak utrzymać kadrę?</w:t>
      </w:r>
    </w:p>
    <w:p w14:paraId="554794D8" w14:textId="38781610" w:rsidR="00D95CA1" w:rsidRDefault="00BE119D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1828B9">
        <w:rPr>
          <w:rFonts w:asciiTheme="minorHAnsi" w:hAnsiTheme="minorHAnsi" w:cstheme="minorHAnsi"/>
        </w:rPr>
        <w:t xml:space="preserve">Wyniki badań nie pozostawiają złudzeń – jeśli pracodawcy zależy na utrzymaniu </w:t>
      </w:r>
      <w:r w:rsidR="001828B9" w:rsidRPr="001828B9">
        <w:rPr>
          <w:rFonts w:asciiTheme="minorHAnsi" w:hAnsiTheme="minorHAnsi" w:cstheme="minorHAnsi"/>
        </w:rPr>
        <w:t>kadr</w:t>
      </w:r>
      <w:r w:rsidR="00DA2A16">
        <w:rPr>
          <w:rFonts w:asciiTheme="minorHAnsi" w:hAnsiTheme="minorHAnsi" w:cstheme="minorHAnsi"/>
        </w:rPr>
        <w:t>,</w:t>
      </w:r>
      <w:r w:rsidRPr="001828B9">
        <w:rPr>
          <w:rFonts w:asciiTheme="minorHAnsi" w:hAnsiTheme="minorHAnsi" w:cstheme="minorHAnsi"/>
        </w:rPr>
        <w:t xml:space="preserve"> najważniejszym argumentem w dyskusji są </w:t>
      </w:r>
      <w:r w:rsidR="001828B9">
        <w:rPr>
          <w:rFonts w:asciiTheme="minorHAnsi" w:hAnsiTheme="minorHAnsi" w:cstheme="minorHAnsi"/>
        </w:rPr>
        <w:t>finanse</w:t>
      </w:r>
      <w:r w:rsidRPr="001828B9">
        <w:rPr>
          <w:rFonts w:asciiTheme="minorHAnsi" w:hAnsiTheme="minorHAnsi" w:cstheme="minorHAnsi"/>
        </w:rPr>
        <w:t xml:space="preserve">. </w:t>
      </w:r>
      <w:r w:rsidRPr="00D95CA1">
        <w:rPr>
          <w:rFonts w:asciiTheme="minorHAnsi" w:hAnsiTheme="minorHAnsi" w:cstheme="minorHAnsi"/>
        </w:rPr>
        <w:t>Zwiększenie wynagrodzenia jest czynnikiem, który w jeszcze większym stopniu niż rok wcześniej wpłynąłby na chęć kontynuowania zatrudnienia</w:t>
      </w:r>
      <w:r w:rsidR="00CF56F1">
        <w:rPr>
          <w:rFonts w:asciiTheme="minorHAnsi" w:hAnsiTheme="minorHAnsi" w:cstheme="minorHAnsi"/>
        </w:rPr>
        <w:t xml:space="preserve"> w danej firmie</w:t>
      </w:r>
      <w:r w:rsidRPr="00D95CA1">
        <w:rPr>
          <w:rFonts w:asciiTheme="minorHAnsi" w:hAnsiTheme="minorHAnsi" w:cstheme="minorHAnsi"/>
        </w:rPr>
        <w:t xml:space="preserve"> (wzrost z 79,2 proc. do 85,9 proc.</w:t>
      </w:r>
      <w:r w:rsidR="00A80A9D">
        <w:rPr>
          <w:rFonts w:asciiTheme="minorHAnsi" w:hAnsiTheme="minorHAnsi" w:cstheme="minorHAnsi"/>
        </w:rPr>
        <w:t xml:space="preserve"> wskazań</w:t>
      </w:r>
      <w:r w:rsidRPr="00D95CA1">
        <w:rPr>
          <w:rFonts w:asciiTheme="minorHAnsi" w:hAnsiTheme="minorHAnsi" w:cstheme="minorHAnsi"/>
        </w:rPr>
        <w:t>)</w:t>
      </w:r>
      <w:r w:rsidR="001828B9">
        <w:rPr>
          <w:rFonts w:asciiTheme="minorHAnsi" w:hAnsiTheme="minorHAnsi" w:cstheme="minorHAnsi"/>
        </w:rPr>
        <w:t xml:space="preserve">. </w:t>
      </w:r>
      <w:r w:rsidR="002447F4">
        <w:rPr>
          <w:rFonts w:asciiTheme="minorHAnsi" w:hAnsiTheme="minorHAnsi" w:cstheme="minorHAnsi"/>
        </w:rPr>
        <w:t xml:space="preserve">Drugim czynnikiem są </w:t>
      </w:r>
      <w:r w:rsidR="006C0FE3">
        <w:rPr>
          <w:rFonts w:asciiTheme="minorHAnsi" w:hAnsiTheme="minorHAnsi" w:cstheme="minorHAnsi"/>
        </w:rPr>
        <w:t xml:space="preserve">premie </w:t>
      </w:r>
      <w:r w:rsidR="006C0FE3" w:rsidRPr="00F90D25">
        <w:rPr>
          <w:rFonts w:asciiTheme="minorHAnsi" w:hAnsiTheme="minorHAnsi" w:cstheme="minorHAnsi"/>
        </w:rPr>
        <w:t>(</w:t>
      </w:r>
      <w:r w:rsidR="002447F4" w:rsidRPr="00F90D25">
        <w:rPr>
          <w:rFonts w:asciiTheme="minorHAnsi" w:hAnsiTheme="minorHAnsi" w:cstheme="minorHAnsi"/>
        </w:rPr>
        <w:t>76,2</w:t>
      </w:r>
      <w:r w:rsidR="00B70AEC">
        <w:rPr>
          <w:rFonts w:asciiTheme="minorHAnsi" w:hAnsiTheme="minorHAnsi" w:cstheme="minorHAnsi"/>
        </w:rPr>
        <w:t xml:space="preserve"> proc.</w:t>
      </w:r>
      <w:r w:rsidR="002447F4" w:rsidRPr="00F90D25">
        <w:rPr>
          <w:rFonts w:asciiTheme="minorHAnsi" w:hAnsiTheme="minorHAnsi" w:cstheme="minorHAnsi"/>
        </w:rPr>
        <w:t>).</w:t>
      </w:r>
      <w:r w:rsidR="00F90D25" w:rsidRPr="00F90D25">
        <w:rPr>
          <w:rFonts w:asciiTheme="minorHAnsi" w:hAnsiTheme="minorHAnsi" w:cstheme="minorHAnsi"/>
        </w:rPr>
        <w:t xml:space="preserve"> Istotne powody to także: poprawa atmosfery w miejscu pracy, wprowadzenie programów umożliwiających zachowanie </w:t>
      </w:r>
      <w:proofErr w:type="spellStart"/>
      <w:r w:rsidR="00F90D25" w:rsidRPr="00F90D25">
        <w:rPr>
          <w:rFonts w:asciiTheme="minorHAnsi" w:hAnsiTheme="minorHAnsi" w:cstheme="minorHAnsi"/>
        </w:rPr>
        <w:t>work</w:t>
      </w:r>
      <w:proofErr w:type="spellEnd"/>
      <w:r w:rsidR="00F90D25" w:rsidRPr="00F90D25">
        <w:rPr>
          <w:rFonts w:asciiTheme="minorHAnsi" w:hAnsiTheme="minorHAnsi" w:cstheme="minorHAnsi"/>
        </w:rPr>
        <w:t xml:space="preserve">-life </w:t>
      </w:r>
      <w:proofErr w:type="spellStart"/>
      <w:r w:rsidR="00F90D25" w:rsidRPr="00F90D25">
        <w:rPr>
          <w:rFonts w:asciiTheme="minorHAnsi" w:hAnsiTheme="minorHAnsi" w:cstheme="minorHAnsi"/>
        </w:rPr>
        <w:t>balance</w:t>
      </w:r>
      <w:proofErr w:type="spellEnd"/>
      <w:r w:rsidR="00F90D25" w:rsidRPr="00F90D25">
        <w:rPr>
          <w:rFonts w:asciiTheme="minorHAnsi" w:hAnsiTheme="minorHAnsi" w:cstheme="minorHAnsi"/>
        </w:rPr>
        <w:t>, ścieżek kariery oraz elastyczn</w:t>
      </w:r>
      <w:r w:rsidR="00C97C71">
        <w:rPr>
          <w:rFonts w:asciiTheme="minorHAnsi" w:hAnsiTheme="minorHAnsi" w:cstheme="minorHAnsi"/>
        </w:rPr>
        <w:t>ych</w:t>
      </w:r>
      <w:r w:rsidR="00F90D25" w:rsidRPr="00F90D25">
        <w:rPr>
          <w:rFonts w:asciiTheme="minorHAnsi" w:hAnsiTheme="minorHAnsi" w:cstheme="minorHAnsi"/>
        </w:rPr>
        <w:t xml:space="preserve"> godzin pracy</w:t>
      </w:r>
      <w:r w:rsidR="00C97C71">
        <w:rPr>
          <w:rFonts w:asciiTheme="minorHAnsi" w:hAnsiTheme="minorHAnsi" w:cstheme="minorHAnsi"/>
        </w:rPr>
        <w:t xml:space="preserve"> i bezpłatnej opieki medycznej</w:t>
      </w:r>
      <w:r w:rsidR="00F90D25" w:rsidRPr="00F90D25">
        <w:rPr>
          <w:rFonts w:asciiTheme="minorHAnsi" w:hAnsiTheme="minorHAnsi" w:cstheme="minorHAnsi"/>
        </w:rPr>
        <w:t>. Mniej istotne</w:t>
      </w:r>
      <w:r w:rsidR="00A80A9D">
        <w:rPr>
          <w:rFonts w:asciiTheme="minorHAnsi" w:hAnsiTheme="minorHAnsi" w:cstheme="minorHAnsi"/>
        </w:rPr>
        <w:t xml:space="preserve"> dla pracujących</w:t>
      </w:r>
      <w:r w:rsidR="00F90D25" w:rsidRPr="00F90D25">
        <w:rPr>
          <w:rFonts w:asciiTheme="minorHAnsi" w:hAnsiTheme="minorHAnsi" w:cstheme="minorHAnsi"/>
        </w:rPr>
        <w:t xml:space="preserve"> jest </w:t>
      </w:r>
      <w:r w:rsidR="00C97C71">
        <w:rPr>
          <w:rFonts w:asciiTheme="minorHAnsi" w:hAnsiTheme="minorHAnsi" w:cstheme="minorHAnsi"/>
        </w:rPr>
        <w:t>zapewnianie</w:t>
      </w:r>
      <w:r w:rsidR="00F90D25" w:rsidRPr="00F90D25">
        <w:rPr>
          <w:rFonts w:asciiTheme="minorHAnsi" w:hAnsiTheme="minorHAnsi" w:cstheme="minorHAnsi"/>
        </w:rPr>
        <w:t xml:space="preserve"> programów emerytalnych czy dofinansowanie edukacji. </w:t>
      </w:r>
    </w:p>
    <w:p w14:paraId="4AA2B1D2" w14:textId="2B0D9F2A" w:rsidR="00BD1FCC" w:rsidRDefault="006571D7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D95CA1">
        <w:rPr>
          <w:rFonts w:asciiTheme="minorHAnsi" w:hAnsiTheme="minorHAnsi" w:cstheme="minorHAnsi"/>
        </w:rPr>
        <w:t xml:space="preserve">achęty finansowe </w:t>
      </w:r>
      <w:r w:rsidR="00DA2A16">
        <w:rPr>
          <w:rFonts w:asciiTheme="minorHAnsi" w:hAnsiTheme="minorHAnsi" w:cstheme="minorHAnsi"/>
        </w:rPr>
        <w:t xml:space="preserve">nadal </w:t>
      </w:r>
      <w:r>
        <w:rPr>
          <w:rFonts w:asciiTheme="minorHAnsi" w:hAnsiTheme="minorHAnsi" w:cstheme="minorHAnsi"/>
        </w:rPr>
        <w:t>są najpopularniejszym sposobem</w:t>
      </w:r>
      <w:r w:rsidR="00A80A9D">
        <w:rPr>
          <w:rFonts w:asciiTheme="minorHAnsi" w:hAnsiTheme="minorHAnsi" w:cstheme="minorHAnsi"/>
        </w:rPr>
        <w:t xml:space="preserve"> zatrzymania</w:t>
      </w:r>
      <w:r w:rsidR="00D95CA1" w:rsidRPr="00D95CA1">
        <w:rPr>
          <w:rFonts w:asciiTheme="minorHAnsi" w:hAnsiTheme="minorHAnsi" w:cstheme="minorHAnsi"/>
        </w:rPr>
        <w:t xml:space="preserve"> </w:t>
      </w:r>
      <w:r w:rsidR="00211CF2">
        <w:rPr>
          <w:rFonts w:asciiTheme="minorHAnsi" w:hAnsiTheme="minorHAnsi" w:cstheme="minorHAnsi"/>
        </w:rPr>
        <w:t>kadr</w:t>
      </w:r>
      <w:r w:rsidR="00D95CA1" w:rsidRPr="00D95CA1">
        <w:rPr>
          <w:rFonts w:asciiTheme="minorHAnsi" w:hAnsiTheme="minorHAnsi" w:cstheme="minorHAnsi"/>
        </w:rPr>
        <w:t>. Na podwyższenie wynagrodzenia decydują się średnio trzy firmy na dziesięć (30,6</w:t>
      </w:r>
      <w:r w:rsidR="00B70AEC">
        <w:rPr>
          <w:rFonts w:asciiTheme="minorHAnsi" w:hAnsiTheme="minorHAnsi" w:cstheme="minorHAnsi"/>
        </w:rPr>
        <w:t xml:space="preserve"> proc.</w:t>
      </w:r>
      <w:r w:rsidR="00D95CA1" w:rsidRPr="00D95CA1">
        <w:rPr>
          <w:rFonts w:asciiTheme="minorHAnsi" w:hAnsiTheme="minorHAnsi" w:cstheme="minorHAnsi"/>
        </w:rPr>
        <w:t>). Jednocześnie 27,1</w:t>
      </w:r>
      <w:r w:rsidR="00B70AEC">
        <w:rPr>
          <w:rFonts w:asciiTheme="minorHAnsi" w:hAnsiTheme="minorHAnsi" w:cstheme="minorHAnsi"/>
        </w:rPr>
        <w:t xml:space="preserve"> proc. </w:t>
      </w:r>
      <w:r w:rsidR="00D95CA1" w:rsidRPr="00D95CA1">
        <w:rPr>
          <w:rFonts w:asciiTheme="minorHAnsi" w:hAnsiTheme="minorHAnsi" w:cstheme="minorHAnsi"/>
        </w:rPr>
        <w:lastRenderedPageBreak/>
        <w:t>przedsiębiorstw chce wypłacać pracownikom premie. Popularne rozwiązania to także dofinansowanie edukacji, umożliwienie pracy z domu, wprowadzenie benefitów pozapłacowych i ścieżek kariery czy elastyczn</w:t>
      </w:r>
      <w:r w:rsidR="00A80A9D">
        <w:rPr>
          <w:rFonts w:asciiTheme="minorHAnsi" w:hAnsiTheme="minorHAnsi" w:cstheme="minorHAnsi"/>
        </w:rPr>
        <w:t>ych</w:t>
      </w:r>
      <w:r w:rsidR="00D95CA1" w:rsidRPr="00D95CA1">
        <w:rPr>
          <w:rFonts w:asciiTheme="minorHAnsi" w:hAnsiTheme="minorHAnsi" w:cstheme="minorHAnsi"/>
        </w:rPr>
        <w:t xml:space="preserve"> godzin pracy.</w:t>
      </w:r>
    </w:p>
    <w:p w14:paraId="31CA2228" w14:textId="5A7D1895" w:rsidR="00BD1FCC" w:rsidRDefault="00756BDB" w:rsidP="00502AD6">
      <w:pPr>
        <w:spacing w:before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A536B12" wp14:editId="334248AC">
            <wp:extent cx="5516260" cy="3947746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856" cy="39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000C4" w14:textId="4E2CC6BE" w:rsidR="00402ED7" w:rsidRDefault="00402ED7" w:rsidP="00402ED7">
      <w:pPr>
        <w:spacing w:before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A923FE4" wp14:editId="731899BA">
            <wp:extent cx="5454527" cy="3657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161" cy="366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E2159" w14:textId="440FFE42" w:rsidR="00F90D25" w:rsidRDefault="00071DA1" w:rsidP="00FF63F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2D32A7">
        <w:rPr>
          <w:rFonts w:asciiTheme="minorHAnsi" w:eastAsia="Times New Roman" w:hAnsiTheme="minorHAnsi" w:cstheme="minorHAnsi"/>
          <w:lang w:eastAsia="pl-PL"/>
        </w:rPr>
        <w:lastRenderedPageBreak/>
        <w:t>–</w:t>
      </w:r>
      <w:r w:rsidR="00F90D25">
        <w:rPr>
          <w:rFonts w:asciiTheme="minorHAnsi" w:hAnsiTheme="minorHAnsi" w:cstheme="minorHAnsi"/>
        </w:rPr>
        <w:t xml:space="preserve"> </w:t>
      </w:r>
      <w:r w:rsidR="00F90D25" w:rsidRPr="00F20A0E">
        <w:rPr>
          <w:rFonts w:asciiTheme="minorHAnsi" w:hAnsiTheme="minorHAnsi" w:cstheme="minorHAnsi"/>
          <w:i/>
          <w:iCs/>
        </w:rPr>
        <w:t xml:space="preserve">Pracodawcy nadal mierzą nie tylko z zapewnieniem konkurencyjności i efektywności firm, </w:t>
      </w:r>
      <w:r w:rsidR="00F90D25">
        <w:rPr>
          <w:rFonts w:asciiTheme="minorHAnsi" w:hAnsiTheme="minorHAnsi" w:cstheme="minorHAnsi"/>
          <w:i/>
          <w:iCs/>
        </w:rPr>
        <w:br/>
      </w:r>
      <w:r w:rsidR="00F90D25" w:rsidRPr="00F20A0E">
        <w:rPr>
          <w:rFonts w:asciiTheme="minorHAnsi" w:hAnsiTheme="minorHAnsi" w:cstheme="minorHAnsi"/>
          <w:i/>
          <w:iCs/>
        </w:rPr>
        <w:t>ale nowoczesnym zarządzaniem. Z pewnością wyzwaniem jest zrozumienie specyfiki rozpoczynającego karierę zawodową młodego pokolenia, które ma inny etos pracy i oczekiwania niż starsi pracownicy, wykraczające poza politykę płacową, świadczenia i dodatki w formie benefitó</w:t>
      </w:r>
      <w:r w:rsidR="00F90D25">
        <w:rPr>
          <w:rFonts w:asciiTheme="minorHAnsi" w:hAnsiTheme="minorHAnsi" w:cstheme="minorHAnsi"/>
          <w:i/>
          <w:iCs/>
        </w:rPr>
        <w:t>w</w:t>
      </w:r>
      <w:r w:rsidR="00A92AA7">
        <w:rPr>
          <w:rFonts w:asciiTheme="minorHAnsi" w:hAnsiTheme="minorHAnsi" w:cstheme="minorHAnsi"/>
          <w:i/>
          <w:iCs/>
        </w:rPr>
        <w:t xml:space="preserve">. Międzynarodowe dane wskazują, że elastyczne modele pracy, pozwalające uzyskać lepszy poziom </w:t>
      </w:r>
      <w:proofErr w:type="spellStart"/>
      <w:r w:rsidR="00A92AA7">
        <w:rPr>
          <w:rFonts w:asciiTheme="minorHAnsi" w:hAnsiTheme="minorHAnsi" w:cstheme="minorHAnsi"/>
          <w:i/>
          <w:iCs/>
        </w:rPr>
        <w:t>work</w:t>
      </w:r>
      <w:proofErr w:type="spellEnd"/>
      <w:r w:rsidR="00A92AA7">
        <w:rPr>
          <w:rFonts w:asciiTheme="minorHAnsi" w:hAnsiTheme="minorHAnsi" w:cstheme="minorHAnsi"/>
          <w:i/>
          <w:iCs/>
        </w:rPr>
        <w:t xml:space="preserve">-life </w:t>
      </w:r>
      <w:proofErr w:type="spellStart"/>
      <w:r w:rsidR="00A92AA7">
        <w:rPr>
          <w:rFonts w:asciiTheme="minorHAnsi" w:hAnsiTheme="minorHAnsi" w:cstheme="minorHAnsi"/>
          <w:i/>
          <w:iCs/>
        </w:rPr>
        <w:t>balance</w:t>
      </w:r>
      <w:proofErr w:type="spellEnd"/>
      <w:r w:rsidR="00A92AA7">
        <w:rPr>
          <w:rFonts w:asciiTheme="minorHAnsi" w:hAnsiTheme="minorHAnsi" w:cstheme="minorHAnsi"/>
          <w:i/>
          <w:iCs/>
        </w:rPr>
        <w:t xml:space="preserve"> mogą zmniejszyć odpływ najlepszych talentów z firm o 20</w:t>
      </w:r>
      <w:r w:rsidR="00B70AEC">
        <w:rPr>
          <w:rFonts w:asciiTheme="minorHAnsi" w:hAnsiTheme="minorHAnsi" w:cstheme="minorHAnsi"/>
          <w:i/>
          <w:iCs/>
        </w:rPr>
        <w:t xml:space="preserve"> proc.</w:t>
      </w:r>
      <w:r w:rsidR="00F90D25">
        <w:rPr>
          <w:rFonts w:asciiTheme="minorHAnsi" w:hAnsiTheme="minorHAnsi" w:cstheme="minorHAnsi"/>
        </w:rPr>
        <w:t xml:space="preserve"> </w:t>
      </w:r>
      <w:r w:rsidRPr="00071DA1">
        <w:rPr>
          <w:rFonts w:asciiTheme="minorHAnsi" w:hAnsiTheme="minorHAnsi" w:cstheme="minorHAnsi"/>
        </w:rPr>
        <w:t>–</w:t>
      </w:r>
      <w:r w:rsidR="00F90D25">
        <w:rPr>
          <w:rFonts w:asciiTheme="minorHAnsi" w:hAnsiTheme="minorHAnsi" w:cstheme="minorHAnsi"/>
        </w:rPr>
        <w:t xml:space="preserve"> komentuje Marcos </w:t>
      </w:r>
      <w:proofErr w:type="spellStart"/>
      <w:r w:rsidR="00F90D25">
        <w:rPr>
          <w:rFonts w:asciiTheme="minorHAnsi" w:hAnsiTheme="minorHAnsi" w:cstheme="minorHAnsi"/>
        </w:rPr>
        <w:t>Segador-Arrebola</w:t>
      </w:r>
      <w:proofErr w:type="spellEnd"/>
      <w:r w:rsidR="00F90D25">
        <w:rPr>
          <w:rFonts w:asciiTheme="minorHAnsi" w:hAnsiTheme="minorHAnsi" w:cstheme="minorHAnsi"/>
        </w:rPr>
        <w:t xml:space="preserve">, Prezes </w:t>
      </w:r>
      <w:r w:rsidR="00211CF2">
        <w:rPr>
          <w:rFonts w:asciiTheme="minorHAnsi" w:hAnsiTheme="minorHAnsi" w:cstheme="minorHAnsi"/>
        </w:rPr>
        <w:t xml:space="preserve">Zarządu </w:t>
      </w:r>
      <w:r w:rsidR="00F90D25">
        <w:rPr>
          <w:rFonts w:asciiTheme="minorHAnsi" w:hAnsiTheme="minorHAnsi" w:cstheme="minorHAnsi"/>
        </w:rPr>
        <w:t>Gi Group</w:t>
      </w:r>
      <w:r w:rsidR="00F90D25" w:rsidRPr="00F20A0E">
        <w:rPr>
          <w:rFonts w:asciiTheme="minorHAnsi" w:hAnsiTheme="minorHAnsi" w:cstheme="minorHAnsi"/>
        </w:rPr>
        <w:t>.</w:t>
      </w:r>
    </w:p>
    <w:p w14:paraId="3E601EEC" w14:textId="77777777" w:rsidR="002D2CB2" w:rsidRPr="005F2616" w:rsidRDefault="002D2CB2" w:rsidP="005F2616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14:paraId="7E845DAB" w14:textId="400296CD" w:rsidR="00103A66" w:rsidRPr="00BD1FCC" w:rsidRDefault="00103A66" w:rsidP="00A92AA7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D1FCC">
        <w:rPr>
          <w:rFonts w:asciiTheme="minorHAnsi" w:hAnsiTheme="minorHAnsi" w:cstheme="minorHAnsi"/>
          <w:sz w:val="20"/>
          <w:szCs w:val="20"/>
          <w:u w:val="single"/>
        </w:rPr>
        <w:t>Notka o badaniu</w:t>
      </w:r>
    </w:p>
    <w:p w14:paraId="370EEFAB" w14:textId="77777777" w:rsidR="000C5950" w:rsidRPr="000C5950" w:rsidRDefault="000C5950" w:rsidP="005F2616">
      <w:pPr>
        <w:spacing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595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Barometr Rynku Pracy XVI</w:t>
      </w:r>
      <w:r w:rsidRPr="000C595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to kolejna edycja raportu publikowanego cyklicznie od 2014 r. przez Gi Group. Zrealizowane po roku przerwy i dwóch latach trwania pandemii badanie tradycyjnie uwzględnia perspektywę pracownika i pracodawcy. Prezentuje zagadnienia takie jak m.in. wynagrodzenia, utrzymanie, zmiana i utrata zatrudnienia, metody poszukiwania pracy i rekrutacji, sytuacja kobiet, mężczyzn, osób innych narodowości czy po 55. roku życia, wreszcie od niedawna – automatyzacja. W tym roku zostało wzbogacone o dodatkowe wątki w związku z sytuacją w Ukrainie: wspierania potrzebujących, różnorodności w miejscu pracy i swojej w nim pozycji w obliczu wojny za wschodnią granicą. Badanie zostało zrealizowane przez ARC Rynek i Opinia Sp. z o.o. Patronami raportu są: Instytut Analiz Rynku Pracy, Konfederacja Lewiatan, Polskie Forum HR oraz Pro Progressio.</w:t>
      </w:r>
    </w:p>
    <w:p w14:paraId="23E87163" w14:textId="77777777" w:rsidR="00103A66" w:rsidRPr="001050AE" w:rsidRDefault="00103A66" w:rsidP="005F26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C7EA730" w14:textId="55CB1E70" w:rsidR="00447B4A" w:rsidRPr="001050AE" w:rsidRDefault="00447B4A" w:rsidP="00211CF2">
      <w:pPr>
        <w:pStyle w:val="Bezodstpw"/>
        <w:spacing w:before="120" w:line="276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1050AE">
        <w:rPr>
          <w:rFonts w:eastAsia="Times New Roman" w:cstheme="minorHAnsi"/>
          <w:sz w:val="20"/>
          <w:szCs w:val="20"/>
          <w:lang w:eastAsia="pl-PL"/>
        </w:rPr>
        <w:t># # #</w:t>
      </w:r>
      <w:bookmarkStart w:id="0" w:name="_Hlk72400809"/>
    </w:p>
    <w:p w14:paraId="17982A4D" w14:textId="388B5F13" w:rsidR="001A7904" w:rsidRPr="001050AE" w:rsidRDefault="001A7904" w:rsidP="005F2616">
      <w:pPr>
        <w:pStyle w:val="Bezodstpw"/>
        <w:spacing w:before="120" w:line="276" w:lineRule="auto"/>
        <w:jc w:val="both"/>
        <w:rPr>
          <w:rFonts w:eastAsia="Times New Roman" w:cstheme="minorHAnsi"/>
          <w:sz w:val="20"/>
          <w:szCs w:val="20"/>
        </w:rPr>
      </w:pPr>
      <w:r w:rsidRPr="001050AE">
        <w:rPr>
          <w:rFonts w:eastAsia="Times New Roman" w:cstheme="minorHAnsi"/>
          <w:b/>
          <w:bCs/>
          <w:sz w:val="20"/>
          <w:szCs w:val="20"/>
        </w:rPr>
        <w:t>Gi Group</w:t>
      </w:r>
      <w:r w:rsidRPr="001050AE">
        <w:rPr>
          <w:rFonts w:eastAsia="Times New Roman" w:cstheme="minorHAnsi"/>
          <w:sz w:val="20"/>
          <w:szCs w:val="20"/>
        </w:rPr>
        <w:t xml:space="preserve"> jest międzynarodową agencją pracy i doradztwa personalnego. Prowadzi działalność w</w:t>
      </w:r>
      <w:r w:rsidR="00B7615B" w:rsidRPr="001050AE">
        <w:rPr>
          <w:rFonts w:eastAsia="Times New Roman" w:cstheme="minorHAnsi"/>
          <w:sz w:val="20"/>
          <w:szCs w:val="20"/>
        </w:rPr>
        <w:t> </w:t>
      </w:r>
      <w:r w:rsidRPr="001050AE">
        <w:rPr>
          <w:rFonts w:eastAsia="Times New Roman" w:cstheme="minorHAnsi"/>
          <w:sz w:val="20"/>
          <w:szCs w:val="20"/>
        </w:rPr>
        <w:t>zakresie m.in. stałego i</w:t>
      </w:r>
      <w:r w:rsidR="00A442C2" w:rsidRPr="001050AE">
        <w:rPr>
          <w:rFonts w:eastAsia="Times New Roman" w:cstheme="minorHAnsi"/>
          <w:sz w:val="20"/>
          <w:szCs w:val="20"/>
        </w:rPr>
        <w:t> </w:t>
      </w:r>
      <w:r w:rsidRPr="001050AE">
        <w:rPr>
          <w:rFonts w:eastAsia="Times New Roman" w:cstheme="minorHAnsi"/>
          <w:sz w:val="20"/>
          <w:szCs w:val="20"/>
        </w:rPr>
        <w:t>czasowego zatrudnienia, wyszukiwania i rekrutacji pracowników oraz</w:t>
      </w:r>
      <w:r w:rsidR="006E4DEA" w:rsidRPr="001050AE">
        <w:rPr>
          <w:rFonts w:eastAsia="Times New Roman" w:cstheme="minorHAnsi"/>
          <w:sz w:val="20"/>
          <w:szCs w:val="20"/>
        </w:rPr>
        <w:t> </w:t>
      </w:r>
      <w:r w:rsidRPr="001050AE">
        <w:rPr>
          <w:rFonts w:eastAsia="Times New Roman" w:cstheme="minorHAnsi"/>
          <w:sz w:val="20"/>
          <w:szCs w:val="20"/>
        </w:rPr>
        <w:t>outsourcingu. Dzięki strategicznym partnerstwom jest obecna w 5</w:t>
      </w:r>
      <w:r w:rsidR="00211CF2">
        <w:rPr>
          <w:rFonts w:eastAsia="Times New Roman" w:cstheme="minorHAnsi"/>
          <w:sz w:val="20"/>
          <w:szCs w:val="20"/>
        </w:rPr>
        <w:t>7</w:t>
      </w:r>
      <w:r w:rsidRPr="001050AE">
        <w:rPr>
          <w:rFonts w:eastAsia="Times New Roman" w:cstheme="minorHAnsi"/>
          <w:sz w:val="20"/>
          <w:szCs w:val="20"/>
        </w:rPr>
        <w:t xml:space="preserve"> krajach, z czego w</w:t>
      </w:r>
      <w:r w:rsidR="00B7615B" w:rsidRPr="001050AE">
        <w:rPr>
          <w:rFonts w:eastAsia="Times New Roman" w:cstheme="minorHAnsi"/>
          <w:sz w:val="20"/>
          <w:szCs w:val="20"/>
        </w:rPr>
        <w:t> </w:t>
      </w:r>
      <w:r w:rsidRPr="001050AE">
        <w:rPr>
          <w:rFonts w:eastAsia="Times New Roman" w:cstheme="minorHAnsi"/>
          <w:sz w:val="20"/>
          <w:szCs w:val="20"/>
        </w:rPr>
        <w:t>3</w:t>
      </w:r>
      <w:r w:rsidR="00211CF2">
        <w:rPr>
          <w:rFonts w:eastAsia="Times New Roman" w:cstheme="minorHAnsi"/>
          <w:sz w:val="20"/>
          <w:szCs w:val="20"/>
        </w:rPr>
        <w:t>0</w:t>
      </w:r>
      <w:r w:rsidR="00B7615B" w:rsidRPr="001050AE">
        <w:rPr>
          <w:rFonts w:eastAsia="Times New Roman" w:cstheme="minorHAnsi"/>
          <w:sz w:val="20"/>
          <w:szCs w:val="20"/>
        </w:rPr>
        <w:t> </w:t>
      </w:r>
      <w:r w:rsidRPr="001050AE">
        <w:rPr>
          <w:rFonts w:eastAsia="Times New Roman" w:cstheme="minorHAnsi"/>
          <w:sz w:val="20"/>
          <w:szCs w:val="20"/>
        </w:rPr>
        <w:t xml:space="preserve">bezpośrednio. Według </w:t>
      </w:r>
      <w:proofErr w:type="spellStart"/>
      <w:r w:rsidRPr="001050AE">
        <w:rPr>
          <w:rFonts w:eastAsia="Times New Roman" w:cstheme="minorHAnsi"/>
          <w:sz w:val="20"/>
          <w:szCs w:val="20"/>
        </w:rPr>
        <w:t>Staffing</w:t>
      </w:r>
      <w:proofErr w:type="spellEnd"/>
      <w:r w:rsidRPr="001050A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050AE">
        <w:rPr>
          <w:rFonts w:eastAsia="Times New Roman" w:cstheme="minorHAnsi"/>
          <w:sz w:val="20"/>
          <w:szCs w:val="20"/>
        </w:rPr>
        <w:t>Industry</w:t>
      </w:r>
      <w:proofErr w:type="spellEnd"/>
      <w:r w:rsidRPr="001050A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050AE">
        <w:rPr>
          <w:rFonts w:eastAsia="Times New Roman" w:cstheme="minorHAnsi"/>
          <w:sz w:val="20"/>
          <w:szCs w:val="20"/>
        </w:rPr>
        <w:t>Analysts</w:t>
      </w:r>
      <w:proofErr w:type="spellEnd"/>
      <w:r w:rsidRPr="001050AE">
        <w:rPr>
          <w:rFonts w:eastAsia="Times New Roman" w:cstheme="minorHAnsi"/>
          <w:sz w:val="20"/>
          <w:szCs w:val="20"/>
        </w:rPr>
        <w:t xml:space="preserve"> jest jedną z największych firm HR na świecie. W</w:t>
      </w:r>
      <w:r w:rsidR="00B7615B" w:rsidRPr="001050AE">
        <w:rPr>
          <w:rFonts w:eastAsia="Times New Roman" w:cstheme="minorHAnsi"/>
          <w:sz w:val="20"/>
          <w:szCs w:val="20"/>
        </w:rPr>
        <w:t> </w:t>
      </w:r>
      <w:r w:rsidRPr="001050AE">
        <w:rPr>
          <w:rFonts w:eastAsia="Times New Roman" w:cstheme="minorHAnsi"/>
          <w:sz w:val="20"/>
          <w:szCs w:val="20"/>
        </w:rPr>
        <w:t xml:space="preserve">Polsce Gi Group </w:t>
      </w:r>
      <w:r w:rsidR="00B7615B" w:rsidRPr="001050AE">
        <w:rPr>
          <w:rFonts w:eastAsia="Times New Roman" w:cstheme="minorHAnsi"/>
          <w:sz w:val="20"/>
          <w:szCs w:val="20"/>
        </w:rPr>
        <w:t xml:space="preserve">Holding </w:t>
      </w:r>
      <w:r w:rsidRPr="001050AE">
        <w:rPr>
          <w:rFonts w:eastAsia="Times New Roman" w:cstheme="minorHAnsi"/>
          <w:sz w:val="20"/>
          <w:szCs w:val="20"/>
        </w:rPr>
        <w:t xml:space="preserve">świadczy usługi w ramach czterech marek – </w:t>
      </w:r>
      <w:proofErr w:type="spellStart"/>
      <w:r w:rsidRPr="001050AE">
        <w:rPr>
          <w:rFonts w:eastAsia="Times New Roman" w:cstheme="minorHAnsi"/>
          <w:sz w:val="20"/>
          <w:szCs w:val="20"/>
        </w:rPr>
        <w:t>Gi</w:t>
      </w:r>
      <w:proofErr w:type="spellEnd"/>
      <w:r w:rsidRPr="001050A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050AE">
        <w:rPr>
          <w:rFonts w:eastAsia="Times New Roman" w:cstheme="minorHAnsi"/>
          <w:sz w:val="20"/>
          <w:szCs w:val="20"/>
        </w:rPr>
        <w:t>Group</w:t>
      </w:r>
      <w:proofErr w:type="spellEnd"/>
      <w:r w:rsidRPr="001050AE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1050AE">
        <w:rPr>
          <w:rFonts w:eastAsia="Times New Roman" w:cstheme="minorHAnsi"/>
          <w:sz w:val="20"/>
          <w:szCs w:val="20"/>
        </w:rPr>
        <w:t>Grafton</w:t>
      </w:r>
      <w:proofErr w:type="spellEnd"/>
      <w:r w:rsidRPr="001050A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1050AE">
        <w:rPr>
          <w:rFonts w:eastAsia="Times New Roman" w:cstheme="minorHAnsi"/>
          <w:sz w:val="20"/>
          <w:szCs w:val="20"/>
        </w:rPr>
        <w:t>Recruitment</w:t>
      </w:r>
      <w:proofErr w:type="spellEnd"/>
      <w:r w:rsidRPr="001050AE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1050AE">
        <w:rPr>
          <w:rFonts w:eastAsia="Times New Roman" w:cstheme="minorHAnsi"/>
          <w:sz w:val="20"/>
          <w:szCs w:val="20"/>
        </w:rPr>
        <w:t>Wyser</w:t>
      </w:r>
      <w:proofErr w:type="spellEnd"/>
      <w:r w:rsidRPr="001050AE">
        <w:rPr>
          <w:rFonts w:eastAsia="Times New Roman" w:cstheme="minorHAnsi"/>
          <w:sz w:val="20"/>
          <w:szCs w:val="20"/>
        </w:rPr>
        <w:t xml:space="preserve"> oraz Thomas International. Więcej: </w:t>
      </w:r>
      <w:r w:rsidR="00E147A3" w:rsidRPr="001050AE">
        <w:rPr>
          <w:rFonts w:eastAsia="Times New Roman" w:cstheme="minorHAnsi"/>
          <w:sz w:val="20"/>
          <w:szCs w:val="20"/>
        </w:rPr>
        <w:t>pl.gigroup.com</w:t>
      </w:r>
      <w:r w:rsidR="00A442C2" w:rsidRPr="001050AE">
        <w:rPr>
          <w:rFonts w:eastAsia="Times New Roman" w:cstheme="minorHAnsi"/>
          <w:sz w:val="20"/>
          <w:szCs w:val="20"/>
        </w:rPr>
        <w:t xml:space="preserve">.  </w:t>
      </w:r>
    </w:p>
    <w:bookmarkEnd w:id="0"/>
    <w:p w14:paraId="16492FB9" w14:textId="56723E58" w:rsidR="00174173" w:rsidRPr="005F2616" w:rsidRDefault="00174173" w:rsidP="005F2616">
      <w:pPr>
        <w:pStyle w:val="Bezodstpw"/>
        <w:spacing w:line="276" w:lineRule="auto"/>
        <w:jc w:val="both"/>
        <w:rPr>
          <w:rFonts w:eastAsia="Times New Roman" w:cstheme="minorHAnsi"/>
          <w:b/>
          <w:bCs/>
        </w:rPr>
      </w:pPr>
    </w:p>
    <w:p w14:paraId="7CDB748D" w14:textId="77777777" w:rsidR="002D2CB2" w:rsidRPr="005F2616" w:rsidRDefault="002D2CB2" w:rsidP="005F2616">
      <w:pPr>
        <w:pStyle w:val="Bezodstpw"/>
        <w:spacing w:line="276" w:lineRule="auto"/>
        <w:jc w:val="both"/>
        <w:rPr>
          <w:rFonts w:eastAsia="Times New Roman" w:cstheme="minorHAnsi"/>
          <w:b/>
          <w:bCs/>
        </w:rPr>
      </w:pPr>
    </w:p>
    <w:p w14:paraId="537FAC21" w14:textId="77777777" w:rsidR="00BD1FCC" w:rsidRDefault="00BD1FCC" w:rsidP="00BD1FCC">
      <w:pPr>
        <w:pStyle w:val="Bezodstpw"/>
        <w:spacing w:line="276" w:lineRule="auto"/>
        <w:rPr>
          <w:rFonts w:eastAsia="Times New Roman" w:cstheme="minorHAnsi"/>
          <w:b/>
          <w:bCs/>
          <w:sz w:val="20"/>
          <w:szCs w:val="20"/>
        </w:rPr>
      </w:pPr>
    </w:p>
    <w:p w14:paraId="0E150524" w14:textId="43634CA2" w:rsidR="00BD1FCC" w:rsidRDefault="00BD1FCC" w:rsidP="00BD1FCC">
      <w:pPr>
        <w:pStyle w:val="Bezodstpw"/>
        <w:spacing w:line="276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KONTAKT DLA MEDIÓW </w:t>
      </w:r>
    </w:p>
    <w:p w14:paraId="5772F9AA" w14:textId="77777777" w:rsidR="00BD1FCC" w:rsidRDefault="00BD1FCC" w:rsidP="00BD1FCC">
      <w:pPr>
        <w:pStyle w:val="Bezodstpw"/>
        <w:spacing w:line="276" w:lineRule="auto"/>
        <w:rPr>
          <w:rFonts w:eastAsia="Times New Roman" w:cstheme="minorHAnsi"/>
          <w:b/>
          <w:bCs/>
          <w:sz w:val="20"/>
          <w:szCs w:val="20"/>
        </w:rPr>
      </w:pPr>
    </w:p>
    <w:p w14:paraId="70E0C273" w14:textId="77777777" w:rsidR="00BD1FCC" w:rsidRDefault="00BD1FCC" w:rsidP="00BD1FCC">
      <w:pPr>
        <w:pStyle w:val="Bezodstpw"/>
        <w:spacing w:line="276" w:lineRule="auto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Dorota Zawadzka</w:t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</w:r>
      <w:r>
        <w:rPr>
          <w:rFonts w:eastAsia="Times New Roman" w:cstheme="minorHAnsi"/>
          <w:b/>
          <w:bCs/>
          <w:sz w:val="20"/>
          <w:szCs w:val="20"/>
        </w:rPr>
        <w:tab/>
        <w:t>Monika Gajo</w:t>
      </w:r>
    </w:p>
    <w:p w14:paraId="7990B1DB" w14:textId="27AE77A6" w:rsidR="00BD1FCC" w:rsidRPr="00BA0B88" w:rsidRDefault="00BD1FCC" w:rsidP="00BD1FCC">
      <w:pPr>
        <w:pStyle w:val="Bezodstpw"/>
        <w:spacing w:line="276" w:lineRule="auto"/>
        <w:rPr>
          <w:rFonts w:eastAsia="Times New Roman" w:cstheme="minorHAnsi"/>
          <w:sz w:val="20"/>
          <w:szCs w:val="20"/>
          <w:lang w:val="en-US"/>
        </w:rPr>
      </w:pPr>
      <w:r w:rsidRPr="00BA0B88">
        <w:rPr>
          <w:rFonts w:eastAsia="Times New Roman" w:cstheme="minorHAnsi"/>
          <w:sz w:val="20"/>
          <w:szCs w:val="20"/>
          <w:lang w:val="en-US"/>
        </w:rPr>
        <w:t xml:space="preserve">Communications Manager, </w:t>
      </w:r>
      <w:proofErr w:type="spellStart"/>
      <w:r w:rsidR="00D43A42">
        <w:rPr>
          <w:rFonts w:eastAsia="Times New Roman" w:cstheme="minorHAnsi"/>
          <w:sz w:val="20"/>
          <w:szCs w:val="20"/>
          <w:lang w:val="en-US"/>
        </w:rPr>
        <w:t>r</w:t>
      </w:r>
      <w:r w:rsidRPr="00BA0B88">
        <w:rPr>
          <w:rFonts w:eastAsia="Times New Roman" w:cstheme="minorHAnsi"/>
          <w:sz w:val="20"/>
          <w:szCs w:val="20"/>
          <w:lang w:val="en-US"/>
        </w:rPr>
        <w:t>zecznik</w:t>
      </w:r>
      <w:proofErr w:type="spellEnd"/>
      <w:r w:rsidRPr="00BA0B88">
        <w:rPr>
          <w:rFonts w:eastAsia="Times New Roman" w:cstheme="minorHAnsi"/>
          <w:sz w:val="20"/>
          <w:szCs w:val="20"/>
          <w:lang w:val="en-US"/>
        </w:rPr>
        <w:t xml:space="preserve"> </w:t>
      </w:r>
      <w:proofErr w:type="spellStart"/>
      <w:r w:rsidR="00D43A42">
        <w:rPr>
          <w:rFonts w:eastAsia="Times New Roman" w:cstheme="minorHAnsi"/>
          <w:sz w:val="20"/>
          <w:szCs w:val="20"/>
          <w:lang w:val="en-US"/>
        </w:rPr>
        <w:t>p</w:t>
      </w:r>
      <w:r w:rsidRPr="00BA0B88">
        <w:rPr>
          <w:rFonts w:eastAsia="Times New Roman" w:cstheme="minorHAnsi"/>
          <w:sz w:val="20"/>
          <w:szCs w:val="20"/>
          <w:lang w:val="en-US"/>
        </w:rPr>
        <w:t>rasow</w:t>
      </w:r>
      <w:r>
        <w:rPr>
          <w:rFonts w:eastAsia="Times New Roman" w:cstheme="minorHAnsi"/>
          <w:sz w:val="20"/>
          <w:szCs w:val="20"/>
          <w:lang w:val="en-US"/>
        </w:rPr>
        <w:t>y</w:t>
      </w:r>
      <w:proofErr w:type="spellEnd"/>
      <w:r w:rsidRPr="00BA0B88">
        <w:rPr>
          <w:rFonts w:eastAsia="Times New Roman" w:cstheme="minorHAnsi"/>
          <w:sz w:val="20"/>
          <w:szCs w:val="20"/>
          <w:lang w:val="en-US"/>
        </w:rPr>
        <w:tab/>
      </w:r>
      <w:r w:rsidRPr="00BA0B88">
        <w:rPr>
          <w:rFonts w:eastAsia="Times New Roman" w:cstheme="minorHAnsi"/>
          <w:sz w:val="20"/>
          <w:szCs w:val="20"/>
          <w:lang w:val="en-US"/>
        </w:rPr>
        <w:tab/>
      </w:r>
      <w:r w:rsidRPr="00BA0B88">
        <w:rPr>
          <w:rFonts w:eastAsia="Times New Roman" w:cstheme="minorHAnsi"/>
          <w:sz w:val="20"/>
          <w:szCs w:val="20"/>
          <w:lang w:val="en-US"/>
        </w:rPr>
        <w:tab/>
        <w:t>Senior</w:t>
      </w:r>
      <w:r>
        <w:rPr>
          <w:rFonts w:eastAsia="Times New Roman" w:cstheme="minorHAnsi"/>
          <w:sz w:val="20"/>
          <w:szCs w:val="20"/>
          <w:lang w:val="en-US"/>
        </w:rPr>
        <w:t xml:space="preserve"> Consultant </w:t>
      </w:r>
    </w:p>
    <w:p w14:paraId="3F0416F8" w14:textId="77777777" w:rsidR="00BD1FCC" w:rsidRPr="002412E2" w:rsidRDefault="00BD1FCC" w:rsidP="00BD1FCC">
      <w:pPr>
        <w:pStyle w:val="Bezodstpw"/>
        <w:spacing w:line="276" w:lineRule="auto"/>
        <w:rPr>
          <w:rFonts w:eastAsia="Times New Roman" w:cstheme="minorHAnsi"/>
          <w:sz w:val="20"/>
          <w:szCs w:val="20"/>
          <w:lang w:val="en-US"/>
        </w:rPr>
      </w:pPr>
      <w:r w:rsidRPr="002412E2">
        <w:rPr>
          <w:rFonts w:eastAsia="Times New Roman" w:cstheme="minorHAnsi"/>
          <w:sz w:val="20"/>
          <w:szCs w:val="20"/>
          <w:lang w:val="en-US"/>
        </w:rPr>
        <w:t xml:space="preserve">Gi Group w </w:t>
      </w:r>
      <w:proofErr w:type="spellStart"/>
      <w:r w:rsidRPr="002412E2">
        <w:rPr>
          <w:rFonts w:eastAsia="Times New Roman" w:cstheme="minorHAnsi"/>
          <w:sz w:val="20"/>
          <w:szCs w:val="20"/>
          <w:lang w:val="en-US"/>
        </w:rPr>
        <w:t>Polsce</w:t>
      </w:r>
      <w:proofErr w:type="spellEnd"/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  <w:t>Marketing &amp; Commun</w:t>
      </w:r>
      <w:r>
        <w:rPr>
          <w:rFonts w:eastAsia="Times New Roman" w:cstheme="minorHAnsi"/>
          <w:sz w:val="20"/>
          <w:szCs w:val="20"/>
          <w:lang w:val="en-US"/>
        </w:rPr>
        <w:t xml:space="preserve">ication Consultants </w:t>
      </w:r>
    </w:p>
    <w:p w14:paraId="1AF1FE0A" w14:textId="77777777" w:rsidR="00BD1FCC" w:rsidRPr="002412E2" w:rsidRDefault="00BD1FCC" w:rsidP="00BD1FCC">
      <w:pPr>
        <w:pStyle w:val="Bezodstpw"/>
        <w:spacing w:line="276" w:lineRule="auto"/>
        <w:rPr>
          <w:rFonts w:eastAsia="Times New Roman" w:cstheme="minorHAnsi"/>
          <w:sz w:val="20"/>
          <w:szCs w:val="20"/>
          <w:lang w:val="en-US"/>
        </w:rPr>
      </w:pPr>
      <w:r w:rsidRPr="002412E2">
        <w:rPr>
          <w:rFonts w:eastAsia="Times New Roman" w:cstheme="minorHAnsi"/>
          <w:sz w:val="20"/>
          <w:szCs w:val="20"/>
          <w:lang w:val="en-US"/>
        </w:rPr>
        <w:t>Mob.: +48 692 186 083</w:t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</w:r>
      <w:r w:rsidRPr="002412E2">
        <w:rPr>
          <w:rFonts w:eastAsia="Times New Roman" w:cstheme="minorHAnsi"/>
          <w:sz w:val="20"/>
          <w:szCs w:val="20"/>
          <w:lang w:val="en-US"/>
        </w:rPr>
        <w:tab/>
        <w:t>Mob</w:t>
      </w:r>
      <w:r>
        <w:rPr>
          <w:rFonts w:eastAsia="Times New Roman" w:cstheme="minorHAnsi"/>
          <w:sz w:val="20"/>
          <w:szCs w:val="20"/>
          <w:lang w:val="en-US"/>
        </w:rPr>
        <w:t>.: +48 662 031 031</w:t>
      </w:r>
    </w:p>
    <w:p w14:paraId="50AB8638" w14:textId="77777777" w:rsidR="00BD1FCC" w:rsidRPr="00BA0B88" w:rsidRDefault="00BD1FCC" w:rsidP="00BD1FCC">
      <w:pPr>
        <w:pStyle w:val="Bezodstpw"/>
        <w:spacing w:line="276" w:lineRule="auto"/>
        <w:rPr>
          <w:rFonts w:eastAsia="Times New Roman" w:cstheme="minorHAnsi"/>
          <w:sz w:val="20"/>
          <w:szCs w:val="20"/>
          <w:lang w:val="en-US"/>
        </w:rPr>
      </w:pPr>
      <w:r w:rsidRPr="00BA0B88">
        <w:rPr>
          <w:rFonts w:eastAsia="Times New Roman" w:cstheme="minorHAnsi"/>
          <w:sz w:val="20"/>
          <w:szCs w:val="20"/>
          <w:lang w:val="en-US"/>
        </w:rPr>
        <w:t xml:space="preserve">E-mail: </w:t>
      </w:r>
      <w:r w:rsidRPr="002412E2">
        <w:rPr>
          <w:rFonts w:eastAsia="Times New Roman" w:cstheme="minorHAnsi"/>
          <w:sz w:val="20"/>
          <w:szCs w:val="20"/>
          <w:lang w:val="en-US"/>
        </w:rPr>
        <w:t>dorota.zawadzka@gigroup.com</w:t>
      </w:r>
      <w:r>
        <w:rPr>
          <w:rFonts w:eastAsia="Times New Roman" w:cstheme="minorHAnsi"/>
          <w:sz w:val="20"/>
          <w:szCs w:val="20"/>
          <w:lang w:val="en-US"/>
        </w:rPr>
        <w:tab/>
      </w:r>
      <w:r>
        <w:rPr>
          <w:rFonts w:eastAsia="Times New Roman" w:cstheme="minorHAnsi"/>
          <w:sz w:val="20"/>
          <w:szCs w:val="20"/>
          <w:lang w:val="en-US"/>
        </w:rPr>
        <w:tab/>
      </w:r>
      <w:r>
        <w:rPr>
          <w:rFonts w:eastAsia="Times New Roman" w:cstheme="minorHAnsi"/>
          <w:sz w:val="20"/>
          <w:szCs w:val="20"/>
          <w:lang w:val="en-US"/>
        </w:rPr>
        <w:tab/>
      </w:r>
      <w:r>
        <w:rPr>
          <w:rFonts w:eastAsia="Times New Roman" w:cstheme="minorHAnsi"/>
          <w:sz w:val="20"/>
          <w:szCs w:val="20"/>
          <w:lang w:val="en-US"/>
        </w:rPr>
        <w:tab/>
        <w:t xml:space="preserve">E-mail: </w:t>
      </w:r>
      <w:r w:rsidRPr="002412E2">
        <w:rPr>
          <w:rFonts w:eastAsia="Times New Roman" w:cstheme="minorHAnsi"/>
          <w:sz w:val="20"/>
          <w:szCs w:val="20"/>
          <w:lang w:val="en-US"/>
        </w:rPr>
        <w:t>gajo@mcconsultants.pl</w:t>
      </w:r>
      <w:r>
        <w:rPr>
          <w:rFonts w:eastAsia="Times New Roman" w:cstheme="minorHAnsi"/>
          <w:sz w:val="20"/>
          <w:szCs w:val="20"/>
          <w:lang w:val="en-US"/>
        </w:rPr>
        <w:t xml:space="preserve"> </w:t>
      </w:r>
    </w:p>
    <w:p w14:paraId="48FFB20E" w14:textId="77777777" w:rsidR="00756BDB" w:rsidRPr="00BD1FCC" w:rsidRDefault="00756BDB" w:rsidP="005F2616">
      <w:pPr>
        <w:pStyle w:val="Bezodstpw"/>
        <w:spacing w:line="276" w:lineRule="auto"/>
        <w:jc w:val="both"/>
        <w:rPr>
          <w:rFonts w:eastAsia="Times New Roman" w:cstheme="minorHAnsi"/>
          <w:b/>
          <w:bCs/>
          <w:lang w:val="en-US"/>
        </w:rPr>
      </w:pPr>
    </w:p>
    <w:sectPr w:rsidR="00756BDB" w:rsidRPr="00BD1FCC" w:rsidSect="005B0192">
      <w:headerReference w:type="default" r:id="rId12"/>
      <w:pgSz w:w="11906" w:h="16838"/>
      <w:pgMar w:top="1418" w:right="1418" w:bottom="1247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17FE" w14:textId="77777777" w:rsidR="00C81652" w:rsidRDefault="00C81652" w:rsidP="00174173">
      <w:r>
        <w:separator/>
      </w:r>
    </w:p>
  </w:endnote>
  <w:endnote w:type="continuationSeparator" w:id="0">
    <w:p w14:paraId="4F6EC1E7" w14:textId="77777777" w:rsidR="00C81652" w:rsidRDefault="00C81652" w:rsidP="0017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1AE5" w14:textId="77777777" w:rsidR="00C81652" w:rsidRDefault="00C81652" w:rsidP="00174173">
      <w:r>
        <w:separator/>
      </w:r>
    </w:p>
  </w:footnote>
  <w:footnote w:type="continuationSeparator" w:id="0">
    <w:p w14:paraId="2A305718" w14:textId="77777777" w:rsidR="00C81652" w:rsidRDefault="00C81652" w:rsidP="0017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395B" w14:textId="77777777" w:rsidR="0048148D" w:rsidRPr="0048148D" w:rsidRDefault="00524E0E" w:rsidP="0048148D">
    <w:pPr>
      <w:rPr>
        <w:rFonts w:ascii="Times New Roman" w:eastAsia="Times New Roman" w:hAnsi="Times New Roman"/>
        <w:sz w:val="24"/>
        <w:szCs w:val="24"/>
        <w:lang w:eastAsia="pl-PL"/>
      </w:rPr>
    </w:pPr>
    <w:r w:rsidRPr="00615167">
      <w:rPr>
        <w:rFonts w:ascii="Arial" w:hAnsi="Arial" w:cs="Arial"/>
        <w:noProof/>
        <w:color w:val="808080" w:themeColor="background1" w:themeShade="80"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0C80A06" wp14:editId="5535611E">
          <wp:simplePos x="0" y="0"/>
          <wp:positionH relativeFrom="margin">
            <wp:posOffset>45720</wp:posOffset>
          </wp:positionH>
          <wp:positionV relativeFrom="paragraph">
            <wp:posOffset>108585</wp:posOffset>
          </wp:positionV>
          <wp:extent cx="1261110" cy="49530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 Group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48D">
      <w:rPr>
        <w:rFonts w:ascii="Times New Roman" w:eastAsia="Times New Roman" w:hAnsi="Times New Roman"/>
        <w:sz w:val="24"/>
        <w:szCs w:val="24"/>
        <w:lang w:eastAsia="pl-PL"/>
      </w:rPr>
      <w:fldChar w:fldCharType="begin"/>
    </w:r>
    <w:r>
      <w:rPr>
        <w:rFonts w:ascii="Times New Roman" w:eastAsia="Times New Roman" w:hAnsi="Times New Roman"/>
        <w:sz w:val="24"/>
        <w:szCs w:val="24"/>
        <w:lang w:eastAsia="pl-PL"/>
      </w:rPr>
      <w:instrText xml:space="preserve"> INCLUDEPICTURE "C:\\var\\folders\\7r\\v2ybtszx0fs59thxf7szv1rw0000gn\\T\\com.microsoft.Word\\WebArchiveCopyPasteTempFiles\\work.jpg" \* MERGEFORMAT </w:instrText>
    </w:r>
    <w:r w:rsidRPr="0048148D">
      <w:rPr>
        <w:rFonts w:ascii="Times New Roman" w:eastAsia="Times New Roman" w:hAnsi="Times New Roman"/>
        <w:sz w:val="24"/>
        <w:szCs w:val="24"/>
        <w:lang w:eastAsia="pl-PL"/>
      </w:rPr>
      <w:fldChar w:fldCharType="end"/>
    </w:r>
  </w:p>
  <w:p w14:paraId="05303307" w14:textId="77777777" w:rsidR="0048148D" w:rsidRPr="0048148D" w:rsidRDefault="00C81652" w:rsidP="0048148D">
    <w:pPr>
      <w:rPr>
        <w:rFonts w:ascii="Times New Roman" w:eastAsia="Times New Roman" w:hAnsi="Times New Roman"/>
        <w:sz w:val="24"/>
        <w:szCs w:val="24"/>
        <w:lang w:eastAsia="pl-PL"/>
      </w:rPr>
    </w:pPr>
  </w:p>
  <w:p w14:paraId="2522344A" w14:textId="77777777" w:rsidR="00CC08DA" w:rsidRPr="005666D4" w:rsidRDefault="00524E0E" w:rsidP="00CC08DA">
    <w:pPr>
      <w:pStyle w:val="Nagwek"/>
      <w:rPr>
        <w:rFonts w:cstheme="minorHAnsi"/>
        <w:b/>
      </w:rPr>
    </w:pPr>
    <w:r>
      <w:rPr>
        <w:rFonts w:ascii="Segoe UI" w:hAnsi="Segoe UI" w:cs="Segoe UI"/>
        <w:b/>
        <w:sz w:val="20"/>
        <w:szCs w:val="20"/>
      </w:rPr>
      <w:tab/>
    </w:r>
    <w:r>
      <w:rPr>
        <w:rFonts w:ascii="Segoe UI" w:hAnsi="Segoe UI" w:cs="Segoe UI"/>
        <w:b/>
        <w:sz w:val="20"/>
        <w:szCs w:val="20"/>
      </w:rPr>
      <w:tab/>
    </w:r>
    <w:r w:rsidRPr="005666D4">
      <w:rPr>
        <w:rFonts w:cstheme="minorHAnsi"/>
        <w:b/>
      </w:rPr>
      <w:t xml:space="preserve">Informacja prasowa            </w:t>
    </w:r>
    <w:r w:rsidRPr="005666D4">
      <w:rPr>
        <w:rFonts w:cstheme="minorHAnsi"/>
        <w:b/>
        <w:color w:val="FF0000"/>
      </w:rPr>
      <w:t xml:space="preserve">                      </w:t>
    </w:r>
  </w:p>
  <w:p w14:paraId="2C3CBCD2" w14:textId="15AE183C" w:rsidR="0048148D" w:rsidRPr="005666D4" w:rsidRDefault="00524E0E" w:rsidP="009F4991">
    <w:pPr>
      <w:pStyle w:val="Nagwek"/>
      <w:rPr>
        <w:rFonts w:cstheme="minorHAnsi"/>
        <w:bCs/>
        <w:sz w:val="24"/>
        <w:szCs w:val="24"/>
      </w:rPr>
    </w:pPr>
    <w:r w:rsidRPr="005666D4">
      <w:rPr>
        <w:rFonts w:cstheme="minorHAnsi"/>
        <w:b/>
      </w:rPr>
      <w:tab/>
    </w:r>
    <w:r w:rsidRPr="005666D4">
      <w:rPr>
        <w:rFonts w:cstheme="minorHAnsi"/>
        <w:b/>
      </w:rPr>
      <w:tab/>
    </w:r>
    <w:r w:rsidRPr="005666D4">
      <w:rPr>
        <w:rFonts w:cstheme="minorHAnsi"/>
        <w:bCs/>
      </w:rPr>
      <w:t xml:space="preserve">Warszawa, </w:t>
    </w:r>
    <w:r w:rsidR="001A03E4">
      <w:rPr>
        <w:rFonts w:cstheme="minorHAnsi"/>
        <w:bCs/>
      </w:rPr>
      <w:t>15</w:t>
    </w:r>
    <w:r w:rsidR="005F2616">
      <w:rPr>
        <w:rFonts w:cstheme="minorHAnsi"/>
        <w:bCs/>
      </w:rPr>
      <w:t xml:space="preserve"> czerwca</w:t>
    </w:r>
    <w:r w:rsidR="00174173" w:rsidRPr="005666D4">
      <w:rPr>
        <w:rFonts w:cstheme="minorHAnsi"/>
        <w:bCs/>
      </w:rPr>
      <w:t xml:space="preserve"> 2022</w:t>
    </w:r>
    <w:r w:rsidRPr="005666D4">
      <w:rPr>
        <w:rFonts w:cstheme="minorHAnsi"/>
        <w:bCs/>
      </w:rPr>
      <w:t xml:space="preserve"> roku         </w:t>
    </w:r>
  </w:p>
  <w:p w14:paraId="31249823" w14:textId="77777777" w:rsidR="00CA1EB9" w:rsidRPr="0048148D" w:rsidRDefault="00C81652" w:rsidP="008165DB">
    <w:pPr>
      <w:pStyle w:val="Nagwek"/>
      <w:rPr>
        <w:rFonts w:ascii="Arial" w:hAnsi="Arial" w:cs="Arial"/>
        <w:color w:val="808080" w:themeColor="background1" w:themeShade="80"/>
        <w:sz w:val="20"/>
      </w:rPr>
    </w:pPr>
  </w:p>
  <w:p w14:paraId="63ED3401" w14:textId="77777777" w:rsidR="00650546" w:rsidRPr="00615167" w:rsidRDefault="00C81652" w:rsidP="00615167">
    <w:pPr>
      <w:pStyle w:val="Nagwek"/>
      <w:jc w:val="right"/>
      <w:rPr>
        <w:rFonts w:ascii="Arial" w:hAnsi="Arial" w:cs="Arial"/>
        <w:color w:val="808080" w:themeColor="background1" w:themeShade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73"/>
    <w:rsid w:val="00056783"/>
    <w:rsid w:val="00060D3F"/>
    <w:rsid w:val="000610DE"/>
    <w:rsid w:val="00066B2D"/>
    <w:rsid w:val="00071DA1"/>
    <w:rsid w:val="000839E3"/>
    <w:rsid w:val="00085398"/>
    <w:rsid w:val="000864F1"/>
    <w:rsid w:val="00091EEA"/>
    <w:rsid w:val="000A697D"/>
    <w:rsid w:val="000B2330"/>
    <w:rsid w:val="000B57E4"/>
    <w:rsid w:val="000B589A"/>
    <w:rsid w:val="000C1726"/>
    <w:rsid w:val="000C2DC2"/>
    <w:rsid w:val="000C5950"/>
    <w:rsid w:val="000D3176"/>
    <w:rsid w:val="000E3661"/>
    <w:rsid w:val="000E5670"/>
    <w:rsid w:val="000F4B1C"/>
    <w:rsid w:val="00103A66"/>
    <w:rsid w:val="001050AE"/>
    <w:rsid w:val="00110F37"/>
    <w:rsid w:val="00113CBD"/>
    <w:rsid w:val="00123894"/>
    <w:rsid w:val="00130327"/>
    <w:rsid w:val="0014490C"/>
    <w:rsid w:val="001707B7"/>
    <w:rsid w:val="00174173"/>
    <w:rsid w:val="001828B9"/>
    <w:rsid w:val="0018290A"/>
    <w:rsid w:val="001901F9"/>
    <w:rsid w:val="0019377E"/>
    <w:rsid w:val="00193936"/>
    <w:rsid w:val="001960B4"/>
    <w:rsid w:val="001A03E4"/>
    <w:rsid w:val="001A7904"/>
    <w:rsid w:val="001C1690"/>
    <w:rsid w:val="001C17E0"/>
    <w:rsid w:val="001C298C"/>
    <w:rsid w:val="001C2CFD"/>
    <w:rsid w:val="001C4CD9"/>
    <w:rsid w:val="001C75A4"/>
    <w:rsid w:val="001D2BC7"/>
    <w:rsid w:val="001E6274"/>
    <w:rsid w:val="001F2992"/>
    <w:rsid w:val="001F4A5E"/>
    <w:rsid w:val="001F5C8E"/>
    <w:rsid w:val="001F6E7D"/>
    <w:rsid w:val="002015EA"/>
    <w:rsid w:val="002044C8"/>
    <w:rsid w:val="0020631D"/>
    <w:rsid w:val="00211CF2"/>
    <w:rsid w:val="00214595"/>
    <w:rsid w:val="002171D6"/>
    <w:rsid w:val="00237834"/>
    <w:rsid w:val="00241D81"/>
    <w:rsid w:val="002423BE"/>
    <w:rsid w:val="002446AF"/>
    <w:rsid w:val="002447F4"/>
    <w:rsid w:val="00246089"/>
    <w:rsid w:val="00247360"/>
    <w:rsid w:val="002660E5"/>
    <w:rsid w:val="0027566F"/>
    <w:rsid w:val="00275847"/>
    <w:rsid w:val="00277A56"/>
    <w:rsid w:val="002806F4"/>
    <w:rsid w:val="00281608"/>
    <w:rsid w:val="00281EEF"/>
    <w:rsid w:val="002828C6"/>
    <w:rsid w:val="0029214D"/>
    <w:rsid w:val="00295151"/>
    <w:rsid w:val="0029562B"/>
    <w:rsid w:val="002B2F61"/>
    <w:rsid w:val="002C0756"/>
    <w:rsid w:val="002C56B7"/>
    <w:rsid w:val="002D2CB2"/>
    <w:rsid w:val="002D32A7"/>
    <w:rsid w:val="002D4AB2"/>
    <w:rsid w:val="002E3055"/>
    <w:rsid w:val="002E4720"/>
    <w:rsid w:val="002E69A3"/>
    <w:rsid w:val="00300F46"/>
    <w:rsid w:val="00304CF0"/>
    <w:rsid w:val="003163D4"/>
    <w:rsid w:val="00316A67"/>
    <w:rsid w:val="00320FCE"/>
    <w:rsid w:val="00323585"/>
    <w:rsid w:val="00342962"/>
    <w:rsid w:val="00345BEC"/>
    <w:rsid w:val="0034624F"/>
    <w:rsid w:val="00346EBA"/>
    <w:rsid w:val="00357E96"/>
    <w:rsid w:val="00362EFA"/>
    <w:rsid w:val="00376F96"/>
    <w:rsid w:val="00390CAD"/>
    <w:rsid w:val="003A21A8"/>
    <w:rsid w:val="003B0725"/>
    <w:rsid w:val="003B22AF"/>
    <w:rsid w:val="003E2BEA"/>
    <w:rsid w:val="003E7B4F"/>
    <w:rsid w:val="003F34D4"/>
    <w:rsid w:val="00400E04"/>
    <w:rsid w:val="00402ED7"/>
    <w:rsid w:val="00404315"/>
    <w:rsid w:val="00423375"/>
    <w:rsid w:val="00447B4A"/>
    <w:rsid w:val="00460181"/>
    <w:rsid w:val="00485FA8"/>
    <w:rsid w:val="004C6BB5"/>
    <w:rsid w:val="004D16CC"/>
    <w:rsid w:val="004D71B4"/>
    <w:rsid w:val="004E1F67"/>
    <w:rsid w:val="00502AD6"/>
    <w:rsid w:val="005126EB"/>
    <w:rsid w:val="00515389"/>
    <w:rsid w:val="00524E0E"/>
    <w:rsid w:val="005253F3"/>
    <w:rsid w:val="00533779"/>
    <w:rsid w:val="005342F8"/>
    <w:rsid w:val="00552DD2"/>
    <w:rsid w:val="005609E2"/>
    <w:rsid w:val="005666D4"/>
    <w:rsid w:val="00570D9A"/>
    <w:rsid w:val="005722AB"/>
    <w:rsid w:val="005907A8"/>
    <w:rsid w:val="005A35D4"/>
    <w:rsid w:val="005C36B2"/>
    <w:rsid w:val="005C50FE"/>
    <w:rsid w:val="005D086D"/>
    <w:rsid w:val="005E2A6B"/>
    <w:rsid w:val="005F2616"/>
    <w:rsid w:val="00643B15"/>
    <w:rsid w:val="00655D4B"/>
    <w:rsid w:val="006560B8"/>
    <w:rsid w:val="006571D7"/>
    <w:rsid w:val="00661893"/>
    <w:rsid w:val="0066345A"/>
    <w:rsid w:val="0067150F"/>
    <w:rsid w:val="00673C47"/>
    <w:rsid w:val="00676F53"/>
    <w:rsid w:val="00677D5E"/>
    <w:rsid w:val="00685903"/>
    <w:rsid w:val="00690520"/>
    <w:rsid w:val="006B76F1"/>
    <w:rsid w:val="006C0FE3"/>
    <w:rsid w:val="006C7FE8"/>
    <w:rsid w:val="006E0D61"/>
    <w:rsid w:val="006E4DEA"/>
    <w:rsid w:val="006F6296"/>
    <w:rsid w:val="006F7E75"/>
    <w:rsid w:val="0070202F"/>
    <w:rsid w:val="00702636"/>
    <w:rsid w:val="00702785"/>
    <w:rsid w:val="007030EA"/>
    <w:rsid w:val="0072354F"/>
    <w:rsid w:val="0072657B"/>
    <w:rsid w:val="007269D3"/>
    <w:rsid w:val="007343B1"/>
    <w:rsid w:val="00736DC4"/>
    <w:rsid w:val="007538DB"/>
    <w:rsid w:val="00756BDB"/>
    <w:rsid w:val="007712E5"/>
    <w:rsid w:val="0078100A"/>
    <w:rsid w:val="00782C03"/>
    <w:rsid w:val="007A5B15"/>
    <w:rsid w:val="007B5E84"/>
    <w:rsid w:val="007C2A7C"/>
    <w:rsid w:val="007D3E8B"/>
    <w:rsid w:val="007D643D"/>
    <w:rsid w:val="007D74B9"/>
    <w:rsid w:val="007E422D"/>
    <w:rsid w:val="007F38A7"/>
    <w:rsid w:val="008032EB"/>
    <w:rsid w:val="0080477D"/>
    <w:rsid w:val="008265A5"/>
    <w:rsid w:val="00841260"/>
    <w:rsid w:val="008472E2"/>
    <w:rsid w:val="00860F4A"/>
    <w:rsid w:val="0087376E"/>
    <w:rsid w:val="008758E5"/>
    <w:rsid w:val="00881282"/>
    <w:rsid w:val="00896454"/>
    <w:rsid w:val="0089763B"/>
    <w:rsid w:val="008A215A"/>
    <w:rsid w:val="008B0200"/>
    <w:rsid w:val="008B1FFC"/>
    <w:rsid w:val="008B59EE"/>
    <w:rsid w:val="008C1C37"/>
    <w:rsid w:val="008D05A8"/>
    <w:rsid w:val="008E44DF"/>
    <w:rsid w:val="008E6FD4"/>
    <w:rsid w:val="008F4A36"/>
    <w:rsid w:val="00902C27"/>
    <w:rsid w:val="009042E4"/>
    <w:rsid w:val="0091779F"/>
    <w:rsid w:val="0092593A"/>
    <w:rsid w:val="00926AFF"/>
    <w:rsid w:val="0093239C"/>
    <w:rsid w:val="009328D6"/>
    <w:rsid w:val="009364F3"/>
    <w:rsid w:val="00936526"/>
    <w:rsid w:val="00966FB1"/>
    <w:rsid w:val="0096774E"/>
    <w:rsid w:val="00971665"/>
    <w:rsid w:val="00971A1B"/>
    <w:rsid w:val="009726D9"/>
    <w:rsid w:val="00977293"/>
    <w:rsid w:val="009C08D6"/>
    <w:rsid w:val="009D0665"/>
    <w:rsid w:val="00A31C85"/>
    <w:rsid w:val="00A442C2"/>
    <w:rsid w:val="00A450A7"/>
    <w:rsid w:val="00A72310"/>
    <w:rsid w:val="00A75066"/>
    <w:rsid w:val="00A8041B"/>
    <w:rsid w:val="00A80A9D"/>
    <w:rsid w:val="00A85BE0"/>
    <w:rsid w:val="00A8781C"/>
    <w:rsid w:val="00A92AA7"/>
    <w:rsid w:val="00A95634"/>
    <w:rsid w:val="00AA46A7"/>
    <w:rsid w:val="00AA59D2"/>
    <w:rsid w:val="00AC70D7"/>
    <w:rsid w:val="00AD723D"/>
    <w:rsid w:val="00AD729C"/>
    <w:rsid w:val="00AD781F"/>
    <w:rsid w:val="00AF3A04"/>
    <w:rsid w:val="00AF7BF3"/>
    <w:rsid w:val="00B04586"/>
    <w:rsid w:val="00B053BD"/>
    <w:rsid w:val="00B24FBF"/>
    <w:rsid w:val="00B33D4A"/>
    <w:rsid w:val="00B56834"/>
    <w:rsid w:val="00B643A7"/>
    <w:rsid w:val="00B70AEC"/>
    <w:rsid w:val="00B7615B"/>
    <w:rsid w:val="00B77632"/>
    <w:rsid w:val="00B86E55"/>
    <w:rsid w:val="00BB34FA"/>
    <w:rsid w:val="00BD1FCC"/>
    <w:rsid w:val="00BD4BBF"/>
    <w:rsid w:val="00BD577B"/>
    <w:rsid w:val="00BD7498"/>
    <w:rsid w:val="00BE119D"/>
    <w:rsid w:val="00BF01D3"/>
    <w:rsid w:val="00C25675"/>
    <w:rsid w:val="00C31857"/>
    <w:rsid w:val="00C40B1E"/>
    <w:rsid w:val="00C414D0"/>
    <w:rsid w:val="00C52BFD"/>
    <w:rsid w:val="00C55EAD"/>
    <w:rsid w:val="00C717A5"/>
    <w:rsid w:val="00C81652"/>
    <w:rsid w:val="00C920CD"/>
    <w:rsid w:val="00C94955"/>
    <w:rsid w:val="00C97C71"/>
    <w:rsid w:val="00CA1A72"/>
    <w:rsid w:val="00CA51BF"/>
    <w:rsid w:val="00CB528F"/>
    <w:rsid w:val="00CC5C60"/>
    <w:rsid w:val="00CD138B"/>
    <w:rsid w:val="00CD5A95"/>
    <w:rsid w:val="00CD770E"/>
    <w:rsid w:val="00CE5BBD"/>
    <w:rsid w:val="00CF0570"/>
    <w:rsid w:val="00CF56F1"/>
    <w:rsid w:val="00CF5CD4"/>
    <w:rsid w:val="00CF7A85"/>
    <w:rsid w:val="00D10DA6"/>
    <w:rsid w:val="00D1534D"/>
    <w:rsid w:val="00D20976"/>
    <w:rsid w:val="00D23BC8"/>
    <w:rsid w:val="00D2431E"/>
    <w:rsid w:val="00D37AE3"/>
    <w:rsid w:val="00D43A42"/>
    <w:rsid w:val="00D63628"/>
    <w:rsid w:val="00D65DA4"/>
    <w:rsid w:val="00D660F4"/>
    <w:rsid w:val="00D667C8"/>
    <w:rsid w:val="00D670EC"/>
    <w:rsid w:val="00D95CA1"/>
    <w:rsid w:val="00DA1E4D"/>
    <w:rsid w:val="00DA2A16"/>
    <w:rsid w:val="00DA7F7F"/>
    <w:rsid w:val="00DB6B91"/>
    <w:rsid w:val="00DD547B"/>
    <w:rsid w:val="00DD5D73"/>
    <w:rsid w:val="00DF2A3F"/>
    <w:rsid w:val="00E121FD"/>
    <w:rsid w:val="00E147A3"/>
    <w:rsid w:val="00E22D51"/>
    <w:rsid w:val="00E23B0E"/>
    <w:rsid w:val="00E512F1"/>
    <w:rsid w:val="00E67479"/>
    <w:rsid w:val="00E80A62"/>
    <w:rsid w:val="00E83F13"/>
    <w:rsid w:val="00E85FC4"/>
    <w:rsid w:val="00E92AD9"/>
    <w:rsid w:val="00EA6977"/>
    <w:rsid w:val="00EB4142"/>
    <w:rsid w:val="00EC79A9"/>
    <w:rsid w:val="00ED09E3"/>
    <w:rsid w:val="00ED2A32"/>
    <w:rsid w:val="00ED7B29"/>
    <w:rsid w:val="00EF2854"/>
    <w:rsid w:val="00EF615D"/>
    <w:rsid w:val="00F03FCD"/>
    <w:rsid w:val="00F0566E"/>
    <w:rsid w:val="00F20A0E"/>
    <w:rsid w:val="00F40BC0"/>
    <w:rsid w:val="00F4628D"/>
    <w:rsid w:val="00F52B33"/>
    <w:rsid w:val="00F532F1"/>
    <w:rsid w:val="00F66F87"/>
    <w:rsid w:val="00F709A2"/>
    <w:rsid w:val="00F729A7"/>
    <w:rsid w:val="00F738D7"/>
    <w:rsid w:val="00F824D2"/>
    <w:rsid w:val="00F86C8A"/>
    <w:rsid w:val="00F903D3"/>
    <w:rsid w:val="00F90D25"/>
    <w:rsid w:val="00FA2B7A"/>
    <w:rsid w:val="00FA6807"/>
    <w:rsid w:val="00FA6FC0"/>
    <w:rsid w:val="00FB5005"/>
    <w:rsid w:val="00FB5057"/>
    <w:rsid w:val="00FC5832"/>
    <w:rsid w:val="00FF4352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88B"/>
  <w15:chartTrackingRefBased/>
  <w15:docId w15:val="{7F95F9BE-9CF7-4723-B434-BFA068D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1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4173"/>
  </w:style>
  <w:style w:type="character" w:styleId="Hipercze">
    <w:name w:val="Hyperlink"/>
    <w:uiPriority w:val="99"/>
    <w:unhideWhenUsed/>
    <w:rsid w:val="00174173"/>
    <w:rPr>
      <w:color w:val="0000FF"/>
      <w:u w:val="single"/>
    </w:rPr>
  </w:style>
  <w:style w:type="paragraph" w:styleId="Bezodstpw">
    <w:name w:val="No Spacing"/>
    <w:uiPriority w:val="1"/>
    <w:qFormat/>
    <w:rsid w:val="0017417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74173"/>
    <w:rPr>
      <w:b/>
      <w:bCs/>
    </w:rPr>
  </w:style>
  <w:style w:type="paragraph" w:styleId="NormalnyWeb">
    <w:name w:val="Normal (Web)"/>
    <w:basedOn w:val="Normalny"/>
    <w:uiPriority w:val="99"/>
    <w:unhideWhenUsed/>
    <w:rsid w:val="001741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ternetlink">
    <w:name w:val="Internet link"/>
    <w:rsid w:val="0017417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4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17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7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4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41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4173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5A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5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CD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2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147A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D77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</dc:creator>
  <cp:keywords/>
  <dc:description/>
  <cp:lastModifiedBy>Monika Gajo</cp:lastModifiedBy>
  <cp:revision>6</cp:revision>
  <dcterms:created xsi:type="dcterms:W3CDTF">2022-06-15T06:50:00Z</dcterms:created>
  <dcterms:modified xsi:type="dcterms:W3CDTF">2022-06-15T07:02:00Z</dcterms:modified>
</cp:coreProperties>
</file>