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7BBC" w14:textId="6520620C" w:rsidR="00714012" w:rsidRDefault="0099718C" w:rsidP="00714012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25-lecie Dolnośląskiej Szkoły Wyższej</w:t>
      </w:r>
      <w:r w:rsidR="00FE1939">
        <w:rPr>
          <w:b/>
          <w:bCs/>
          <w:sz w:val="28"/>
          <w:szCs w:val="28"/>
        </w:rPr>
        <w:t xml:space="preserve"> we Wrocławiu</w:t>
      </w:r>
    </w:p>
    <w:p w14:paraId="7D78FB9D" w14:textId="5D768ED7" w:rsidR="00C35C1E" w:rsidRPr="00520AED" w:rsidRDefault="00C35C1E" w:rsidP="00BF19A4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czerwcu jubileusz świętuje Dolnośląska Szkoła Wyższa we Wrocławiu. Licząca sobie już 25 lat uczelnia przechodzi swój renesans, rekrutując</w:t>
      </w:r>
      <w:r w:rsidR="00B442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coraz więcej studentów. Od 1</w:t>
      </w:r>
      <w:r w:rsidR="00216A33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lat DSW zajmuje również pierwsze miejsce wśród dolnośląskich uczelni niepublicznych</w:t>
      </w:r>
      <w:r w:rsidRPr="002B69B6">
        <w:rPr>
          <w:b/>
          <w:bCs/>
          <w:sz w:val="24"/>
          <w:szCs w:val="24"/>
          <w:vertAlign w:val="superscript"/>
        </w:rPr>
        <w:t>*</w:t>
      </w:r>
      <w:r>
        <w:rPr>
          <w:b/>
          <w:bCs/>
          <w:sz w:val="24"/>
          <w:szCs w:val="24"/>
        </w:rPr>
        <w:t>.</w:t>
      </w:r>
    </w:p>
    <w:p w14:paraId="7C449F18" w14:textId="1E8A6294" w:rsidR="00455F60" w:rsidRDefault="0008252E" w:rsidP="00BF19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25 lat we Wrocławiu działa Dolnośląska Szkoła Wyższa</w:t>
      </w:r>
      <w:r w:rsidR="0029304D">
        <w:rPr>
          <w:sz w:val="24"/>
          <w:szCs w:val="24"/>
        </w:rPr>
        <w:t>, uczelnia akademicka, która</w:t>
      </w:r>
      <w:r>
        <w:rPr>
          <w:sz w:val="24"/>
          <w:szCs w:val="24"/>
        </w:rPr>
        <w:t xml:space="preserve"> kształci studentów</w:t>
      </w:r>
      <w:r w:rsidR="0029304D">
        <w:rPr>
          <w:sz w:val="24"/>
          <w:szCs w:val="24"/>
        </w:rPr>
        <w:t xml:space="preserve">, doktorantów </w:t>
      </w:r>
      <w:r>
        <w:rPr>
          <w:sz w:val="24"/>
          <w:szCs w:val="24"/>
        </w:rPr>
        <w:t xml:space="preserve">i </w:t>
      </w:r>
      <w:r w:rsidR="00533E53">
        <w:rPr>
          <w:sz w:val="24"/>
          <w:szCs w:val="24"/>
        </w:rPr>
        <w:t>uczestników</w:t>
      </w:r>
      <w:r>
        <w:rPr>
          <w:sz w:val="24"/>
          <w:szCs w:val="24"/>
        </w:rPr>
        <w:t xml:space="preserve"> </w:t>
      </w:r>
      <w:r w:rsidR="0029304D">
        <w:rPr>
          <w:sz w:val="24"/>
          <w:szCs w:val="24"/>
        </w:rPr>
        <w:t>studiów podyplomowych</w:t>
      </w:r>
      <w:r w:rsidR="00A656A5">
        <w:rPr>
          <w:sz w:val="24"/>
          <w:szCs w:val="24"/>
        </w:rPr>
        <w:t>,</w:t>
      </w:r>
      <w:r w:rsidR="00520AED">
        <w:rPr>
          <w:sz w:val="24"/>
          <w:szCs w:val="24"/>
        </w:rPr>
        <w:t xml:space="preserve"> </w:t>
      </w:r>
      <w:r w:rsidR="00A656A5">
        <w:rPr>
          <w:sz w:val="24"/>
          <w:szCs w:val="24"/>
        </w:rPr>
        <w:t>Dolnośląskiego Uniwersytetu Trzeciego Wieku i Uniwersytetu Dziecięcego</w:t>
      </w:r>
      <w:r>
        <w:rPr>
          <w:sz w:val="24"/>
          <w:szCs w:val="24"/>
        </w:rPr>
        <w:t>.</w:t>
      </w:r>
    </w:p>
    <w:p w14:paraId="3DF48C8D" w14:textId="0729D356" w:rsidR="00844325" w:rsidRPr="00060A01" w:rsidRDefault="00060A01" w:rsidP="00BF19A4">
      <w:pPr>
        <w:spacing w:line="276" w:lineRule="auto"/>
        <w:jc w:val="both"/>
        <w:rPr>
          <w:b/>
          <w:bCs/>
          <w:sz w:val="24"/>
          <w:szCs w:val="24"/>
        </w:rPr>
      </w:pPr>
      <w:r w:rsidRPr="00060A01">
        <w:rPr>
          <w:b/>
          <w:bCs/>
          <w:sz w:val="24"/>
          <w:szCs w:val="24"/>
        </w:rPr>
        <w:t>Nr 1 na Dolnym Śląsku</w:t>
      </w:r>
      <w:r w:rsidR="00B128AE" w:rsidRPr="00B128AE">
        <w:rPr>
          <w:b/>
          <w:bCs/>
          <w:sz w:val="24"/>
          <w:szCs w:val="24"/>
          <w:vertAlign w:val="superscript"/>
        </w:rPr>
        <w:t>*</w:t>
      </w:r>
    </w:p>
    <w:p w14:paraId="78750277" w14:textId="343607BD" w:rsidR="00C372CA" w:rsidRDefault="00042931" w:rsidP="00BF19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Historia DSW rozpoczyna się w 1997.  R</w:t>
      </w:r>
      <w:r w:rsidR="001F1A94" w:rsidRPr="001F1A94">
        <w:rPr>
          <w:sz w:val="24"/>
          <w:szCs w:val="24"/>
        </w:rPr>
        <w:t xml:space="preserve">egionalny </w:t>
      </w:r>
      <w:r>
        <w:rPr>
          <w:sz w:val="24"/>
          <w:szCs w:val="24"/>
        </w:rPr>
        <w:t>O</w:t>
      </w:r>
      <w:r w:rsidR="001F1A94" w:rsidRPr="001F1A94">
        <w:rPr>
          <w:sz w:val="24"/>
          <w:szCs w:val="24"/>
        </w:rPr>
        <w:t xml:space="preserve">ddział </w:t>
      </w:r>
      <w:r w:rsidR="001F1A94">
        <w:rPr>
          <w:sz w:val="24"/>
          <w:szCs w:val="24"/>
        </w:rPr>
        <w:t>T</w:t>
      </w:r>
      <w:r w:rsidR="001F1A94" w:rsidRPr="001F1A94">
        <w:rPr>
          <w:sz w:val="24"/>
          <w:szCs w:val="24"/>
        </w:rPr>
        <w:t>owarzystwa Wiedzy Powszechnej we Wrocławiu</w:t>
      </w:r>
      <w:r>
        <w:rPr>
          <w:sz w:val="24"/>
          <w:szCs w:val="24"/>
        </w:rPr>
        <w:t xml:space="preserve">  </w:t>
      </w:r>
      <w:r w:rsidR="001F1A94" w:rsidRPr="001F1A94">
        <w:rPr>
          <w:sz w:val="24"/>
          <w:szCs w:val="24"/>
        </w:rPr>
        <w:t xml:space="preserve">wspólnie z grupą wrocławskich naukowców </w:t>
      </w:r>
      <w:r w:rsidR="0029304D">
        <w:rPr>
          <w:sz w:val="24"/>
          <w:szCs w:val="24"/>
        </w:rPr>
        <w:t xml:space="preserve">powołał </w:t>
      </w:r>
      <w:r w:rsidR="001F1A94" w:rsidRPr="001F1A94">
        <w:rPr>
          <w:sz w:val="24"/>
          <w:szCs w:val="24"/>
        </w:rPr>
        <w:t xml:space="preserve"> Dolnośląską </w:t>
      </w:r>
      <w:r w:rsidR="001F1A94">
        <w:rPr>
          <w:sz w:val="24"/>
          <w:szCs w:val="24"/>
        </w:rPr>
        <w:t>S</w:t>
      </w:r>
      <w:r w:rsidR="001F1A94" w:rsidRPr="001F1A94">
        <w:rPr>
          <w:sz w:val="24"/>
          <w:szCs w:val="24"/>
        </w:rPr>
        <w:t xml:space="preserve">zkołę Wyższą </w:t>
      </w:r>
      <w:r w:rsidR="001F1A94">
        <w:rPr>
          <w:sz w:val="24"/>
          <w:szCs w:val="24"/>
        </w:rPr>
        <w:t>E</w:t>
      </w:r>
      <w:r w:rsidR="001F1A94" w:rsidRPr="001F1A94">
        <w:rPr>
          <w:sz w:val="24"/>
          <w:szCs w:val="24"/>
        </w:rPr>
        <w:t xml:space="preserve">dukacji </w:t>
      </w:r>
      <w:r w:rsidR="001F1A94">
        <w:rPr>
          <w:sz w:val="24"/>
          <w:szCs w:val="24"/>
        </w:rPr>
        <w:t>T</w:t>
      </w:r>
      <w:r w:rsidR="001F1A94" w:rsidRPr="001F1A94">
        <w:rPr>
          <w:sz w:val="24"/>
          <w:szCs w:val="24"/>
        </w:rPr>
        <w:t>WP</w:t>
      </w:r>
      <w:r w:rsidR="00662408">
        <w:rPr>
          <w:sz w:val="24"/>
          <w:szCs w:val="24"/>
        </w:rPr>
        <w:t xml:space="preserve">, a </w:t>
      </w:r>
      <w:r w:rsidR="00935790">
        <w:rPr>
          <w:sz w:val="24"/>
          <w:szCs w:val="24"/>
        </w:rPr>
        <w:t>r</w:t>
      </w:r>
      <w:r w:rsidR="00662408">
        <w:rPr>
          <w:sz w:val="24"/>
          <w:szCs w:val="24"/>
        </w:rPr>
        <w:t xml:space="preserve">ektorem </w:t>
      </w:r>
      <w:r w:rsidR="00935790">
        <w:rPr>
          <w:sz w:val="24"/>
          <w:szCs w:val="24"/>
        </w:rPr>
        <w:t>u</w:t>
      </w:r>
      <w:r w:rsidR="00662408">
        <w:rPr>
          <w:sz w:val="24"/>
          <w:szCs w:val="24"/>
        </w:rPr>
        <w:t xml:space="preserve">czelni został profesor Robert Kwaśnica. </w:t>
      </w:r>
      <w:r w:rsidR="00F445E3">
        <w:rPr>
          <w:sz w:val="24"/>
          <w:szCs w:val="24"/>
        </w:rPr>
        <w:t>Pierwsze kierunki studiów to pedagogika i pedagogika specjalna.</w:t>
      </w:r>
      <w:r>
        <w:rPr>
          <w:sz w:val="24"/>
          <w:szCs w:val="24"/>
        </w:rPr>
        <w:t xml:space="preserve"> </w:t>
      </w:r>
      <w:r w:rsidR="00B72373">
        <w:rPr>
          <w:sz w:val="24"/>
          <w:szCs w:val="24"/>
        </w:rPr>
        <w:t>Uczelnia</w:t>
      </w:r>
      <w:r w:rsidR="00624BF4">
        <w:rPr>
          <w:sz w:val="24"/>
          <w:szCs w:val="24"/>
        </w:rPr>
        <w:t xml:space="preserve"> </w:t>
      </w:r>
      <w:r w:rsidR="00B72373">
        <w:rPr>
          <w:sz w:val="24"/>
          <w:szCs w:val="24"/>
        </w:rPr>
        <w:t>o</w:t>
      </w:r>
      <w:r w:rsidR="00C372CA">
        <w:rPr>
          <w:sz w:val="24"/>
          <w:szCs w:val="24"/>
        </w:rPr>
        <w:t>d 17 lat w rankingu „Perspektyw”</w:t>
      </w:r>
      <w:r w:rsidR="004A3CBC">
        <w:rPr>
          <w:sz w:val="24"/>
          <w:szCs w:val="24"/>
        </w:rPr>
        <w:t xml:space="preserve"> </w:t>
      </w:r>
      <w:r w:rsidR="00C372CA">
        <w:rPr>
          <w:sz w:val="24"/>
          <w:szCs w:val="24"/>
        </w:rPr>
        <w:t xml:space="preserve">znajduje się w czołówce </w:t>
      </w:r>
      <w:r w:rsidR="00354722">
        <w:rPr>
          <w:sz w:val="24"/>
          <w:szCs w:val="24"/>
        </w:rPr>
        <w:t xml:space="preserve">polskich </w:t>
      </w:r>
      <w:r w:rsidR="00C372CA">
        <w:rPr>
          <w:sz w:val="24"/>
          <w:szCs w:val="24"/>
        </w:rPr>
        <w:t>szkół niepublicznych</w:t>
      </w:r>
      <w:r w:rsidR="002B73D9">
        <w:rPr>
          <w:sz w:val="24"/>
          <w:szCs w:val="24"/>
        </w:rPr>
        <w:t xml:space="preserve"> – w pierwszej dziesiątce w skali Polski oraz na 1. miejscu na Dolnym Śląsku.</w:t>
      </w:r>
    </w:p>
    <w:p w14:paraId="4D35CA5F" w14:textId="2F3E615C" w:rsidR="00B128AE" w:rsidRPr="00B128AE" w:rsidRDefault="00B128AE" w:rsidP="00BF19A4">
      <w:pPr>
        <w:spacing w:line="276" w:lineRule="auto"/>
        <w:jc w:val="both"/>
        <w:rPr>
          <w:b/>
          <w:bCs/>
          <w:sz w:val="24"/>
          <w:szCs w:val="24"/>
        </w:rPr>
      </w:pPr>
      <w:r w:rsidRPr="00B128AE">
        <w:rPr>
          <w:b/>
          <w:bCs/>
          <w:sz w:val="24"/>
          <w:szCs w:val="24"/>
        </w:rPr>
        <w:t>Ponad 30.000 absolwentów</w:t>
      </w:r>
    </w:p>
    <w:p w14:paraId="3CF0E389" w14:textId="171EEC1D" w:rsidR="00DC2E5C" w:rsidRDefault="001F1A94" w:rsidP="00BF19A4">
      <w:pPr>
        <w:spacing w:line="276" w:lineRule="auto"/>
        <w:jc w:val="both"/>
        <w:rPr>
          <w:sz w:val="24"/>
          <w:szCs w:val="24"/>
        </w:rPr>
      </w:pPr>
      <w:r w:rsidRPr="001F1A94">
        <w:rPr>
          <w:sz w:val="24"/>
          <w:szCs w:val="24"/>
        </w:rPr>
        <w:t>Obecnie D</w:t>
      </w:r>
      <w:r w:rsidR="00624BF4">
        <w:rPr>
          <w:sz w:val="24"/>
          <w:szCs w:val="24"/>
        </w:rPr>
        <w:t>S</w:t>
      </w:r>
      <w:r w:rsidRPr="001F1A94">
        <w:rPr>
          <w:sz w:val="24"/>
          <w:szCs w:val="24"/>
        </w:rPr>
        <w:t>W jest prężnie rozwijającym się ośrodkiem o ugruntowanej pozycji akademickiej i edukacyjnej w obszarze szkolnictwa wyższego</w:t>
      </w:r>
      <w:r w:rsidR="00662408">
        <w:rPr>
          <w:sz w:val="24"/>
          <w:szCs w:val="24"/>
        </w:rPr>
        <w:t>. Posiada</w:t>
      </w:r>
      <w:r w:rsidR="00DC2E5C">
        <w:rPr>
          <w:sz w:val="24"/>
          <w:szCs w:val="24"/>
        </w:rPr>
        <w:t xml:space="preserve"> </w:t>
      </w:r>
      <w:r w:rsidR="00B128AE">
        <w:rPr>
          <w:sz w:val="24"/>
          <w:szCs w:val="24"/>
        </w:rPr>
        <w:t>ponad 30.000</w:t>
      </w:r>
      <w:r w:rsidR="00DC2E5C">
        <w:rPr>
          <w:sz w:val="24"/>
          <w:szCs w:val="24"/>
        </w:rPr>
        <w:t xml:space="preserve"> </w:t>
      </w:r>
      <w:r w:rsidR="00662408">
        <w:rPr>
          <w:sz w:val="24"/>
          <w:szCs w:val="24"/>
        </w:rPr>
        <w:t>absolwentów, a w 2022 roku liczb</w:t>
      </w:r>
      <w:r w:rsidR="00FB6A62">
        <w:rPr>
          <w:sz w:val="24"/>
          <w:szCs w:val="24"/>
        </w:rPr>
        <w:t xml:space="preserve">a studentów i uczestników studiów podyplomowych przekroczyła </w:t>
      </w:r>
      <w:r w:rsidR="00424944">
        <w:rPr>
          <w:sz w:val="24"/>
          <w:szCs w:val="24"/>
        </w:rPr>
        <w:t>7000.</w:t>
      </w:r>
      <w:r w:rsidR="00F445E3">
        <w:rPr>
          <w:sz w:val="24"/>
          <w:szCs w:val="24"/>
        </w:rPr>
        <w:t xml:space="preserve"> </w:t>
      </w:r>
      <w:r w:rsidR="00354722">
        <w:rPr>
          <w:sz w:val="24"/>
          <w:szCs w:val="24"/>
        </w:rPr>
        <w:t xml:space="preserve">W ofercie edukacyjnej DSW znajduje się </w:t>
      </w:r>
      <w:r w:rsidR="002E2E29">
        <w:rPr>
          <w:sz w:val="24"/>
          <w:szCs w:val="24"/>
        </w:rPr>
        <w:t>27</w:t>
      </w:r>
      <w:r w:rsidR="00354722">
        <w:rPr>
          <w:sz w:val="24"/>
          <w:szCs w:val="24"/>
        </w:rPr>
        <w:t xml:space="preserve"> kierunków studiów licencjackich, </w:t>
      </w:r>
      <w:r w:rsidR="008F0070">
        <w:rPr>
          <w:sz w:val="24"/>
          <w:szCs w:val="24"/>
        </w:rPr>
        <w:t>II stopnia</w:t>
      </w:r>
      <w:r w:rsidR="00354722">
        <w:rPr>
          <w:sz w:val="24"/>
          <w:szCs w:val="24"/>
        </w:rPr>
        <w:t>, jednolitych magisterskich oraz ponad 90 kierunków studiów podyplomowych</w:t>
      </w:r>
      <w:r w:rsidR="002E2E29">
        <w:rPr>
          <w:sz w:val="24"/>
          <w:szCs w:val="24"/>
        </w:rPr>
        <w:t xml:space="preserve"> w </w:t>
      </w:r>
      <w:r w:rsidR="005966AC">
        <w:rPr>
          <w:sz w:val="24"/>
          <w:szCs w:val="24"/>
        </w:rPr>
        <w:t>dziedzinie nauk społecznych, technicznych i nauk o zdrowiu</w:t>
      </w:r>
      <w:r w:rsidR="00354722">
        <w:rPr>
          <w:sz w:val="24"/>
          <w:szCs w:val="24"/>
        </w:rPr>
        <w:t>.</w:t>
      </w:r>
      <w:r w:rsidR="00707BE2">
        <w:rPr>
          <w:sz w:val="24"/>
          <w:szCs w:val="24"/>
        </w:rPr>
        <w:t xml:space="preserve"> </w:t>
      </w:r>
      <w:r w:rsidR="00707BE2">
        <w:rPr>
          <w:sz w:val="24"/>
          <w:szCs w:val="24"/>
        </w:rPr>
        <w:t xml:space="preserve">Wśród nauczanych dziedzin znajdują się m.in. pedagogika, psychologia, bezpieczeństwo wewnętrzne, administracja, </w:t>
      </w:r>
      <w:proofErr w:type="spellStart"/>
      <w:r w:rsidR="00707BE2">
        <w:rPr>
          <w:sz w:val="24"/>
          <w:szCs w:val="24"/>
        </w:rPr>
        <w:t>human</w:t>
      </w:r>
      <w:proofErr w:type="spellEnd"/>
      <w:r w:rsidR="00707BE2">
        <w:rPr>
          <w:sz w:val="24"/>
          <w:szCs w:val="24"/>
        </w:rPr>
        <w:t xml:space="preserve"> </w:t>
      </w:r>
      <w:proofErr w:type="spellStart"/>
      <w:r w:rsidR="00707BE2">
        <w:rPr>
          <w:sz w:val="24"/>
          <w:szCs w:val="24"/>
        </w:rPr>
        <w:t>resources</w:t>
      </w:r>
      <w:proofErr w:type="spellEnd"/>
      <w:r w:rsidR="00707BE2">
        <w:rPr>
          <w:sz w:val="24"/>
          <w:szCs w:val="24"/>
        </w:rPr>
        <w:t>, dziennikarstwo, geodezja, dietetyka, kosmetologia, zarządzanie, informatyka oraz projektowanie gier video.</w:t>
      </w:r>
    </w:p>
    <w:p w14:paraId="2F5F460B" w14:textId="3513C471" w:rsidR="00B128AE" w:rsidRPr="007232FD" w:rsidRDefault="006860DD" w:rsidP="00BF19A4">
      <w:pPr>
        <w:spacing w:line="276" w:lineRule="auto"/>
        <w:jc w:val="both"/>
        <w:rPr>
          <w:b/>
          <w:bCs/>
          <w:sz w:val="24"/>
          <w:szCs w:val="24"/>
        </w:rPr>
      </w:pPr>
      <w:r w:rsidRPr="007232FD">
        <w:rPr>
          <w:b/>
          <w:bCs/>
          <w:sz w:val="24"/>
          <w:szCs w:val="24"/>
        </w:rPr>
        <w:t>Działalność naukowa</w:t>
      </w:r>
    </w:p>
    <w:p w14:paraId="1210231F" w14:textId="50E90984" w:rsidR="00171ECF" w:rsidRDefault="005C09F2" w:rsidP="00BF19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DSW jest sygnatariuszem Karty Społecznej Odpowiedzialności Uczelni i </w:t>
      </w:r>
      <w:proofErr w:type="spellStart"/>
      <w:r>
        <w:rPr>
          <w:sz w:val="24"/>
          <w:szCs w:val="24"/>
        </w:rPr>
        <w:t>Magna</w:t>
      </w:r>
      <w:proofErr w:type="spellEnd"/>
      <w:r>
        <w:rPr>
          <w:sz w:val="24"/>
          <w:szCs w:val="24"/>
        </w:rPr>
        <w:t xml:space="preserve"> Charta </w:t>
      </w:r>
      <w:proofErr w:type="spellStart"/>
      <w:r>
        <w:rPr>
          <w:sz w:val="24"/>
          <w:szCs w:val="24"/>
        </w:rPr>
        <w:t>Universitate</w:t>
      </w:r>
      <w:proofErr w:type="spellEnd"/>
      <w:r w:rsidR="00E87130">
        <w:rPr>
          <w:sz w:val="24"/>
          <w:szCs w:val="24"/>
        </w:rPr>
        <w:t xml:space="preserve">. </w:t>
      </w:r>
      <w:r>
        <w:rPr>
          <w:sz w:val="24"/>
          <w:szCs w:val="24"/>
        </w:rPr>
        <w:t>Studenci DSW otrzymują prestiżowe nagrody</w:t>
      </w:r>
      <w:r w:rsidR="00DC2E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konkursach </w:t>
      </w:r>
      <w:r w:rsidR="001B4B84">
        <w:rPr>
          <w:sz w:val="24"/>
          <w:szCs w:val="24"/>
        </w:rPr>
        <w:t xml:space="preserve">Wrocławskiego Centrum Akademickiego, uczestniczą w pracach R+D na rzecz lokalnych pracodawców i społeczności. </w:t>
      </w:r>
      <w:r w:rsidR="007D1931">
        <w:rPr>
          <w:sz w:val="24"/>
          <w:szCs w:val="24"/>
        </w:rPr>
        <w:t xml:space="preserve">Uczelnia </w:t>
      </w:r>
      <w:r w:rsidR="004A6167">
        <w:rPr>
          <w:sz w:val="24"/>
          <w:szCs w:val="24"/>
        </w:rPr>
        <w:t>jest wydawcą</w:t>
      </w:r>
      <w:r w:rsidR="007D1931">
        <w:rPr>
          <w:sz w:val="24"/>
          <w:szCs w:val="24"/>
        </w:rPr>
        <w:t xml:space="preserve"> czter</w:t>
      </w:r>
      <w:r w:rsidR="004A6167">
        <w:rPr>
          <w:sz w:val="24"/>
          <w:szCs w:val="24"/>
        </w:rPr>
        <w:t>ech</w:t>
      </w:r>
      <w:r w:rsidR="007D1931">
        <w:rPr>
          <w:sz w:val="24"/>
          <w:szCs w:val="24"/>
        </w:rPr>
        <w:t xml:space="preserve"> czasopism naukow</w:t>
      </w:r>
      <w:r w:rsidR="004A6167">
        <w:rPr>
          <w:sz w:val="24"/>
          <w:szCs w:val="24"/>
        </w:rPr>
        <w:t xml:space="preserve">ych, prowadzi </w:t>
      </w:r>
      <w:r w:rsidR="007D1931">
        <w:rPr>
          <w:sz w:val="24"/>
          <w:szCs w:val="24"/>
        </w:rPr>
        <w:t>wydawnictwo</w:t>
      </w:r>
      <w:r w:rsidR="004A6167">
        <w:rPr>
          <w:sz w:val="24"/>
          <w:szCs w:val="24"/>
        </w:rPr>
        <w:t>,</w:t>
      </w:r>
      <w:r w:rsidR="00FB6A62">
        <w:rPr>
          <w:sz w:val="24"/>
          <w:szCs w:val="24"/>
        </w:rPr>
        <w:t xml:space="preserve"> jest również</w:t>
      </w:r>
      <w:r w:rsidR="004A6167">
        <w:rPr>
          <w:sz w:val="24"/>
          <w:szCs w:val="24"/>
        </w:rPr>
        <w:t xml:space="preserve"> liderem i partnerem konsorcjów badawczych finansowanych z NCN, </w:t>
      </w:r>
      <w:proofErr w:type="spellStart"/>
      <w:r w:rsidR="004A6167">
        <w:rPr>
          <w:sz w:val="24"/>
          <w:szCs w:val="24"/>
        </w:rPr>
        <w:t>NCBiR</w:t>
      </w:r>
      <w:proofErr w:type="spellEnd"/>
      <w:r w:rsidR="004A6167">
        <w:rPr>
          <w:sz w:val="24"/>
          <w:szCs w:val="24"/>
        </w:rPr>
        <w:t>, Funduszy Norweskich i FRSE oraz od lat uczestniczy w programach wymiany akademickiej Erasmus+.</w:t>
      </w:r>
    </w:p>
    <w:p w14:paraId="78AD5438" w14:textId="0B1E2552" w:rsidR="00844325" w:rsidRDefault="00844325" w:rsidP="00BF19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Roczne obchody jubileuszu Uczelnia rozpoczyna w czerwcu 2022 roku. Program wydarzeń obejmuje otwarte wydarzenia artystyczne, spotkania naukowe, seminaria i konferencje oraz szkolenia kompetencyjne i warsztaty organizowane dla mieszkańców Dolnego Śląska przez studentów i pracowników DSW.</w:t>
      </w:r>
    </w:p>
    <w:p w14:paraId="36AB2291" w14:textId="44B701D6" w:rsidR="002B69B6" w:rsidRPr="002B69B6" w:rsidRDefault="00A7377A" w:rsidP="00670F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Więcej </w:t>
      </w:r>
      <w:r w:rsidR="00C23420">
        <w:rPr>
          <w:sz w:val="24"/>
          <w:szCs w:val="24"/>
        </w:rPr>
        <w:t>o Dolnośląskiej Szkole Wyższej i jubileuszu przeczytać można</w:t>
      </w:r>
      <w:r>
        <w:rPr>
          <w:sz w:val="24"/>
          <w:szCs w:val="24"/>
        </w:rPr>
        <w:t xml:space="preserve"> na stronie internetowej </w:t>
      </w:r>
      <w:hyperlink r:id="rId8" w:history="1">
        <w:r w:rsidRPr="004F2E0E">
          <w:rPr>
            <w:rStyle w:val="Hipercze"/>
            <w:sz w:val="24"/>
            <w:szCs w:val="24"/>
          </w:rPr>
          <w:t>www.dsw.edu.pl</w:t>
        </w:r>
      </w:hyperlink>
    </w:p>
    <w:p w14:paraId="16A0293C" w14:textId="20406B98" w:rsidR="002B69B6" w:rsidRPr="00420D8A" w:rsidRDefault="002B69B6" w:rsidP="002B69B6">
      <w:pPr>
        <w:rPr>
          <w:sz w:val="20"/>
          <w:szCs w:val="20"/>
        </w:rPr>
      </w:pPr>
      <w:r w:rsidRPr="00420D8A">
        <w:rPr>
          <w:sz w:val="20"/>
          <w:szCs w:val="20"/>
        </w:rPr>
        <w:t xml:space="preserve">*według rankingu </w:t>
      </w:r>
      <w:r w:rsidR="00420D8A" w:rsidRPr="00420D8A">
        <w:rPr>
          <w:sz w:val="20"/>
          <w:szCs w:val="20"/>
        </w:rPr>
        <w:t>„Perspektyw”, 202</w:t>
      </w:r>
      <w:r w:rsidR="009F0FEF">
        <w:rPr>
          <w:sz w:val="20"/>
          <w:szCs w:val="20"/>
        </w:rPr>
        <w:t>2</w:t>
      </w:r>
    </w:p>
    <w:sectPr w:rsidR="002B69B6" w:rsidRPr="00420D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35D2" w14:textId="77777777" w:rsidR="003E3F2C" w:rsidRDefault="003E3F2C" w:rsidP="008D03B8">
      <w:pPr>
        <w:spacing w:after="0" w:line="240" w:lineRule="auto"/>
      </w:pPr>
      <w:r>
        <w:separator/>
      </w:r>
    </w:p>
  </w:endnote>
  <w:endnote w:type="continuationSeparator" w:id="0">
    <w:p w14:paraId="39F40783" w14:textId="77777777" w:rsidR="003E3F2C" w:rsidRDefault="003E3F2C" w:rsidP="008D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4DD4" w14:textId="77777777" w:rsidR="00444454" w:rsidRDefault="00444454" w:rsidP="00336EAF">
    <w:pPr>
      <w:pStyle w:val="Stopka"/>
      <w:rPr>
        <w:b/>
        <w:bCs/>
      </w:rPr>
    </w:pPr>
  </w:p>
  <w:p w14:paraId="76A1CEC2" w14:textId="7192D3B9" w:rsidR="00336EAF" w:rsidRPr="00BB5DC3" w:rsidRDefault="00336EAF" w:rsidP="00336EAF">
    <w:pPr>
      <w:pStyle w:val="Stopka"/>
      <w:rPr>
        <w:b/>
        <w:bCs/>
      </w:rPr>
    </w:pPr>
    <w:r w:rsidRPr="00BB5DC3">
      <w:rPr>
        <w:b/>
        <w:bCs/>
      </w:rPr>
      <w:t>Dane kontaktowe:</w:t>
    </w:r>
  </w:p>
  <w:p w14:paraId="3885E6A8" w14:textId="77777777" w:rsidR="00336EAF" w:rsidRDefault="00336EAF" w:rsidP="00336EAF">
    <w:pPr>
      <w:pStyle w:val="Stopka"/>
    </w:pPr>
    <w:r>
      <w:t>Magdalena Brzęczek, Specjalista ds. PR i mediów społecznościowych</w:t>
    </w:r>
  </w:p>
  <w:p w14:paraId="0EABB7E7" w14:textId="6A897295" w:rsidR="001E336D" w:rsidRDefault="003E3F2C">
    <w:pPr>
      <w:pStyle w:val="Stopka"/>
    </w:pPr>
    <w:hyperlink r:id="rId1" w:history="1">
      <w:r w:rsidR="00336EAF" w:rsidRPr="00163728">
        <w:rPr>
          <w:rStyle w:val="Hipercze"/>
        </w:rPr>
        <w:t>magdalena.brzeczek@dsw.edu.pl</w:t>
      </w:r>
    </w:hyperlink>
    <w:r w:rsidR="00336EAF">
      <w:t xml:space="preserve">; </w:t>
    </w:r>
    <w:r w:rsidR="00336EAF" w:rsidRPr="00BB5DC3">
      <w:t>539 992</w:t>
    </w:r>
    <w:r w:rsidR="00336EAF">
      <w:t> </w:t>
    </w:r>
    <w:r w:rsidR="00336EAF" w:rsidRPr="00BB5DC3">
      <w:t>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D94E" w14:textId="77777777" w:rsidR="003E3F2C" w:rsidRDefault="003E3F2C" w:rsidP="008D03B8">
      <w:pPr>
        <w:spacing w:after="0" w:line="240" w:lineRule="auto"/>
      </w:pPr>
      <w:r>
        <w:separator/>
      </w:r>
    </w:p>
  </w:footnote>
  <w:footnote w:type="continuationSeparator" w:id="0">
    <w:p w14:paraId="71811939" w14:textId="77777777" w:rsidR="003E3F2C" w:rsidRDefault="003E3F2C" w:rsidP="008D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0007" w14:textId="0F12D548" w:rsidR="001E336D" w:rsidRDefault="00AC0F0E" w:rsidP="001E336D">
    <w:pPr>
      <w:pStyle w:val="Nagwek"/>
    </w:pPr>
    <w:r>
      <w:rPr>
        <w:noProof/>
      </w:rPr>
      <w:drawing>
        <wp:inline distT="0" distB="0" distL="0" distR="0" wp14:anchorId="1FF5A675" wp14:editId="1EDC2816">
          <wp:extent cx="3110887" cy="5767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794" cy="58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5BC0B" w14:textId="77777777" w:rsidR="001E336D" w:rsidRDefault="001E336D" w:rsidP="001E336D">
    <w:pPr>
      <w:pStyle w:val="Nagwek"/>
    </w:pPr>
  </w:p>
  <w:p w14:paraId="137E65AE" w14:textId="2B7A0745" w:rsidR="00EA0E39" w:rsidRDefault="002C04F7">
    <w:pPr>
      <w:pStyle w:val="Nagwek"/>
    </w:pPr>
    <w:r>
      <w:t>czerwiec</w:t>
    </w:r>
    <w:r w:rsidR="00E27BB4">
      <w:t xml:space="preserve"> 2022</w:t>
    </w:r>
  </w:p>
  <w:p w14:paraId="3ADD5A6A" w14:textId="77777777" w:rsidR="00E27BB4" w:rsidRDefault="00E27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0F9"/>
    <w:multiLevelType w:val="hybridMultilevel"/>
    <w:tmpl w:val="9FCE094A"/>
    <w:lvl w:ilvl="0" w:tplc="A6AA52D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B5"/>
    <w:rsid w:val="000119F7"/>
    <w:rsid w:val="00042931"/>
    <w:rsid w:val="00057C68"/>
    <w:rsid w:val="00060A01"/>
    <w:rsid w:val="00070D70"/>
    <w:rsid w:val="000743F5"/>
    <w:rsid w:val="0008252E"/>
    <w:rsid w:val="000C7DAC"/>
    <w:rsid w:val="000D7E7F"/>
    <w:rsid w:val="000E24A3"/>
    <w:rsid w:val="000E29E8"/>
    <w:rsid w:val="0010739D"/>
    <w:rsid w:val="00113248"/>
    <w:rsid w:val="00120C0B"/>
    <w:rsid w:val="00145068"/>
    <w:rsid w:val="00171ECF"/>
    <w:rsid w:val="00193BD5"/>
    <w:rsid w:val="001971C7"/>
    <w:rsid w:val="001B4B84"/>
    <w:rsid w:val="001D0A8A"/>
    <w:rsid w:val="001E336D"/>
    <w:rsid w:val="001F1A94"/>
    <w:rsid w:val="001F1F3C"/>
    <w:rsid w:val="00216A33"/>
    <w:rsid w:val="00233F56"/>
    <w:rsid w:val="00266BD6"/>
    <w:rsid w:val="0027272D"/>
    <w:rsid w:val="002923E5"/>
    <w:rsid w:val="0029304D"/>
    <w:rsid w:val="002B543F"/>
    <w:rsid w:val="002B69B6"/>
    <w:rsid w:val="002B73D9"/>
    <w:rsid w:val="002C04F7"/>
    <w:rsid w:val="002E2E29"/>
    <w:rsid w:val="00336EAF"/>
    <w:rsid w:val="00354722"/>
    <w:rsid w:val="00367496"/>
    <w:rsid w:val="00393162"/>
    <w:rsid w:val="003E3F2C"/>
    <w:rsid w:val="003F0AE0"/>
    <w:rsid w:val="003F554E"/>
    <w:rsid w:val="00420D8A"/>
    <w:rsid w:val="00424944"/>
    <w:rsid w:val="00424AED"/>
    <w:rsid w:val="0042596A"/>
    <w:rsid w:val="00444454"/>
    <w:rsid w:val="00455F60"/>
    <w:rsid w:val="00456919"/>
    <w:rsid w:val="004574BA"/>
    <w:rsid w:val="004A18F4"/>
    <w:rsid w:val="004A3CBC"/>
    <w:rsid w:val="004A6167"/>
    <w:rsid w:val="005135D3"/>
    <w:rsid w:val="00517BFA"/>
    <w:rsid w:val="00520AED"/>
    <w:rsid w:val="00533E53"/>
    <w:rsid w:val="00565E0D"/>
    <w:rsid w:val="005966AC"/>
    <w:rsid w:val="005C09F2"/>
    <w:rsid w:val="005D3906"/>
    <w:rsid w:val="005D6F60"/>
    <w:rsid w:val="005E01E8"/>
    <w:rsid w:val="005F1E9E"/>
    <w:rsid w:val="005F3C20"/>
    <w:rsid w:val="00624BF4"/>
    <w:rsid w:val="0065162E"/>
    <w:rsid w:val="00662408"/>
    <w:rsid w:val="00670FEE"/>
    <w:rsid w:val="006860DD"/>
    <w:rsid w:val="006862A6"/>
    <w:rsid w:val="00702658"/>
    <w:rsid w:val="00707BE2"/>
    <w:rsid w:val="007115C9"/>
    <w:rsid w:val="00714012"/>
    <w:rsid w:val="007175B5"/>
    <w:rsid w:val="007232FD"/>
    <w:rsid w:val="00775BD6"/>
    <w:rsid w:val="007C5B6E"/>
    <w:rsid w:val="007C6013"/>
    <w:rsid w:val="007D1931"/>
    <w:rsid w:val="007F1976"/>
    <w:rsid w:val="00826C01"/>
    <w:rsid w:val="00836F98"/>
    <w:rsid w:val="00844325"/>
    <w:rsid w:val="0086626A"/>
    <w:rsid w:val="008B05AB"/>
    <w:rsid w:val="008B5F35"/>
    <w:rsid w:val="008C53DE"/>
    <w:rsid w:val="008D03B8"/>
    <w:rsid w:val="008E508E"/>
    <w:rsid w:val="008F0070"/>
    <w:rsid w:val="00935790"/>
    <w:rsid w:val="00953BD4"/>
    <w:rsid w:val="0099718C"/>
    <w:rsid w:val="009F0FEF"/>
    <w:rsid w:val="009F2DC1"/>
    <w:rsid w:val="00A17378"/>
    <w:rsid w:val="00A515CF"/>
    <w:rsid w:val="00A656A5"/>
    <w:rsid w:val="00A7377A"/>
    <w:rsid w:val="00A74C49"/>
    <w:rsid w:val="00A95283"/>
    <w:rsid w:val="00A97A73"/>
    <w:rsid w:val="00AC0F0E"/>
    <w:rsid w:val="00B128AE"/>
    <w:rsid w:val="00B1609A"/>
    <w:rsid w:val="00B44200"/>
    <w:rsid w:val="00B72373"/>
    <w:rsid w:val="00B92096"/>
    <w:rsid w:val="00BE20B1"/>
    <w:rsid w:val="00BF19A4"/>
    <w:rsid w:val="00C14E1B"/>
    <w:rsid w:val="00C23420"/>
    <w:rsid w:val="00C35C1E"/>
    <w:rsid w:val="00C372CA"/>
    <w:rsid w:val="00C51480"/>
    <w:rsid w:val="00C92C1A"/>
    <w:rsid w:val="00CF2AE5"/>
    <w:rsid w:val="00CF3BD5"/>
    <w:rsid w:val="00D00E10"/>
    <w:rsid w:val="00D611C0"/>
    <w:rsid w:val="00D67356"/>
    <w:rsid w:val="00D75B10"/>
    <w:rsid w:val="00D93039"/>
    <w:rsid w:val="00DC2E5C"/>
    <w:rsid w:val="00DD1868"/>
    <w:rsid w:val="00DE38D3"/>
    <w:rsid w:val="00E21766"/>
    <w:rsid w:val="00E27BB4"/>
    <w:rsid w:val="00E57D13"/>
    <w:rsid w:val="00E72110"/>
    <w:rsid w:val="00E761B0"/>
    <w:rsid w:val="00E87130"/>
    <w:rsid w:val="00EA0E39"/>
    <w:rsid w:val="00EA7067"/>
    <w:rsid w:val="00EF61E4"/>
    <w:rsid w:val="00F0384E"/>
    <w:rsid w:val="00F05C27"/>
    <w:rsid w:val="00F445E3"/>
    <w:rsid w:val="00F47DCD"/>
    <w:rsid w:val="00F82DA3"/>
    <w:rsid w:val="00F9486A"/>
    <w:rsid w:val="00FB6A62"/>
    <w:rsid w:val="00FE1939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15C8E"/>
  <w15:chartTrackingRefBased/>
  <w15:docId w15:val="{0662F1BE-7287-450C-ADFB-0F1B826B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39"/>
  </w:style>
  <w:style w:type="paragraph" w:styleId="Stopka">
    <w:name w:val="footer"/>
    <w:basedOn w:val="Normalny"/>
    <w:link w:val="StopkaZnak"/>
    <w:uiPriority w:val="99"/>
    <w:unhideWhenUsed/>
    <w:rsid w:val="00EA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39"/>
  </w:style>
  <w:style w:type="character" w:styleId="Hipercze">
    <w:name w:val="Hyperlink"/>
    <w:basedOn w:val="Domylnaczcionkaakapitu"/>
    <w:uiPriority w:val="99"/>
    <w:unhideWhenUsed/>
    <w:rsid w:val="00336E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7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69B6"/>
    <w:pPr>
      <w:ind w:left="720"/>
      <w:contextualSpacing/>
    </w:pPr>
  </w:style>
  <w:style w:type="paragraph" w:styleId="Poprawka">
    <w:name w:val="Revision"/>
    <w:hidden/>
    <w:uiPriority w:val="99"/>
    <w:semiHidden/>
    <w:rsid w:val="009F0FE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2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2E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2E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lena.brzeczek@ds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066F-ECC0-4EF2-A7E1-E26FE6AF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Rajba</dc:creator>
  <cp:keywords/>
  <dc:description/>
  <cp:lastModifiedBy>Magdalena Brzęczek</cp:lastModifiedBy>
  <cp:revision>23</cp:revision>
  <dcterms:created xsi:type="dcterms:W3CDTF">2022-06-24T06:32:00Z</dcterms:created>
  <dcterms:modified xsi:type="dcterms:W3CDTF">2022-06-24T09:03:00Z</dcterms:modified>
</cp:coreProperties>
</file>