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6433" w14:textId="3AFA4A14" w:rsidR="005130F5" w:rsidRPr="00F9524F" w:rsidRDefault="005130F5" w:rsidP="005130F5">
      <w:pPr>
        <w:jc w:val="center"/>
        <w:rPr>
          <w:rFonts w:ascii="Arial" w:hAnsi="Arial" w:cs="Arial"/>
          <w:i/>
          <w:color w:val="000000"/>
          <w:szCs w:val="34"/>
          <w:u w:val="single"/>
        </w:rPr>
      </w:pPr>
      <w:r w:rsidRPr="00F9524F">
        <w:rPr>
          <w:rFonts w:ascii="Arial" w:hAnsi="Arial" w:cs="Arial"/>
          <w:i/>
          <w:color w:val="000000"/>
          <w:szCs w:val="34"/>
          <w:u w:val="single"/>
        </w:rPr>
        <w:t>De acordo com o ‘Energy Trends’ Report da NTT DATA</w:t>
      </w:r>
    </w:p>
    <w:p w14:paraId="0BF552EE" w14:textId="22395CFF" w:rsidR="005130F5" w:rsidRPr="00F9524F" w:rsidRDefault="005130F5" w:rsidP="00463687">
      <w:pPr>
        <w:pStyle w:val="PargrafodaLista"/>
        <w:spacing w:after="0" w:line="240" w:lineRule="auto"/>
        <w:ind w:hanging="992"/>
        <w:jc w:val="center"/>
        <w:rPr>
          <w:rFonts w:ascii="Arial" w:hAnsi="Arial" w:cs="Arial"/>
          <w:b/>
          <w:bCs/>
          <w:sz w:val="32"/>
          <w:szCs w:val="32"/>
        </w:rPr>
      </w:pPr>
      <w:r w:rsidRPr="00F9524F">
        <w:rPr>
          <w:rFonts w:ascii="Arial" w:hAnsi="Arial" w:cs="Arial"/>
          <w:b/>
          <w:bCs/>
          <w:sz w:val="32"/>
          <w:szCs w:val="32"/>
        </w:rPr>
        <w:t>Se</w:t>
      </w:r>
      <w:r w:rsidR="00524006">
        <w:rPr>
          <w:rFonts w:ascii="Arial" w:hAnsi="Arial" w:cs="Arial"/>
          <w:b/>
          <w:bCs/>
          <w:sz w:val="32"/>
          <w:szCs w:val="32"/>
        </w:rPr>
        <w:t>c</w:t>
      </w:r>
      <w:r w:rsidRPr="00F9524F">
        <w:rPr>
          <w:rFonts w:ascii="Arial" w:hAnsi="Arial" w:cs="Arial"/>
          <w:b/>
          <w:bCs/>
          <w:sz w:val="32"/>
          <w:szCs w:val="32"/>
        </w:rPr>
        <w:t xml:space="preserve">tor Energético investiu 6 mil milhões de euros em </w:t>
      </w:r>
      <w:r w:rsidRPr="00F9524F">
        <w:rPr>
          <w:rFonts w:ascii="Arial" w:hAnsi="Arial" w:cs="Arial"/>
          <w:b/>
          <w:bCs/>
          <w:i/>
          <w:iCs/>
          <w:sz w:val="32"/>
          <w:szCs w:val="32"/>
        </w:rPr>
        <w:t>startups</w:t>
      </w:r>
      <w:r w:rsidRPr="00F9524F">
        <w:rPr>
          <w:rFonts w:ascii="Arial" w:hAnsi="Arial" w:cs="Arial"/>
          <w:b/>
          <w:bCs/>
          <w:sz w:val="32"/>
          <w:szCs w:val="32"/>
        </w:rPr>
        <w:t xml:space="preserve"> tecnológicas</w:t>
      </w:r>
    </w:p>
    <w:p w14:paraId="481F2FB7" w14:textId="6F766D9F" w:rsidR="005130F5" w:rsidRPr="00F9524F" w:rsidRDefault="005130F5" w:rsidP="005130F5">
      <w:pPr>
        <w:spacing w:after="0" w:line="240" w:lineRule="auto"/>
        <w:ind w:right="565"/>
        <w:jc w:val="both"/>
        <w:rPr>
          <w:rFonts w:ascii="Arial" w:hAnsi="Arial" w:cs="Arial"/>
          <w:bCs/>
          <w:i/>
          <w:iCs/>
          <w:szCs w:val="24"/>
          <w:shd w:val="clear" w:color="auto" w:fill="FFFFFF"/>
        </w:rPr>
      </w:pPr>
      <w:bookmarkStart w:id="0" w:name="_Hlk99380206"/>
    </w:p>
    <w:p w14:paraId="63BBE5F5" w14:textId="0DB16C25" w:rsidR="005130F5" w:rsidRPr="00F9524F" w:rsidRDefault="005130F5" w:rsidP="00A34B29">
      <w:pPr>
        <w:pStyle w:val="PargrafodaLista"/>
        <w:spacing w:after="0" w:line="240" w:lineRule="auto"/>
        <w:ind w:right="565" w:hanging="11"/>
        <w:jc w:val="both"/>
        <w:rPr>
          <w:rFonts w:ascii="Arial" w:hAnsi="Arial" w:cs="Arial"/>
          <w:bCs/>
          <w:i/>
          <w:iCs/>
          <w:szCs w:val="24"/>
          <w:shd w:val="clear" w:color="auto" w:fill="FFFFFF"/>
        </w:rPr>
      </w:pPr>
      <w:r w:rsidRPr="00F9524F">
        <w:rPr>
          <w:rFonts w:ascii="Arial" w:hAnsi="Arial" w:cs="Arial"/>
          <w:bCs/>
          <w:i/>
          <w:iCs/>
          <w:szCs w:val="24"/>
          <w:shd w:val="clear" w:color="auto" w:fill="FFFFFF"/>
        </w:rPr>
        <w:t>Para este estudo foram analisados os investimentos das 33 maiores empresas do se</w:t>
      </w:r>
      <w:r w:rsidR="00524006">
        <w:rPr>
          <w:rFonts w:ascii="Arial" w:hAnsi="Arial" w:cs="Arial"/>
          <w:bCs/>
          <w:i/>
          <w:iCs/>
          <w:szCs w:val="24"/>
          <w:shd w:val="clear" w:color="auto" w:fill="FFFFFF"/>
        </w:rPr>
        <w:t>c</w:t>
      </w:r>
      <w:r w:rsidRPr="00F9524F">
        <w:rPr>
          <w:rFonts w:ascii="Arial" w:hAnsi="Arial" w:cs="Arial"/>
          <w:bCs/>
          <w:i/>
          <w:iCs/>
          <w:szCs w:val="24"/>
          <w:shd w:val="clear" w:color="auto" w:fill="FFFFFF"/>
        </w:rPr>
        <w:t>tor energético por volume de negócios de 2018 a 2020. O relatório, elaborado pela NTT DATA, revela que o número destes investimentos tem crescido a uma taxa anual de 17% desde 2008.</w:t>
      </w:r>
    </w:p>
    <w:p w14:paraId="409A319F" w14:textId="4F06CA3B" w:rsidR="00D2294F" w:rsidRPr="00F9524F" w:rsidRDefault="00D2294F" w:rsidP="005A0086">
      <w:pPr>
        <w:spacing w:after="0" w:line="240" w:lineRule="auto"/>
        <w:jc w:val="both"/>
        <w:rPr>
          <w:rFonts w:ascii="Arial" w:hAnsi="Arial" w:cs="Arial"/>
          <w:bCs/>
          <w:i/>
          <w:iCs/>
          <w:szCs w:val="24"/>
          <w:shd w:val="clear" w:color="auto" w:fill="FFFFFF"/>
        </w:rPr>
      </w:pPr>
    </w:p>
    <w:bookmarkEnd w:id="0"/>
    <w:p w14:paraId="1A5BA876" w14:textId="05CBC962" w:rsidR="00130D8D" w:rsidRPr="00F9524F" w:rsidRDefault="00130D8D" w:rsidP="00130D8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558D2742" w14:textId="644A6667" w:rsidR="00A34B29" w:rsidRPr="00F9524F" w:rsidRDefault="00A34B29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b/>
          <w:bCs/>
          <w:shd w:val="clear" w:color="auto" w:fill="FFFFFF"/>
        </w:rPr>
        <w:t xml:space="preserve">Lisboa, </w:t>
      </w:r>
      <w:r w:rsidR="007C1858">
        <w:rPr>
          <w:rFonts w:ascii="Arial" w:hAnsi="Arial" w:cs="Arial"/>
          <w:b/>
          <w:bCs/>
          <w:shd w:val="clear" w:color="auto" w:fill="FFFFFF"/>
        </w:rPr>
        <w:t>06</w:t>
      </w:r>
      <w:r w:rsidRPr="00F9524F">
        <w:rPr>
          <w:rFonts w:ascii="Arial" w:hAnsi="Arial" w:cs="Arial"/>
          <w:b/>
          <w:bCs/>
          <w:shd w:val="clear" w:color="auto" w:fill="FFFFFF"/>
        </w:rPr>
        <w:t xml:space="preserve"> de </w:t>
      </w:r>
      <w:r w:rsidR="007C1858">
        <w:rPr>
          <w:rFonts w:ascii="Arial" w:hAnsi="Arial" w:cs="Arial"/>
          <w:b/>
          <w:bCs/>
          <w:shd w:val="clear" w:color="auto" w:fill="FFFFFF"/>
        </w:rPr>
        <w:t>julho</w:t>
      </w:r>
      <w:r w:rsidRPr="00F9524F">
        <w:rPr>
          <w:rFonts w:ascii="Arial" w:hAnsi="Arial" w:cs="Arial"/>
          <w:b/>
          <w:bCs/>
          <w:shd w:val="clear" w:color="auto" w:fill="FFFFFF"/>
        </w:rPr>
        <w:t xml:space="preserve"> de 2022 – </w:t>
      </w:r>
      <w:r w:rsidRPr="00F9524F">
        <w:rPr>
          <w:rFonts w:ascii="Arial" w:hAnsi="Arial" w:cs="Arial"/>
          <w:shd w:val="clear" w:color="auto" w:fill="FFFFFF"/>
        </w:rPr>
        <w:t xml:space="preserve">A </w:t>
      </w:r>
      <w:r w:rsidR="00350345" w:rsidRPr="00F9524F">
        <w:rPr>
          <w:rFonts w:ascii="Arial" w:hAnsi="Arial" w:cs="Arial"/>
          <w:shd w:val="clear" w:color="auto" w:fill="FFFFFF"/>
        </w:rPr>
        <w:t xml:space="preserve">NTT DATA, </w:t>
      </w:r>
      <w:r w:rsidRPr="00F9524F">
        <w:rPr>
          <w:rFonts w:ascii="Arial" w:hAnsi="Arial" w:cs="Arial"/>
          <w:shd w:val="clear" w:color="auto" w:fill="FFFFFF"/>
        </w:rPr>
        <w:t xml:space="preserve">consultora global de negócios e tecnologia, que reinventa e transforma as organizações pela inovação, acaba de apresentar o "Energy Trends" Report, que analisou o investimento dos fundos de capital de risco das empresas em </w:t>
      </w:r>
      <w:r w:rsidRPr="0C098DCC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 no se</w:t>
      </w:r>
      <w:r w:rsidR="00524006">
        <w:rPr>
          <w:rFonts w:ascii="Arial" w:hAnsi="Arial" w:cs="Arial"/>
          <w:shd w:val="clear" w:color="auto" w:fill="FFFFFF"/>
        </w:rPr>
        <w:t>c</w:t>
      </w:r>
      <w:r w:rsidRPr="00F9524F">
        <w:rPr>
          <w:rFonts w:ascii="Arial" w:hAnsi="Arial" w:cs="Arial"/>
          <w:shd w:val="clear" w:color="auto" w:fill="FFFFFF"/>
        </w:rPr>
        <w:t xml:space="preserve">tor energético. Estes investimentos </w:t>
      </w:r>
      <w:r w:rsidR="00150100" w:rsidRPr="0C098DCC">
        <w:rPr>
          <w:rFonts w:ascii="Arial" w:hAnsi="Arial" w:cs="Arial"/>
        </w:rPr>
        <w:t>revelam o</w:t>
      </w:r>
      <w:r w:rsidRPr="00F9524F">
        <w:rPr>
          <w:rFonts w:ascii="Arial" w:hAnsi="Arial" w:cs="Arial"/>
          <w:shd w:val="clear" w:color="auto" w:fill="FFFFFF"/>
        </w:rPr>
        <w:t xml:space="preserve"> empenho das grandes empresas do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Pr="00F9524F">
        <w:rPr>
          <w:rFonts w:ascii="Arial" w:hAnsi="Arial" w:cs="Arial"/>
          <w:shd w:val="clear" w:color="auto" w:fill="FFFFFF"/>
        </w:rPr>
        <w:t>em tecnologias inovadoras e representaram um volume de negócios total de 5,98 mil milhões de euros entre 2018 e 2020.</w:t>
      </w:r>
    </w:p>
    <w:p w14:paraId="75692195" w14:textId="5D3A50BB" w:rsidR="00BC2979" w:rsidRPr="00F9524F" w:rsidRDefault="00BC2979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0CE2288" w14:textId="75259DB8" w:rsidR="00BC2979" w:rsidRPr="00F9524F" w:rsidRDefault="00BC2979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Este relatório tem </w:t>
      </w:r>
      <w:r w:rsidR="00150100">
        <w:rPr>
          <w:rFonts w:ascii="Arial" w:hAnsi="Arial" w:cs="Arial"/>
          <w:shd w:val="clear" w:color="auto" w:fill="FFFFFF"/>
        </w:rPr>
        <w:t>por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objetivo </w:t>
      </w:r>
      <w:r w:rsidR="00150100">
        <w:rPr>
          <w:rFonts w:ascii="Arial" w:hAnsi="Arial" w:cs="Arial"/>
          <w:shd w:val="clear" w:color="auto" w:fill="FFFFFF"/>
        </w:rPr>
        <w:t>oferecer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uma visão geral das </w:t>
      </w:r>
      <w:r w:rsidR="004E5C9B" w:rsidRPr="00F9524F">
        <w:rPr>
          <w:rFonts w:ascii="Arial" w:hAnsi="Arial" w:cs="Arial"/>
          <w:shd w:val="clear" w:color="auto" w:fill="FFFFFF"/>
        </w:rPr>
        <w:t xml:space="preserve">atuais </w:t>
      </w:r>
      <w:r w:rsidRPr="00F9524F">
        <w:rPr>
          <w:rFonts w:ascii="Arial" w:hAnsi="Arial" w:cs="Arial"/>
          <w:shd w:val="clear" w:color="auto" w:fill="FFFFFF"/>
        </w:rPr>
        <w:t xml:space="preserve">tendências </w:t>
      </w:r>
      <w:r w:rsidR="004E5C9B" w:rsidRPr="00F9524F">
        <w:rPr>
          <w:rFonts w:ascii="Arial" w:hAnsi="Arial" w:cs="Arial"/>
          <w:shd w:val="clear" w:color="auto" w:fill="FFFFFF"/>
        </w:rPr>
        <w:t xml:space="preserve">macro </w:t>
      </w:r>
      <w:r w:rsidR="00150100">
        <w:rPr>
          <w:rFonts w:ascii="Arial" w:hAnsi="Arial" w:cs="Arial"/>
          <w:shd w:val="clear" w:color="auto" w:fill="FFFFFF"/>
        </w:rPr>
        <w:t xml:space="preserve">do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Pr="00F9524F">
        <w:rPr>
          <w:rFonts w:ascii="Arial" w:hAnsi="Arial" w:cs="Arial"/>
          <w:shd w:val="clear" w:color="auto" w:fill="FFFFFF"/>
        </w:rPr>
        <w:t>energético</w:t>
      </w:r>
      <w:r w:rsidR="00150100">
        <w:rPr>
          <w:rFonts w:ascii="Arial" w:hAnsi="Arial" w:cs="Arial"/>
          <w:shd w:val="clear" w:color="auto" w:fill="FFFFFF"/>
        </w:rPr>
        <w:t>,</w:t>
      </w:r>
      <w:r w:rsidRPr="00F9524F">
        <w:rPr>
          <w:rFonts w:ascii="Arial" w:hAnsi="Arial" w:cs="Arial"/>
          <w:shd w:val="clear" w:color="auto" w:fill="FFFFFF"/>
        </w:rPr>
        <w:t xml:space="preserve"> em termos de investimentos de capital de risco em </w:t>
      </w:r>
      <w:r w:rsidRPr="00F9524F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 tecnológicas e novos modelos de negócio, oferecendo a possibilidade de antecipar potenciais mudanças</w:t>
      </w:r>
      <w:r w:rsidR="00150100">
        <w:rPr>
          <w:rFonts w:ascii="Arial" w:hAnsi="Arial" w:cs="Arial"/>
          <w:shd w:val="clear" w:color="auto" w:fill="FFFFFF"/>
        </w:rPr>
        <w:t>,</w:t>
      </w:r>
      <w:r w:rsidRPr="00F9524F">
        <w:rPr>
          <w:rFonts w:ascii="Arial" w:hAnsi="Arial" w:cs="Arial"/>
          <w:shd w:val="clear" w:color="auto" w:fill="FFFFFF"/>
        </w:rPr>
        <w:t xml:space="preserve"> considerando os investimentos efetuados. Para </w:t>
      </w:r>
      <w:r w:rsidR="00150100">
        <w:rPr>
          <w:rFonts w:ascii="Arial" w:hAnsi="Arial" w:cs="Arial"/>
          <w:shd w:val="clear" w:color="auto" w:fill="FFFFFF"/>
        </w:rPr>
        <w:t>isso</w:t>
      </w:r>
      <w:r w:rsidRPr="00F9524F">
        <w:rPr>
          <w:rFonts w:ascii="Arial" w:hAnsi="Arial" w:cs="Arial"/>
          <w:shd w:val="clear" w:color="auto" w:fill="FFFFFF"/>
        </w:rPr>
        <w:t xml:space="preserve">, o estudo destaca diferentes tendências e casos de negócio, </w:t>
      </w:r>
      <w:r w:rsidR="00150100">
        <w:rPr>
          <w:rFonts w:ascii="Arial" w:hAnsi="Arial" w:cs="Arial"/>
          <w:shd w:val="clear" w:color="auto" w:fill="FFFFFF"/>
        </w:rPr>
        <w:t>oferecendo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uma visão aprofundada das respostas e soluções que estão a ser </w:t>
      </w:r>
      <w:r w:rsidR="00150100">
        <w:rPr>
          <w:rFonts w:ascii="Arial" w:hAnsi="Arial" w:cs="Arial"/>
          <w:shd w:val="clear" w:color="auto" w:fill="FFFFFF"/>
        </w:rPr>
        <w:t>disponibilizadas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>pel</w:t>
      </w:r>
      <w:r w:rsidR="00EE7836">
        <w:rPr>
          <w:rFonts w:ascii="Arial" w:hAnsi="Arial" w:cs="Arial"/>
          <w:shd w:val="clear" w:color="auto" w:fill="FFFFFF"/>
        </w:rPr>
        <w:t>a abertura do ecossistema de inovação</w:t>
      </w:r>
      <w:r w:rsidR="001F4340">
        <w:rPr>
          <w:rFonts w:ascii="Arial" w:hAnsi="Arial" w:cs="Arial"/>
          <w:shd w:val="clear" w:color="auto" w:fill="FFFFFF"/>
        </w:rPr>
        <w:t>.</w:t>
      </w:r>
    </w:p>
    <w:p w14:paraId="2BA7BCDC" w14:textId="5D0518E4" w:rsidR="004E5C9B" w:rsidRPr="00F9524F" w:rsidRDefault="004E5C9B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798BBEB" w14:textId="1AB73BA3" w:rsidR="004E5C9B" w:rsidRPr="00F9524F" w:rsidRDefault="004E5C9B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Tem havido uma mudança impulsionada por várias iniciativas, como o Green New Deal, a Lei Europeia do Clima, que visa fazer da União Europeia </w:t>
      </w:r>
      <w:r w:rsidR="00150100">
        <w:rPr>
          <w:rFonts w:ascii="Arial" w:hAnsi="Arial" w:cs="Arial"/>
          <w:shd w:val="clear" w:color="auto" w:fill="FFFFFF"/>
        </w:rPr>
        <w:t>a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líder global </w:t>
      </w:r>
      <w:r w:rsidR="00150100">
        <w:rPr>
          <w:rFonts w:ascii="Arial" w:hAnsi="Arial" w:cs="Arial"/>
          <w:shd w:val="clear" w:color="auto" w:fill="FFFFFF"/>
        </w:rPr>
        <w:t>d</w:t>
      </w:r>
      <w:r w:rsidR="00150100" w:rsidRPr="00F9524F">
        <w:rPr>
          <w:rFonts w:ascii="Arial" w:hAnsi="Arial" w:cs="Arial"/>
          <w:shd w:val="clear" w:color="auto" w:fill="FFFFFF"/>
        </w:rPr>
        <w:t xml:space="preserve">o </w:t>
      </w:r>
      <w:r w:rsidRPr="00F9524F">
        <w:rPr>
          <w:rFonts w:ascii="Arial" w:hAnsi="Arial" w:cs="Arial"/>
          <w:shd w:val="clear" w:color="auto" w:fill="FFFFFF"/>
        </w:rPr>
        <w:t xml:space="preserve">combate </w:t>
      </w:r>
      <w:r w:rsidR="00150100">
        <w:rPr>
          <w:rFonts w:ascii="Arial" w:hAnsi="Arial" w:cs="Arial"/>
          <w:shd w:val="clear" w:color="auto" w:fill="FFFFFF"/>
        </w:rPr>
        <w:t>às</w:t>
      </w:r>
      <w:r w:rsidRPr="00F9524F">
        <w:rPr>
          <w:rFonts w:ascii="Arial" w:hAnsi="Arial" w:cs="Arial"/>
          <w:shd w:val="clear" w:color="auto" w:fill="FFFFFF"/>
        </w:rPr>
        <w:t xml:space="preserve"> alterações climáticas, e as obrigações NextGen no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Pr="00F9524F">
        <w:rPr>
          <w:rFonts w:ascii="Arial" w:hAnsi="Arial" w:cs="Arial"/>
          <w:shd w:val="clear" w:color="auto" w:fill="FFFFFF"/>
        </w:rPr>
        <w:t>energético. Esta distribuição reflete o forte empenho na mudança do paradigma energético, uma vez que 30% do total dos fundos da UE serão investidos em planos energéticos e climáticos.</w:t>
      </w:r>
    </w:p>
    <w:p w14:paraId="679483B5" w14:textId="478D977C" w:rsidR="004E5C9B" w:rsidRPr="00F9524F" w:rsidRDefault="004E5C9B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DF95CFF" w14:textId="033BD770" w:rsidR="004E5C9B" w:rsidRPr="00F9524F" w:rsidRDefault="00150100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Este estudo compreendeu a análise d</w:t>
      </w:r>
      <w:r w:rsidR="004E5C9B" w:rsidRPr="00F9524F">
        <w:rPr>
          <w:rFonts w:ascii="Arial" w:hAnsi="Arial" w:cs="Arial"/>
          <w:shd w:val="clear" w:color="auto" w:fill="FFFFFF"/>
        </w:rPr>
        <w:t xml:space="preserve">os investimentos das 33 maiores empresas do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="004E5C9B" w:rsidRPr="00F9524F">
        <w:rPr>
          <w:rFonts w:ascii="Arial" w:hAnsi="Arial" w:cs="Arial"/>
          <w:shd w:val="clear" w:color="auto" w:fill="FFFFFF"/>
        </w:rPr>
        <w:t>energético por volume de negócios</w:t>
      </w:r>
      <w:r>
        <w:rPr>
          <w:rFonts w:ascii="Arial" w:hAnsi="Arial" w:cs="Arial"/>
          <w:shd w:val="clear" w:color="auto" w:fill="FFFFFF"/>
        </w:rPr>
        <w:t>,</w:t>
      </w:r>
      <w:r w:rsidR="004E5C9B" w:rsidRPr="00F9524F">
        <w:rPr>
          <w:rFonts w:ascii="Arial" w:hAnsi="Arial" w:cs="Arial"/>
          <w:shd w:val="clear" w:color="auto" w:fill="FFFFFF"/>
        </w:rPr>
        <w:t xml:space="preserve"> de 2018 a 2020 (período em que foram feitos 317 investimentos em 258 </w:t>
      </w:r>
      <w:r w:rsidR="004E5C9B" w:rsidRPr="00F9524F">
        <w:rPr>
          <w:rFonts w:ascii="Arial" w:hAnsi="Arial" w:cs="Arial"/>
          <w:i/>
          <w:iCs/>
          <w:shd w:val="clear" w:color="auto" w:fill="FFFFFF"/>
        </w:rPr>
        <w:t>startups</w:t>
      </w:r>
      <w:r w:rsidR="004E5C9B" w:rsidRPr="00F9524F">
        <w:rPr>
          <w:rFonts w:ascii="Arial" w:hAnsi="Arial" w:cs="Arial"/>
          <w:shd w:val="clear" w:color="auto" w:fill="FFFFFF"/>
        </w:rPr>
        <w:t>).</w:t>
      </w:r>
    </w:p>
    <w:p w14:paraId="3AD87F7E" w14:textId="1E9FE9A1" w:rsidR="00C15B05" w:rsidRPr="00F9524F" w:rsidRDefault="00C15B05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AC0F441" w14:textId="7B997C0A" w:rsidR="000D4DC1" w:rsidRPr="00F9524F" w:rsidRDefault="008A0986" w:rsidP="00C61133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9524F">
        <w:rPr>
          <w:rFonts w:ascii="Arial" w:hAnsi="Arial" w:cs="Arial"/>
          <w:b/>
          <w:bCs/>
          <w:shd w:val="clear" w:color="auto" w:fill="FFFFFF"/>
        </w:rPr>
        <w:t>6 mil milhões de euros de investimento</w:t>
      </w:r>
    </w:p>
    <w:p w14:paraId="51546A8A" w14:textId="4B696366" w:rsidR="00DD6D0D" w:rsidRPr="00F9524F" w:rsidRDefault="00DD6D0D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5172FB3" w14:textId="48C966D1" w:rsidR="008A0986" w:rsidRPr="00F9524F" w:rsidRDefault="008A0986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Os investimentos têm permanecido numa trajetória ascendente, tendo registado um crescimento anual de 17% desde 2008. Contudo, a pandemia que </w:t>
      </w:r>
      <w:r w:rsidR="00150100">
        <w:rPr>
          <w:rFonts w:ascii="Arial" w:hAnsi="Arial" w:cs="Arial"/>
          <w:shd w:val="clear" w:color="auto" w:fill="FFFFFF"/>
        </w:rPr>
        <w:t>surgiu</w:t>
      </w:r>
      <w:r w:rsidR="0015010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em março de 2020 causou uma queda significativa </w:t>
      </w:r>
      <w:r w:rsidR="00150100">
        <w:rPr>
          <w:rFonts w:ascii="Arial" w:hAnsi="Arial" w:cs="Arial"/>
          <w:shd w:val="clear" w:color="auto" w:fill="FFFFFF"/>
        </w:rPr>
        <w:t>d</w:t>
      </w:r>
      <w:r w:rsidRPr="00F9524F">
        <w:rPr>
          <w:rFonts w:ascii="Arial" w:hAnsi="Arial" w:cs="Arial"/>
          <w:shd w:val="clear" w:color="auto" w:fill="FFFFFF"/>
        </w:rPr>
        <w:t>o número de negócios e investimentos. Estes negócios, que a indústria estim</w:t>
      </w:r>
      <w:r w:rsidR="00150100">
        <w:rPr>
          <w:rFonts w:ascii="Arial" w:hAnsi="Arial" w:cs="Arial"/>
          <w:shd w:val="clear" w:color="auto" w:fill="FFFFFF"/>
        </w:rPr>
        <w:t>a</w:t>
      </w:r>
      <w:r w:rsidRPr="00F9524F">
        <w:rPr>
          <w:rFonts w:ascii="Arial" w:hAnsi="Arial" w:cs="Arial"/>
          <w:shd w:val="clear" w:color="auto" w:fill="FFFFFF"/>
        </w:rPr>
        <w:t xml:space="preserve"> que poderiam ter atingido os 132 investimentos, caíram para 46 em 2020, num total de cerca de 6 mil milhões de euros.</w:t>
      </w:r>
    </w:p>
    <w:p w14:paraId="3396893E" w14:textId="77777777" w:rsidR="008A0986" w:rsidRPr="00F9524F" w:rsidRDefault="008A0986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3A22422" w14:textId="765AD6AD" w:rsidR="008A0986" w:rsidRPr="00F9524F" w:rsidRDefault="00150100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</w:t>
      </w:r>
      <w:r w:rsidR="008A0986" w:rsidRPr="00F9524F">
        <w:rPr>
          <w:rFonts w:ascii="Arial" w:hAnsi="Arial" w:cs="Arial"/>
          <w:shd w:val="clear" w:color="auto" w:fill="FFFFFF"/>
        </w:rPr>
        <w:t xml:space="preserve">montante médio dos cinco </w:t>
      </w:r>
      <w:r>
        <w:rPr>
          <w:rFonts w:ascii="Arial" w:hAnsi="Arial" w:cs="Arial"/>
          <w:shd w:val="clear" w:color="auto" w:fill="FFFFFF"/>
        </w:rPr>
        <w:t>maiores</w:t>
      </w:r>
      <w:r w:rsidRPr="00F9524F">
        <w:rPr>
          <w:rFonts w:ascii="Arial" w:hAnsi="Arial" w:cs="Arial"/>
          <w:shd w:val="clear" w:color="auto" w:fill="FFFFFF"/>
        </w:rPr>
        <w:t xml:space="preserve"> </w:t>
      </w:r>
      <w:r w:rsidR="008A0986" w:rsidRPr="00F9524F">
        <w:rPr>
          <w:rFonts w:ascii="Arial" w:hAnsi="Arial" w:cs="Arial"/>
          <w:shd w:val="clear" w:color="auto" w:fill="FFFFFF"/>
        </w:rPr>
        <w:t>novos investimentos</w:t>
      </w:r>
      <w:r>
        <w:rPr>
          <w:rFonts w:ascii="Arial" w:hAnsi="Arial" w:cs="Arial"/>
          <w:shd w:val="clear" w:color="auto" w:fill="FFFFFF"/>
        </w:rPr>
        <w:t xml:space="preserve"> registados no período em análise</w:t>
      </w:r>
      <w:r w:rsidR="008A0986" w:rsidRPr="00F9524F">
        <w:rPr>
          <w:rFonts w:ascii="Arial" w:hAnsi="Arial" w:cs="Arial"/>
          <w:shd w:val="clear" w:color="auto" w:fill="FFFFFF"/>
        </w:rPr>
        <w:t xml:space="preserve"> foi de $200 milhões.  </w:t>
      </w:r>
    </w:p>
    <w:p w14:paraId="702EEBB7" w14:textId="5315B5A7" w:rsidR="00511E88" w:rsidRPr="00F9524F" w:rsidRDefault="00511E88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DC1C057" w14:textId="618C6E69" w:rsidR="00511E88" w:rsidRPr="00F9524F" w:rsidRDefault="00150100" w:rsidP="002A091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novidade</w:t>
      </w:r>
      <w:r w:rsidR="00511E88" w:rsidRPr="00F9524F">
        <w:rPr>
          <w:rFonts w:ascii="Arial" w:hAnsi="Arial" w:cs="Arial"/>
          <w:shd w:val="clear" w:color="auto" w:fill="FFFFFF"/>
        </w:rPr>
        <w:t>, o relatório da NTT DATA deteta uma mudança substancial em relação à liderança das companhias de eletricidade sobre as companhias petrolíferas. Esta é uma tendência que se inverteu nos últimos três anos, tendo as últimas assumido a liderança</w:t>
      </w:r>
      <w:r>
        <w:rPr>
          <w:rFonts w:ascii="Arial" w:hAnsi="Arial" w:cs="Arial"/>
          <w:shd w:val="clear" w:color="auto" w:fill="FFFFFF"/>
        </w:rPr>
        <w:t>,</w:t>
      </w:r>
      <w:r w:rsidR="00511E88" w:rsidRPr="00F9524F">
        <w:rPr>
          <w:rFonts w:ascii="Arial" w:hAnsi="Arial" w:cs="Arial"/>
          <w:shd w:val="clear" w:color="auto" w:fill="FFFFFF"/>
        </w:rPr>
        <w:t xml:space="preserve"> ao participar em mais 20% de investimento</w:t>
      </w:r>
      <w:r>
        <w:rPr>
          <w:rFonts w:ascii="Arial" w:hAnsi="Arial" w:cs="Arial"/>
          <w:shd w:val="clear" w:color="auto" w:fill="FFFFFF"/>
        </w:rPr>
        <w:t>s</w:t>
      </w:r>
      <w:r w:rsidR="00511E88" w:rsidRPr="00F9524F">
        <w:rPr>
          <w:rFonts w:ascii="Arial" w:hAnsi="Arial" w:cs="Arial"/>
          <w:shd w:val="clear" w:color="auto" w:fill="FFFFFF"/>
        </w:rPr>
        <w:t xml:space="preserve"> do que as companhias elétricas.</w:t>
      </w:r>
    </w:p>
    <w:p w14:paraId="4575A2F3" w14:textId="4CF9120D" w:rsidR="00511E88" w:rsidRPr="00F9524F" w:rsidRDefault="00511E88" w:rsidP="002A0919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A366B65" w14:textId="0720455A" w:rsidR="00511E88" w:rsidRPr="00F9524F" w:rsidRDefault="00511E88" w:rsidP="0C098DC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lastRenderedPageBreak/>
        <w:t>"</w:t>
      </w:r>
      <w:r w:rsidR="0C098DCC" w:rsidRPr="0C098DCC">
        <w:rPr>
          <w:rFonts w:ascii="Arial" w:eastAsia="Arial" w:hAnsi="Arial" w:cs="Arial"/>
          <w:color w:val="000000" w:themeColor="text1"/>
        </w:rPr>
        <w:t xml:space="preserve"> O Energy Trends Report demonstra que o setor energético está muito empenhado em inovar para melhorar a vida dos cidadãos de todo o mundo, o que se traduz no surgimento de novas fontes de energia e tecnologias, que contribuirão para um planeta mais verde e mais qualidade de vida das populações.</w:t>
      </w:r>
      <w:r w:rsidRPr="00F9524F">
        <w:rPr>
          <w:rFonts w:ascii="Arial" w:hAnsi="Arial" w:cs="Arial"/>
          <w:shd w:val="clear" w:color="auto" w:fill="FFFFFF"/>
        </w:rPr>
        <w:t xml:space="preserve">", afirma </w:t>
      </w:r>
      <w:r w:rsidRPr="00F9524F">
        <w:rPr>
          <w:rFonts w:ascii="Arial" w:hAnsi="Arial" w:cs="Arial"/>
          <w:b/>
          <w:bCs/>
          <w:shd w:val="clear" w:color="auto" w:fill="FFFFFF"/>
        </w:rPr>
        <w:t>Luís Vaz de Carvalho, Associate</w:t>
      </w:r>
      <w:r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b/>
          <w:bCs/>
          <w:shd w:val="clear" w:color="auto" w:fill="FFFFFF"/>
        </w:rPr>
        <w:t>Partner &amp; Head of Utilities NTT DATA Portugal.</w:t>
      </w:r>
    </w:p>
    <w:p w14:paraId="3C2AD2B1" w14:textId="77777777" w:rsidR="00511E88" w:rsidRPr="00F9524F" w:rsidRDefault="00511E88" w:rsidP="002A0919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BFB3A35" w14:textId="5D79EE6B" w:rsidR="00511E88" w:rsidRPr="00F9524F" w:rsidRDefault="00511E88" w:rsidP="002A0919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9524F">
        <w:rPr>
          <w:rFonts w:ascii="Arial" w:hAnsi="Arial" w:cs="Arial"/>
          <w:b/>
          <w:bCs/>
          <w:shd w:val="clear" w:color="auto" w:fill="FFFFFF"/>
        </w:rPr>
        <w:t xml:space="preserve">Investimento por área geográfica  </w:t>
      </w:r>
    </w:p>
    <w:p w14:paraId="3CF9CA56" w14:textId="55D423A7" w:rsidR="00CF6D37" w:rsidRPr="00F9524F" w:rsidRDefault="00CF6D37" w:rsidP="002A091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6689269" w14:textId="3C53F567" w:rsidR="00CF6D37" w:rsidRPr="00F9524F" w:rsidRDefault="00CF6D37" w:rsidP="002A091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Os principais </w:t>
      </w:r>
      <w:r w:rsidRPr="00F9524F">
        <w:rPr>
          <w:rFonts w:ascii="Arial" w:hAnsi="Arial" w:cs="Arial"/>
          <w:i/>
          <w:iCs/>
          <w:shd w:val="clear" w:color="auto" w:fill="FFFFFF"/>
        </w:rPr>
        <w:t>hubs</w:t>
      </w:r>
      <w:r w:rsidRPr="00F9524F">
        <w:rPr>
          <w:rFonts w:ascii="Arial" w:hAnsi="Arial" w:cs="Arial"/>
          <w:shd w:val="clear" w:color="auto" w:fill="FFFFFF"/>
        </w:rPr>
        <w:t xml:space="preserve"> de investimento, </w:t>
      </w:r>
      <w:r w:rsidR="00160040">
        <w:rPr>
          <w:rFonts w:ascii="Arial" w:hAnsi="Arial" w:cs="Arial"/>
          <w:shd w:val="clear" w:color="auto" w:fill="FFFFFF"/>
        </w:rPr>
        <w:t>tendo por base as</w:t>
      </w:r>
      <w:r w:rsidRPr="00F9524F">
        <w:rPr>
          <w:rFonts w:ascii="Arial" w:hAnsi="Arial" w:cs="Arial"/>
          <w:shd w:val="clear" w:color="auto" w:fill="FFFFFF"/>
        </w:rPr>
        <w:t xml:space="preserve"> sedes das </w:t>
      </w:r>
      <w:r w:rsidRPr="008D5901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 </w:t>
      </w:r>
      <w:r w:rsidR="00160040">
        <w:rPr>
          <w:rFonts w:ascii="Arial" w:hAnsi="Arial" w:cs="Arial"/>
          <w:shd w:val="clear" w:color="auto" w:fill="FFFFFF"/>
        </w:rPr>
        <w:t>que receberam investimento</w:t>
      </w:r>
      <w:r w:rsidRPr="00F9524F">
        <w:rPr>
          <w:rFonts w:ascii="Arial" w:hAnsi="Arial" w:cs="Arial"/>
          <w:shd w:val="clear" w:color="auto" w:fill="FFFFFF"/>
        </w:rPr>
        <w:t xml:space="preserve">, encontram-se nos Estados Unidos e na Europa, com a Califórnia e a Alemanha a destacarem-se. Os EUA são responsáveis por quase 50% de todos os </w:t>
      </w:r>
      <w:r w:rsidR="006441CA" w:rsidRPr="00F9524F">
        <w:rPr>
          <w:rFonts w:ascii="Arial" w:hAnsi="Arial" w:cs="Arial"/>
          <w:shd w:val="clear" w:color="auto" w:fill="FFFFFF"/>
        </w:rPr>
        <w:t>casos</w:t>
      </w:r>
      <w:r w:rsidRPr="00F9524F">
        <w:rPr>
          <w:rFonts w:ascii="Arial" w:hAnsi="Arial" w:cs="Arial"/>
          <w:shd w:val="clear" w:color="auto" w:fill="FFFFFF"/>
        </w:rPr>
        <w:t xml:space="preserve"> de investimento, enquanto o Velho Continente é responsável por quase 40%. No entanto, estes locais de investimento estão a criar espaço para os mercados emergentes, em particular o Médio Oriente (</w:t>
      </w:r>
      <w:r w:rsidR="00160040">
        <w:rPr>
          <w:rFonts w:ascii="Arial" w:hAnsi="Arial" w:cs="Arial"/>
          <w:shd w:val="clear" w:color="auto" w:fill="FFFFFF"/>
        </w:rPr>
        <w:t xml:space="preserve">realizou </w:t>
      </w:r>
      <w:r w:rsidRPr="00F9524F">
        <w:rPr>
          <w:rFonts w:ascii="Arial" w:hAnsi="Arial" w:cs="Arial"/>
          <w:shd w:val="clear" w:color="auto" w:fill="FFFFFF"/>
        </w:rPr>
        <w:t xml:space="preserve">8% do total dos investimentos </w:t>
      </w:r>
      <w:r w:rsidR="006441CA" w:rsidRPr="00F9524F">
        <w:rPr>
          <w:rFonts w:ascii="Arial" w:hAnsi="Arial" w:cs="Arial"/>
          <w:shd w:val="clear" w:color="auto" w:fill="FFFFFF"/>
        </w:rPr>
        <w:t>efetuados</w:t>
      </w:r>
      <w:r w:rsidRPr="00F9524F">
        <w:rPr>
          <w:rFonts w:ascii="Arial" w:hAnsi="Arial" w:cs="Arial"/>
          <w:shd w:val="clear" w:color="auto" w:fill="FFFFFF"/>
        </w:rPr>
        <w:t xml:space="preserve">).  </w:t>
      </w:r>
    </w:p>
    <w:p w14:paraId="5A621B8D" w14:textId="1C5BD538" w:rsidR="006441CA" w:rsidRPr="00F9524F" w:rsidRDefault="00CF6D37" w:rsidP="002A091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 </w:t>
      </w:r>
    </w:p>
    <w:p w14:paraId="0DD8BFE2" w14:textId="4D6F8718" w:rsidR="006441CA" w:rsidRPr="00F9524F" w:rsidRDefault="006441CA" w:rsidP="002A091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A </w:t>
      </w:r>
      <w:r w:rsidR="00160040">
        <w:rPr>
          <w:rFonts w:ascii="Arial" w:hAnsi="Arial" w:cs="Arial"/>
          <w:shd w:val="clear" w:color="auto" w:fill="FFFFFF"/>
        </w:rPr>
        <w:t xml:space="preserve">região </w:t>
      </w:r>
      <w:r w:rsidRPr="00F9524F">
        <w:rPr>
          <w:rFonts w:ascii="Arial" w:hAnsi="Arial" w:cs="Arial"/>
          <w:shd w:val="clear" w:color="auto" w:fill="FFFFFF"/>
        </w:rPr>
        <w:t xml:space="preserve">LATAM, a Ásia, o Médio Oriente e a África começam a desenvolver os seus ecossistemas inovadores, graças ao impulso que as grandes empresas estão a dar às </w:t>
      </w:r>
      <w:r w:rsidRPr="00F9524F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 nas</w:t>
      </w:r>
      <w:r w:rsidR="00160040">
        <w:rPr>
          <w:rFonts w:ascii="Arial" w:hAnsi="Arial" w:cs="Arial"/>
          <w:shd w:val="clear" w:color="auto" w:fill="FFFFFF"/>
        </w:rPr>
        <w:t xml:space="preserve"> suas</w:t>
      </w:r>
      <w:r w:rsidRPr="00F9524F">
        <w:rPr>
          <w:rFonts w:ascii="Arial" w:hAnsi="Arial" w:cs="Arial"/>
          <w:shd w:val="clear" w:color="auto" w:fill="FFFFFF"/>
        </w:rPr>
        <w:t xml:space="preserve"> próprias regiões, comprometendo-se com o seu próprio talento, o que conduzirá ao estabelecimento de grandes </w:t>
      </w:r>
      <w:r w:rsidRPr="00F9524F">
        <w:rPr>
          <w:rFonts w:ascii="Arial" w:hAnsi="Arial" w:cs="Arial"/>
          <w:i/>
          <w:iCs/>
          <w:shd w:val="clear" w:color="auto" w:fill="FFFFFF"/>
        </w:rPr>
        <w:t>hubs</w:t>
      </w:r>
      <w:r w:rsidRPr="00F9524F">
        <w:rPr>
          <w:rFonts w:ascii="Arial" w:hAnsi="Arial" w:cs="Arial"/>
          <w:shd w:val="clear" w:color="auto" w:fill="FFFFFF"/>
        </w:rPr>
        <w:t xml:space="preserve"> nos próximos anos</w:t>
      </w:r>
      <w:r w:rsidR="00160040">
        <w:rPr>
          <w:rFonts w:ascii="Arial" w:hAnsi="Arial" w:cs="Arial"/>
          <w:shd w:val="clear" w:color="auto" w:fill="FFFFFF"/>
        </w:rPr>
        <w:t>,</w:t>
      </w:r>
      <w:r w:rsidRPr="00F9524F">
        <w:rPr>
          <w:rFonts w:ascii="Arial" w:hAnsi="Arial" w:cs="Arial"/>
          <w:shd w:val="clear" w:color="auto" w:fill="FFFFFF"/>
        </w:rPr>
        <w:t xml:space="preserve"> que aumentarão a criação de novas empresas e soluções inovadoras para 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>tor</w:t>
      </w:r>
      <w:r w:rsidRPr="00F9524F">
        <w:rPr>
          <w:rFonts w:ascii="Arial" w:hAnsi="Arial" w:cs="Arial"/>
          <w:shd w:val="clear" w:color="auto" w:fill="FFFFFF"/>
        </w:rPr>
        <w:t xml:space="preserve">, </w:t>
      </w:r>
      <w:r w:rsidR="00160040">
        <w:rPr>
          <w:rFonts w:ascii="Arial" w:hAnsi="Arial" w:cs="Arial"/>
          <w:shd w:val="clear" w:color="auto" w:fill="FFFFFF"/>
        </w:rPr>
        <w:t>gerando</w:t>
      </w:r>
      <w:r w:rsidRPr="00F9524F">
        <w:rPr>
          <w:rFonts w:ascii="Arial" w:hAnsi="Arial" w:cs="Arial"/>
          <w:shd w:val="clear" w:color="auto" w:fill="FFFFFF"/>
        </w:rPr>
        <w:t>, por sua vez, maior interesse dos investidores em estabelecer sedes perto destas regiões.</w:t>
      </w:r>
    </w:p>
    <w:p w14:paraId="23549FB4" w14:textId="0DEE510B" w:rsidR="008314EE" w:rsidRPr="00F9524F" w:rsidRDefault="006441CA" w:rsidP="007738EB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 </w:t>
      </w:r>
    </w:p>
    <w:p w14:paraId="703127A0" w14:textId="41FF49CC" w:rsidR="008314EE" w:rsidRPr="00F9524F" w:rsidRDefault="008314EE" w:rsidP="007738EB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9524F">
        <w:rPr>
          <w:rFonts w:ascii="Arial" w:hAnsi="Arial" w:cs="Arial"/>
          <w:b/>
          <w:bCs/>
          <w:shd w:val="clear" w:color="auto" w:fill="FFFFFF"/>
        </w:rPr>
        <w:t>Hidrogénio, combustíveis sintéticos e armazenamento de energia como uma alternativa aos modelos "clássicos"</w:t>
      </w:r>
    </w:p>
    <w:p w14:paraId="6E90D30D" w14:textId="44FD9A73" w:rsidR="008314EE" w:rsidRPr="00F9524F" w:rsidRDefault="008314EE" w:rsidP="007738EB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043BDE0" w14:textId="4A9E86D9" w:rsidR="008314EE" w:rsidRPr="00F9524F" w:rsidRDefault="008314EE" w:rsidP="003A46C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Impulsionado por fatores sociais predominantes, </w:t>
      </w:r>
      <w:r w:rsidR="00160040">
        <w:rPr>
          <w:rFonts w:ascii="Arial" w:hAnsi="Arial" w:cs="Arial"/>
          <w:shd w:val="clear" w:color="auto" w:fill="FFFFFF"/>
        </w:rPr>
        <w:t>o ambiente de</w:t>
      </w:r>
      <w:r w:rsidRPr="00F9524F">
        <w:rPr>
          <w:rFonts w:ascii="Arial" w:hAnsi="Arial" w:cs="Arial"/>
          <w:shd w:val="clear" w:color="auto" w:fill="FFFFFF"/>
        </w:rPr>
        <w:t xml:space="preserve"> mercado global provocou o aparecimento de várias alternativas aos modelos mais tradicionais de produção de energia, tais como o gás e o petróleo. Estas alternativas incluem os combustíveis sintéticos e o armazenamento de energia alimentado pelas energias renováveis e a digitalização em constante crescimento, bem como o hidrogénio.</w:t>
      </w:r>
    </w:p>
    <w:p w14:paraId="23007F0D" w14:textId="6516E0CD" w:rsidR="008314EE" w:rsidRPr="00F9524F" w:rsidRDefault="008314EE" w:rsidP="003A46C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9BAF276" w14:textId="0E059ECB" w:rsidR="008314EE" w:rsidRPr="00F9524F" w:rsidRDefault="008314EE" w:rsidP="003A46C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O combustível sintético está prestes a fazer </w:t>
      </w:r>
      <w:r w:rsidR="00160040">
        <w:rPr>
          <w:rFonts w:ascii="Arial" w:hAnsi="Arial" w:cs="Arial"/>
          <w:shd w:val="clear" w:color="auto" w:fill="FFFFFF"/>
        </w:rPr>
        <w:t>grandes</w:t>
      </w:r>
      <w:r w:rsidR="0016004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progressos nos próximos anos. Os e-Fuels (produzidos </w:t>
      </w:r>
      <w:r w:rsidR="00160040">
        <w:rPr>
          <w:rFonts w:ascii="Arial" w:hAnsi="Arial" w:cs="Arial"/>
          <w:shd w:val="clear" w:color="auto" w:fill="FFFFFF"/>
        </w:rPr>
        <w:t>a partir de</w:t>
      </w:r>
      <w:r w:rsidR="00160040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hidrogénio gerado </w:t>
      </w:r>
      <w:r w:rsidR="00160040">
        <w:rPr>
          <w:rFonts w:ascii="Arial" w:hAnsi="Arial" w:cs="Arial"/>
          <w:shd w:val="clear" w:color="auto" w:fill="FFFFFF"/>
        </w:rPr>
        <w:t>de fontes de</w:t>
      </w:r>
      <w:r w:rsidRPr="00F9524F">
        <w:rPr>
          <w:rFonts w:ascii="Arial" w:hAnsi="Arial" w:cs="Arial"/>
          <w:shd w:val="clear" w:color="auto" w:fill="FFFFFF"/>
        </w:rPr>
        <w:t xml:space="preserve"> energia renovável e incorporando carbono para produzir hidrocarbonetos ou metanol ou azoto para sintetizar um combustível alternativo como o amoníaco) permanecem relativamente desconhecidos, mas espera-se que desempenhem um papel importante no complemento da mobilidade elétrica ou que sejam a principal alternativa quando a eletricidade se torna</w:t>
      </w:r>
      <w:r w:rsidR="00160040">
        <w:rPr>
          <w:rFonts w:ascii="Arial" w:hAnsi="Arial" w:cs="Arial"/>
          <w:shd w:val="clear" w:color="auto" w:fill="FFFFFF"/>
        </w:rPr>
        <w:t>r</w:t>
      </w:r>
      <w:r w:rsidRPr="00F9524F">
        <w:rPr>
          <w:rFonts w:ascii="Arial" w:hAnsi="Arial" w:cs="Arial"/>
          <w:shd w:val="clear" w:color="auto" w:fill="FFFFFF"/>
        </w:rPr>
        <w:t xml:space="preserve"> inviável. Na Europa e noutras economias avançadas, o transporte terrestre ligeiro está a deslocar-se para veículos elétricos; no resto dos modos de transporte (terrestre pesado, marítimo ou aéreo) e </w:t>
      </w:r>
      <w:r w:rsidR="007C77D4" w:rsidRPr="00F9524F">
        <w:rPr>
          <w:rFonts w:ascii="Arial" w:hAnsi="Arial" w:cs="Arial"/>
          <w:shd w:val="clear" w:color="auto" w:fill="FFFFFF"/>
        </w:rPr>
        <w:t>n</w:t>
      </w:r>
      <w:r w:rsidR="007C77D4">
        <w:rPr>
          <w:rFonts w:ascii="Arial" w:hAnsi="Arial" w:cs="Arial"/>
          <w:shd w:val="clear" w:color="auto" w:fill="FFFFFF"/>
        </w:rPr>
        <w:t>outras</w:t>
      </w:r>
      <w:r w:rsidR="007C77D4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>geografias, a descarbonização exigirá soluções como o e-Fuels.</w:t>
      </w:r>
    </w:p>
    <w:p w14:paraId="7F608B95" w14:textId="15FBE85D" w:rsidR="0099450A" w:rsidRPr="00F9524F" w:rsidRDefault="0099450A" w:rsidP="0099450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C0DE3B1" w14:textId="7B0E016C" w:rsidR="008314EE" w:rsidRPr="00F9524F" w:rsidRDefault="008314EE" w:rsidP="0099450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>Este campo inclui também a geração de hidrogénio de baixas emissões, uma das tecnologias mais faladas atualmente. Isto abrange o hidrogénio verde, produzido a partir de fontes renováveis, e o hidrogénio azul, produzido a partir de combustíveis fósseis com captura e armazenamento de CO2.</w:t>
      </w:r>
    </w:p>
    <w:p w14:paraId="282D4151" w14:textId="6B2F8C40" w:rsidR="008314EE" w:rsidRPr="00F9524F" w:rsidRDefault="008314EE" w:rsidP="0099450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A246C90" w14:textId="1BC78C86" w:rsidR="008314EE" w:rsidRPr="00F9524F" w:rsidRDefault="008314EE" w:rsidP="0099450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Por outro lado, o aumento da produção de energia renovável juntamente com a digitalização do sistema de energia está a acelerar a </w:t>
      </w:r>
      <w:r w:rsidR="009F2407" w:rsidRPr="00F9524F">
        <w:rPr>
          <w:rFonts w:ascii="Arial" w:hAnsi="Arial" w:cs="Arial"/>
          <w:shd w:val="clear" w:color="auto" w:fill="FFFFFF"/>
        </w:rPr>
        <w:t>implementação</w:t>
      </w:r>
      <w:r w:rsidRPr="00F9524F">
        <w:rPr>
          <w:rFonts w:ascii="Arial" w:hAnsi="Arial" w:cs="Arial"/>
          <w:shd w:val="clear" w:color="auto" w:fill="FFFFFF"/>
        </w:rPr>
        <w:t xml:space="preserve"> do armazenamento, particularmente em países como a Índia, Itália, Austrália, EUA, Chile, Alemanha, Japão e Reino Unido. As políticas nacionais de muitos destes países estão a recorrer ao armazenamento para reduzir a dependência das importações de energia, melhorar a resiliência das suas redes </w:t>
      </w:r>
      <w:r w:rsidR="009F2407" w:rsidRPr="00F9524F">
        <w:rPr>
          <w:rFonts w:ascii="Arial" w:hAnsi="Arial" w:cs="Arial"/>
          <w:shd w:val="clear" w:color="auto" w:fill="FFFFFF"/>
        </w:rPr>
        <w:t>elétricas</w:t>
      </w:r>
      <w:r w:rsidRPr="00F9524F">
        <w:rPr>
          <w:rFonts w:ascii="Arial" w:hAnsi="Arial" w:cs="Arial"/>
          <w:shd w:val="clear" w:color="auto" w:fill="FFFFFF"/>
        </w:rPr>
        <w:t xml:space="preserve"> e </w:t>
      </w:r>
      <w:r w:rsidR="009F2407" w:rsidRPr="00F9524F">
        <w:rPr>
          <w:rFonts w:ascii="Arial" w:hAnsi="Arial" w:cs="Arial"/>
          <w:shd w:val="clear" w:color="auto" w:fill="FFFFFF"/>
        </w:rPr>
        <w:t>alcançar</w:t>
      </w:r>
      <w:r w:rsidRPr="00F9524F">
        <w:rPr>
          <w:rFonts w:ascii="Arial" w:hAnsi="Arial" w:cs="Arial"/>
          <w:shd w:val="clear" w:color="auto" w:fill="FFFFFF"/>
        </w:rPr>
        <w:t xml:space="preserve"> os </w:t>
      </w:r>
      <w:r w:rsidR="009F2407" w:rsidRPr="00F9524F">
        <w:rPr>
          <w:rFonts w:ascii="Arial" w:hAnsi="Arial" w:cs="Arial"/>
          <w:shd w:val="clear" w:color="auto" w:fill="FFFFFF"/>
        </w:rPr>
        <w:t>objetivos</w:t>
      </w:r>
      <w:r w:rsidRPr="00F9524F">
        <w:rPr>
          <w:rFonts w:ascii="Arial" w:hAnsi="Arial" w:cs="Arial"/>
          <w:shd w:val="clear" w:color="auto" w:fill="FFFFFF"/>
        </w:rPr>
        <w:t xml:space="preserve"> de descarbonização das suas economias.</w:t>
      </w:r>
    </w:p>
    <w:p w14:paraId="7EFE813B" w14:textId="77777777" w:rsidR="0041739A" w:rsidRPr="00F9524F" w:rsidRDefault="0041739A" w:rsidP="00E232F5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A39386" w14:textId="5C332A65" w:rsidR="004E7538" w:rsidRPr="00F9524F" w:rsidRDefault="009F2407" w:rsidP="005B73A9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9524F">
        <w:rPr>
          <w:rFonts w:ascii="Arial" w:hAnsi="Arial" w:cs="Arial"/>
          <w:b/>
          <w:bCs/>
          <w:shd w:val="clear" w:color="auto" w:fill="FFFFFF"/>
        </w:rPr>
        <w:t>Tendências da indústria e uma visão para 2030</w:t>
      </w:r>
    </w:p>
    <w:p w14:paraId="5F8C1932" w14:textId="1CAF8C7A" w:rsidR="009F2407" w:rsidRPr="00F9524F" w:rsidRDefault="009F2407" w:rsidP="005B73A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5ACDAB9" w14:textId="5A5EB24A" w:rsidR="009F2407" w:rsidRPr="00F9524F" w:rsidRDefault="009F2407" w:rsidP="005B73A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Em última análise, estes dados (volume </w:t>
      </w:r>
      <w:r w:rsidR="007C77D4">
        <w:rPr>
          <w:rFonts w:ascii="Arial" w:hAnsi="Arial" w:cs="Arial"/>
          <w:shd w:val="clear" w:color="auto" w:fill="FFFFFF"/>
        </w:rPr>
        <w:t>de</w:t>
      </w:r>
      <w:r w:rsidR="007C77D4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investimento, número de casos, CVCs, investimento em </w:t>
      </w:r>
      <w:r w:rsidRPr="008D5901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) deverão continuar a aumentar ano após ano, devido ao impulso potenciado pela ajuda governamental e </w:t>
      </w:r>
      <w:r w:rsidR="007C77D4">
        <w:rPr>
          <w:rFonts w:ascii="Arial" w:hAnsi="Arial" w:cs="Arial"/>
          <w:shd w:val="clear" w:color="auto" w:fill="FFFFFF"/>
        </w:rPr>
        <w:t>pelas</w:t>
      </w:r>
      <w:r w:rsidR="007C77D4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medidas lançadas </w:t>
      </w:r>
      <w:r w:rsidR="007C77D4">
        <w:rPr>
          <w:rFonts w:ascii="Arial" w:hAnsi="Arial" w:cs="Arial"/>
          <w:shd w:val="clear" w:color="auto" w:fill="FFFFFF"/>
        </w:rPr>
        <w:t>a</w:t>
      </w:r>
      <w:r w:rsidR="007C77D4" w:rsidRPr="00F9524F">
        <w:rPr>
          <w:rFonts w:ascii="Arial" w:hAnsi="Arial" w:cs="Arial"/>
          <w:shd w:val="clear" w:color="auto" w:fill="FFFFFF"/>
        </w:rPr>
        <w:t xml:space="preserve"> </w:t>
      </w:r>
      <w:r w:rsidRPr="00F9524F">
        <w:rPr>
          <w:rFonts w:ascii="Arial" w:hAnsi="Arial" w:cs="Arial"/>
          <w:shd w:val="clear" w:color="auto" w:fill="FFFFFF"/>
        </w:rPr>
        <w:t xml:space="preserve">favor destes novos modelos. O investimento direto em energias renováveis através dos fundos Next Generation, ou o empenho dos Estados Unidos e da Ásia em modelos de produção, armazenamento e mobilidade mais limpos, levam-nos a prever um crescimento exponencial da inovação no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Pr="00F9524F">
        <w:rPr>
          <w:rFonts w:ascii="Arial" w:hAnsi="Arial" w:cs="Arial"/>
          <w:shd w:val="clear" w:color="auto" w:fill="FFFFFF"/>
        </w:rPr>
        <w:t xml:space="preserve">nos próximos anos, aplicando modelos disruptivos que aumentam o valor do </w:t>
      </w:r>
      <w:r w:rsidR="00524006" w:rsidRPr="00F9524F">
        <w:rPr>
          <w:rFonts w:ascii="Arial" w:hAnsi="Arial" w:cs="Arial"/>
          <w:shd w:val="clear" w:color="auto" w:fill="FFFFFF"/>
        </w:rPr>
        <w:t>se</w:t>
      </w:r>
      <w:r w:rsidR="00524006">
        <w:rPr>
          <w:rFonts w:ascii="Arial" w:hAnsi="Arial" w:cs="Arial"/>
          <w:shd w:val="clear" w:color="auto" w:fill="FFFFFF"/>
        </w:rPr>
        <w:t>c</w:t>
      </w:r>
      <w:r w:rsidR="00524006" w:rsidRPr="00F9524F">
        <w:rPr>
          <w:rFonts w:ascii="Arial" w:hAnsi="Arial" w:cs="Arial"/>
          <w:shd w:val="clear" w:color="auto" w:fill="FFFFFF"/>
        </w:rPr>
        <w:t xml:space="preserve">tor </w:t>
      </w:r>
      <w:r w:rsidRPr="00F9524F">
        <w:rPr>
          <w:rFonts w:ascii="Arial" w:hAnsi="Arial" w:cs="Arial"/>
          <w:shd w:val="clear" w:color="auto" w:fill="FFFFFF"/>
        </w:rPr>
        <w:t xml:space="preserve">energético e as suas possíveis aplicações.  </w:t>
      </w:r>
    </w:p>
    <w:p w14:paraId="715A66B7" w14:textId="34237B6F" w:rsidR="009F2407" w:rsidRPr="00F9524F" w:rsidRDefault="009F2407" w:rsidP="005B73A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0431C07" w14:textId="1FB9F0FA" w:rsidR="009F2407" w:rsidRPr="00F9524F" w:rsidRDefault="009F2407" w:rsidP="005B73A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Este crescimento será também impulsionado pela consolidação de novos modelos de colaboração entre empresas e </w:t>
      </w:r>
      <w:r w:rsidRPr="00F9524F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, modelos que são altamente atrativos para ambas as partes, oferecendo menor risco e maior independência para as </w:t>
      </w:r>
      <w:r w:rsidRPr="008D5901">
        <w:rPr>
          <w:rFonts w:ascii="Arial" w:hAnsi="Arial" w:cs="Arial"/>
          <w:i/>
          <w:iCs/>
          <w:shd w:val="clear" w:color="auto" w:fill="FFFFFF"/>
        </w:rPr>
        <w:t>startups</w:t>
      </w:r>
      <w:r w:rsidRPr="00F9524F">
        <w:rPr>
          <w:rFonts w:ascii="Arial" w:hAnsi="Arial" w:cs="Arial"/>
          <w:shd w:val="clear" w:color="auto" w:fill="FFFFFF"/>
        </w:rPr>
        <w:t xml:space="preserve"> sem limitar o seu crescimento ou agilidade.</w:t>
      </w:r>
    </w:p>
    <w:p w14:paraId="583085CE" w14:textId="77777777" w:rsidR="00E17E57" w:rsidRPr="00F9524F" w:rsidRDefault="00E17E57" w:rsidP="003D65A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2FA0F6D" w14:textId="5C87D977" w:rsidR="00DD6D0D" w:rsidRPr="00F9524F" w:rsidRDefault="009F2407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524F">
        <w:rPr>
          <w:rFonts w:ascii="Arial" w:hAnsi="Arial" w:cs="Arial"/>
          <w:shd w:val="clear" w:color="auto" w:fill="FFFFFF"/>
        </w:rPr>
        <w:t xml:space="preserve">Faça o download </w:t>
      </w:r>
      <w:r w:rsidR="00CD2561">
        <w:rPr>
          <w:rFonts w:ascii="Arial" w:hAnsi="Arial" w:cs="Arial"/>
          <w:shd w:val="clear" w:color="auto" w:fill="FFFFFF"/>
        </w:rPr>
        <w:t>do relatório completo</w:t>
      </w:r>
      <w:r w:rsidRPr="00F9524F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Pr="002D7D4E">
          <w:rPr>
            <w:rStyle w:val="Hiperligao"/>
            <w:rFonts w:ascii="Arial" w:hAnsi="Arial" w:cs="Arial"/>
            <w:shd w:val="clear" w:color="auto" w:fill="FFFFFF"/>
          </w:rPr>
          <w:t>aqui</w:t>
        </w:r>
      </w:hyperlink>
      <w:r w:rsidRPr="00F9524F">
        <w:rPr>
          <w:rFonts w:ascii="Arial" w:hAnsi="Arial" w:cs="Arial"/>
          <w:shd w:val="clear" w:color="auto" w:fill="FFFFFF"/>
        </w:rPr>
        <w:t xml:space="preserve">. </w:t>
      </w:r>
    </w:p>
    <w:p w14:paraId="1EA62B27" w14:textId="67D24996" w:rsidR="00D542F9" w:rsidRPr="00F9524F" w:rsidRDefault="00D542F9" w:rsidP="00C6113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1E7B7D5" w14:textId="77777777" w:rsidR="009F2407" w:rsidRPr="00F9524F" w:rsidRDefault="009F2407" w:rsidP="009F2407">
      <w:pPr>
        <w:jc w:val="both"/>
        <w:rPr>
          <w:rFonts w:ascii="Arial" w:hAnsi="Arial" w:cs="Arial"/>
          <w:b/>
          <w:color w:val="000000"/>
          <w:sz w:val="16"/>
          <w:szCs w:val="20"/>
          <w:lang w:eastAsia="en-GB"/>
        </w:rPr>
      </w:pPr>
      <w:r w:rsidRPr="00F9524F">
        <w:rPr>
          <w:rFonts w:ascii="Arial" w:hAnsi="Arial" w:cs="Arial"/>
          <w:b/>
          <w:sz w:val="16"/>
          <w:szCs w:val="20"/>
        </w:rPr>
        <w:t>Sobre a NTT DATA</w:t>
      </w:r>
    </w:p>
    <w:p w14:paraId="21842A91" w14:textId="77777777" w:rsidR="009F2407" w:rsidRPr="00F9524F" w:rsidRDefault="009F2407" w:rsidP="009F2407">
      <w:pPr>
        <w:jc w:val="both"/>
        <w:rPr>
          <w:rStyle w:val="normaltextrun"/>
          <w:shd w:val="clear" w:color="auto" w:fill="FFFFFF"/>
        </w:rPr>
      </w:pPr>
      <w:r w:rsidRPr="00F9524F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</w:rPr>
        <w:t>A NTT DATA é uma empresa do Grupo NTT - Nippon and Telegraph and Telefone Corporation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 um alcance global com a visão local dos negócios, nos mais de 50 países do mundo onde está presente. Saiba mais sobre a NTT DATA em pt.nttdata.com.</w:t>
      </w:r>
    </w:p>
    <w:p w14:paraId="6661BB64" w14:textId="77777777" w:rsidR="009F2407" w:rsidRDefault="009F2407" w:rsidP="009F2407">
      <w:pPr>
        <w:pStyle w:val="NormalWeb"/>
        <w:spacing w:before="0" w:beforeAutospacing="0" w:after="0" w:afterAutospacing="0"/>
        <w:rPr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Para mais informação contacte: </w:t>
      </w:r>
    </w:p>
    <w:p w14:paraId="4E5EC671" w14:textId="77777777" w:rsidR="009F2407" w:rsidRDefault="009F2407" w:rsidP="009F24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4EFB219" w14:textId="77777777" w:rsidR="009F2407" w:rsidRDefault="009F2407" w:rsidP="009F24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1A9022C8" w14:textId="77777777" w:rsidR="009F2407" w:rsidRDefault="009F2407" w:rsidP="009F240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Erica Macieira | </w:t>
      </w:r>
      <w:hyperlink r:id="rId12" w:history="1">
        <w:r>
          <w:rPr>
            <w:rStyle w:val="Hiperligao"/>
            <w:rFonts w:ascii="Arial" w:hAnsi="Arial" w:cs="Arial"/>
            <w:sz w:val="18"/>
          </w:rPr>
          <w:t>erica.macieira@lift.com.pt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| 910549515 </w:t>
      </w:r>
    </w:p>
    <w:p w14:paraId="269300E4" w14:textId="323CBFEF" w:rsidR="009F2407" w:rsidRDefault="009F2407" w:rsidP="009F240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Inês Filipe | </w:t>
      </w:r>
      <w:hyperlink r:id="rId13" w:history="1">
        <w:r>
          <w:rPr>
            <w:rStyle w:val="Hiperligao"/>
            <w:rFonts w:ascii="Arial" w:hAnsi="Arial" w:cs="Arial"/>
            <w:sz w:val="18"/>
            <w:szCs w:val="18"/>
            <w:lang w:val="en-GB"/>
          </w:rPr>
          <w:t>ines.filipe@lift.com.pt</w:t>
        </w:r>
      </w:hyperlink>
      <w:r>
        <w:rPr>
          <w:rFonts w:ascii="Arial" w:hAnsi="Arial" w:cs="Arial"/>
          <w:color w:val="000000"/>
          <w:sz w:val="18"/>
          <w:szCs w:val="18"/>
          <w:lang w:val="en-GB"/>
        </w:rPr>
        <w:t xml:space="preserve"> | 910 283 054</w:t>
      </w:r>
    </w:p>
    <w:p w14:paraId="37AB0F27" w14:textId="4D06A011" w:rsidR="000A5628" w:rsidRPr="00C95352" w:rsidRDefault="000A5628" w:rsidP="00463687">
      <w:pPr>
        <w:spacing w:after="0"/>
        <w:rPr>
          <w:rFonts w:ascii="Arial" w:hAnsi="Arial" w:cs="Arial"/>
          <w:lang w:val="en-US"/>
        </w:rPr>
      </w:pPr>
    </w:p>
    <w:sectPr w:rsidR="000A5628" w:rsidRPr="00C95352" w:rsidSect="003457AB">
      <w:headerReference w:type="default" r:id="rId14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4746" w14:textId="77777777" w:rsidR="00884192" w:rsidRDefault="00884192" w:rsidP="00411A05">
      <w:pPr>
        <w:spacing w:after="0" w:line="240" w:lineRule="auto"/>
      </w:pPr>
      <w:r>
        <w:separator/>
      </w:r>
    </w:p>
  </w:endnote>
  <w:endnote w:type="continuationSeparator" w:id="0">
    <w:p w14:paraId="6AFB418E" w14:textId="77777777" w:rsidR="00884192" w:rsidRDefault="00884192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0DE6" w14:textId="77777777" w:rsidR="00884192" w:rsidRDefault="00884192" w:rsidP="00411A05">
      <w:pPr>
        <w:spacing w:after="0" w:line="240" w:lineRule="auto"/>
      </w:pPr>
      <w:r>
        <w:separator/>
      </w:r>
    </w:p>
  </w:footnote>
  <w:footnote w:type="continuationSeparator" w:id="0">
    <w:p w14:paraId="2B164994" w14:textId="77777777" w:rsidR="00884192" w:rsidRDefault="00884192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B6F3" w14:textId="2BFE5822" w:rsidR="00411A05" w:rsidRDefault="00E40B1C" w:rsidP="000A5628">
    <w:pPr>
      <w:pStyle w:val="Cabealho"/>
      <w:tabs>
        <w:tab w:val="clear" w:pos="8504"/>
        <w:tab w:val="right" w:pos="8222"/>
      </w:tabs>
      <w:ind w:left="-709"/>
    </w:pPr>
    <w:r>
      <w:rPr>
        <w:noProof/>
        <w:color w:val="2B579A"/>
        <w:shd w:val="clear" w:color="auto" w:fill="E6E6E6"/>
        <w:lang w:eastAsia="pt-PT"/>
      </w:rPr>
      <w:drawing>
        <wp:anchor distT="0" distB="0" distL="114300" distR="114300" simplePos="0" relativeHeight="251660800" behindDoc="0" locked="0" layoutInCell="1" allowOverlap="1" wp14:anchorId="1693E4DC" wp14:editId="42BF7954">
          <wp:simplePos x="0" y="0"/>
          <wp:positionH relativeFrom="page">
            <wp:posOffset>843280</wp:posOffset>
          </wp:positionH>
          <wp:positionV relativeFrom="page">
            <wp:posOffset>536575</wp:posOffset>
          </wp:positionV>
          <wp:extent cx="1645920" cy="5664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C6471" w14:textId="77777777" w:rsidR="000A5628" w:rsidRDefault="000A5628">
    <w:pPr>
      <w:pStyle w:val="Cabealho"/>
    </w:pPr>
  </w:p>
  <w:p w14:paraId="38760690" w14:textId="77777777" w:rsidR="000A5628" w:rsidRDefault="000A5628">
    <w:pPr>
      <w:pStyle w:val="Cabealho"/>
    </w:pPr>
  </w:p>
  <w:p w14:paraId="60248FA1" w14:textId="77777777" w:rsidR="00E40B1C" w:rsidRPr="000A5628" w:rsidRDefault="00E40B1C">
    <w:pPr>
      <w:pStyle w:val="Cabealh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B7D"/>
    <w:multiLevelType w:val="hybridMultilevel"/>
    <w:tmpl w:val="E93AFB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B344D"/>
    <w:multiLevelType w:val="hybridMultilevel"/>
    <w:tmpl w:val="5960556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D09C3"/>
    <w:multiLevelType w:val="hybridMultilevel"/>
    <w:tmpl w:val="6D3E6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CEC"/>
    <w:multiLevelType w:val="hybridMultilevel"/>
    <w:tmpl w:val="57864390"/>
    <w:lvl w:ilvl="0" w:tplc="5512FA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FD3"/>
    <w:multiLevelType w:val="hybridMultilevel"/>
    <w:tmpl w:val="A5E4B1E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01F62"/>
    <w:multiLevelType w:val="multilevel"/>
    <w:tmpl w:val="32D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B30B3"/>
    <w:multiLevelType w:val="hybridMultilevel"/>
    <w:tmpl w:val="937EF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2E10"/>
    <w:multiLevelType w:val="hybridMultilevel"/>
    <w:tmpl w:val="C27240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2C96"/>
    <w:multiLevelType w:val="hybridMultilevel"/>
    <w:tmpl w:val="B112A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1531">
    <w:abstractNumId w:val="2"/>
  </w:num>
  <w:num w:numId="2" w16cid:durableId="1502625931">
    <w:abstractNumId w:val="3"/>
  </w:num>
  <w:num w:numId="3" w16cid:durableId="188875588">
    <w:abstractNumId w:val="5"/>
  </w:num>
  <w:num w:numId="4" w16cid:durableId="1218712177">
    <w:abstractNumId w:val="8"/>
  </w:num>
  <w:num w:numId="5" w16cid:durableId="543950301">
    <w:abstractNumId w:val="7"/>
  </w:num>
  <w:num w:numId="6" w16cid:durableId="1881429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948808">
    <w:abstractNumId w:val="6"/>
  </w:num>
  <w:num w:numId="8" w16cid:durableId="1558274754">
    <w:abstractNumId w:val="0"/>
  </w:num>
  <w:num w:numId="9" w16cid:durableId="967510522">
    <w:abstractNumId w:val="1"/>
  </w:num>
  <w:num w:numId="10" w16cid:durableId="137595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26"/>
    <w:rsid w:val="00005B98"/>
    <w:rsid w:val="0001388F"/>
    <w:rsid w:val="00013A14"/>
    <w:rsid w:val="00021D00"/>
    <w:rsid w:val="00026926"/>
    <w:rsid w:val="00036EB0"/>
    <w:rsid w:val="0004599D"/>
    <w:rsid w:val="00054A73"/>
    <w:rsid w:val="00060FFB"/>
    <w:rsid w:val="00062AA5"/>
    <w:rsid w:val="00072089"/>
    <w:rsid w:val="00090465"/>
    <w:rsid w:val="0009197F"/>
    <w:rsid w:val="000A0138"/>
    <w:rsid w:val="000A1BC6"/>
    <w:rsid w:val="000A29C8"/>
    <w:rsid w:val="000A29E5"/>
    <w:rsid w:val="000A3830"/>
    <w:rsid w:val="000A3FD0"/>
    <w:rsid w:val="000A5628"/>
    <w:rsid w:val="000B27FF"/>
    <w:rsid w:val="000B42A1"/>
    <w:rsid w:val="000C65A2"/>
    <w:rsid w:val="000D4DC1"/>
    <w:rsid w:val="000E04DD"/>
    <w:rsid w:val="000E27D8"/>
    <w:rsid w:val="000E3D5B"/>
    <w:rsid w:val="000E4D58"/>
    <w:rsid w:val="000E5A51"/>
    <w:rsid w:val="00101590"/>
    <w:rsid w:val="001031AE"/>
    <w:rsid w:val="00104624"/>
    <w:rsid w:val="001146B7"/>
    <w:rsid w:val="00130D8D"/>
    <w:rsid w:val="00132851"/>
    <w:rsid w:val="00132A83"/>
    <w:rsid w:val="00133361"/>
    <w:rsid w:val="001468D9"/>
    <w:rsid w:val="00147BCB"/>
    <w:rsid w:val="00150100"/>
    <w:rsid w:val="0015541E"/>
    <w:rsid w:val="00156F2B"/>
    <w:rsid w:val="00160040"/>
    <w:rsid w:val="00160132"/>
    <w:rsid w:val="00177168"/>
    <w:rsid w:val="001776ED"/>
    <w:rsid w:val="001A1989"/>
    <w:rsid w:val="001A344B"/>
    <w:rsid w:val="001A7ECF"/>
    <w:rsid w:val="001B4F8E"/>
    <w:rsid w:val="001C07DE"/>
    <w:rsid w:val="001C51A3"/>
    <w:rsid w:val="001C7D3D"/>
    <w:rsid w:val="001D0813"/>
    <w:rsid w:val="001D3A8B"/>
    <w:rsid w:val="001E72F8"/>
    <w:rsid w:val="001F4340"/>
    <w:rsid w:val="001F4E2F"/>
    <w:rsid w:val="001F58D6"/>
    <w:rsid w:val="001F5EAB"/>
    <w:rsid w:val="001F6A45"/>
    <w:rsid w:val="00201D75"/>
    <w:rsid w:val="00210372"/>
    <w:rsid w:val="00211A86"/>
    <w:rsid w:val="00223629"/>
    <w:rsid w:val="00223B8C"/>
    <w:rsid w:val="0022465B"/>
    <w:rsid w:val="00240DD0"/>
    <w:rsid w:val="00241467"/>
    <w:rsid w:val="002415DE"/>
    <w:rsid w:val="0024278A"/>
    <w:rsid w:val="002515D8"/>
    <w:rsid w:val="00252C78"/>
    <w:rsid w:val="00267A21"/>
    <w:rsid w:val="00272DC3"/>
    <w:rsid w:val="00291805"/>
    <w:rsid w:val="002A0919"/>
    <w:rsid w:val="002B24BD"/>
    <w:rsid w:val="002B24EF"/>
    <w:rsid w:val="002D7D4E"/>
    <w:rsid w:val="002F02E1"/>
    <w:rsid w:val="003173E2"/>
    <w:rsid w:val="00322F4E"/>
    <w:rsid w:val="00324AC4"/>
    <w:rsid w:val="00324D76"/>
    <w:rsid w:val="00327492"/>
    <w:rsid w:val="003275CA"/>
    <w:rsid w:val="003277B2"/>
    <w:rsid w:val="00332AAA"/>
    <w:rsid w:val="003457AB"/>
    <w:rsid w:val="0034703F"/>
    <w:rsid w:val="00350345"/>
    <w:rsid w:val="003523B2"/>
    <w:rsid w:val="0035356F"/>
    <w:rsid w:val="0035773C"/>
    <w:rsid w:val="00363FFC"/>
    <w:rsid w:val="00367E61"/>
    <w:rsid w:val="0037526C"/>
    <w:rsid w:val="00377335"/>
    <w:rsid w:val="003A3BD3"/>
    <w:rsid w:val="003A46CC"/>
    <w:rsid w:val="003B0CAB"/>
    <w:rsid w:val="003B1385"/>
    <w:rsid w:val="003B2479"/>
    <w:rsid w:val="003B3518"/>
    <w:rsid w:val="003C1478"/>
    <w:rsid w:val="003C1F48"/>
    <w:rsid w:val="003C328E"/>
    <w:rsid w:val="003C4152"/>
    <w:rsid w:val="003C72DD"/>
    <w:rsid w:val="003D0D81"/>
    <w:rsid w:val="003D2E54"/>
    <w:rsid w:val="003D2FEA"/>
    <w:rsid w:val="003D6319"/>
    <w:rsid w:val="003D65A1"/>
    <w:rsid w:val="003D7529"/>
    <w:rsid w:val="003E4607"/>
    <w:rsid w:val="003F0F1A"/>
    <w:rsid w:val="003F7A93"/>
    <w:rsid w:val="00401A69"/>
    <w:rsid w:val="0040628C"/>
    <w:rsid w:val="00411A05"/>
    <w:rsid w:val="00413E07"/>
    <w:rsid w:val="0041739A"/>
    <w:rsid w:val="0043182A"/>
    <w:rsid w:val="0044362C"/>
    <w:rsid w:val="00456A5E"/>
    <w:rsid w:val="00456B49"/>
    <w:rsid w:val="00456D68"/>
    <w:rsid w:val="00462CE9"/>
    <w:rsid w:val="00463687"/>
    <w:rsid w:val="00471752"/>
    <w:rsid w:val="00473A47"/>
    <w:rsid w:val="00474DFE"/>
    <w:rsid w:val="00476551"/>
    <w:rsid w:val="00480C2B"/>
    <w:rsid w:val="004A13FE"/>
    <w:rsid w:val="004A2C86"/>
    <w:rsid w:val="004A3F7C"/>
    <w:rsid w:val="004B1F97"/>
    <w:rsid w:val="004B3573"/>
    <w:rsid w:val="004C3F98"/>
    <w:rsid w:val="004D1B8C"/>
    <w:rsid w:val="004D34DF"/>
    <w:rsid w:val="004D7C2B"/>
    <w:rsid w:val="004E1F99"/>
    <w:rsid w:val="004E5232"/>
    <w:rsid w:val="004E5C9B"/>
    <w:rsid w:val="004E7538"/>
    <w:rsid w:val="004E7F8E"/>
    <w:rsid w:val="004F6E65"/>
    <w:rsid w:val="00511E88"/>
    <w:rsid w:val="005130F5"/>
    <w:rsid w:val="00513555"/>
    <w:rsid w:val="00513EF7"/>
    <w:rsid w:val="00515E40"/>
    <w:rsid w:val="00521603"/>
    <w:rsid w:val="00524006"/>
    <w:rsid w:val="0053287E"/>
    <w:rsid w:val="00535CFE"/>
    <w:rsid w:val="00536B77"/>
    <w:rsid w:val="0054565B"/>
    <w:rsid w:val="0055090E"/>
    <w:rsid w:val="0055796D"/>
    <w:rsid w:val="005670E2"/>
    <w:rsid w:val="0057368D"/>
    <w:rsid w:val="00582B08"/>
    <w:rsid w:val="00582FCA"/>
    <w:rsid w:val="00586A19"/>
    <w:rsid w:val="00590FDA"/>
    <w:rsid w:val="00592867"/>
    <w:rsid w:val="00593449"/>
    <w:rsid w:val="005A0086"/>
    <w:rsid w:val="005A2E1B"/>
    <w:rsid w:val="005A6AEC"/>
    <w:rsid w:val="005B10B7"/>
    <w:rsid w:val="005B2426"/>
    <w:rsid w:val="005B4062"/>
    <w:rsid w:val="005B73A9"/>
    <w:rsid w:val="005C147C"/>
    <w:rsid w:val="005C5F0A"/>
    <w:rsid w:val="005D0ABB"/>
    <w:rsid w:val="005D1FD1"/>
    <w:rsid w:val="005D281B"/>
    <w:rsid w:val="005F2D24"/>
    <w:rsid w:val="0062016D"/>
    <w:rsid w:val="00630C64"/>
    <w:rsid w:val="006422C9"/>
    <w:rsid w:val="006441CA"/>
    <w:rsid w:val="00651532"/>
    <w:rsid w:val="00663E0F"/>
    <w:rsid w:val="00664A32"/>
    <w:rsid w:val="00670B0B"/>
    <w:rsid w:val="00680B5C"/>
    <w:rsid w:val="006824A4"/>
    <w:rsid w:val="006826B1"/>
    <w:rsid w:val="00683E45"/>
    <w:rsid w:val="00697A8C"/>
    <w:rsid w:val="006A597E"/>
    <w:rsid w:val="006A5B80"/>
    <w:rsid w:val="006B270D"/>
    <w:rsid w:val="006B7A2A"/>
    <w:rsid w:val="006C03EA"/>
    <w:rsid w:val="006C3A0D"/>
    <w:rsid w:val="006C53C6"/>
    <w:rsid w:val="006C5EE1"/>
    <w:rsid w:val="006D1FA1"/>
    <w:rsid w:val="006D5691"/>
    <w:rsid w:val="006E0E07"/>
    <w:rsid w:val="006E3156"/>
    <w:rsid w:val="006F5617"/>
    <w:rsid w:val="00715959"/>
    <w:rsid w:val="00715F82"/>
    <w:rsid w:val="00723E00"/>
    <w:rsid w:val="00742E12"/>
    <w:rsid w:val="0075421E"/>
    <w:rsid w:val="007738EB"/>
    <w:rsid w:val="00775C8D"/>
    <w:rsid w:val="007812C4"/>
    <w:rsid w:val="00783CAD"/>
    <w:rsid w:val="0078785E"/>
    <w:rsid w:val="007912D9"/>
    <w:rsid w:val="007A6907"/>
    <w:rsid w:val="007B1087"/>
    <w:rsid w:val="007C1858"/>
    <w:rsid w:val="007C365A"/>
    <w:rsid w:val="007C77D4"/>
    <w:rsid w:val="007D0DE4"/>
    <w:rsid w:val="007D14C9"/>
    <w:rsid w:val="007D3554"/>
    <w:rsid w:val="007D5F44"/>
    <w:rsid w:val="007D6AFA"/>
    <w:rsid w:val="007E497C"/>
    <w:rsid w:val="007F1663"/>
    <w:rsid w:val="007F270C"/>
    <w:rsid w:val="008039DE"/>
    <w:rsid w:val="00806763"/>
    <w:rsid w:val="00813989"/>
    <w:rsid w:val="00824C00"/>
    <w:rsid w:val="00830D35"/>
    <w:rsid w:val="008314EE"/>
    <w:rsid w:val="008474A1"/>
    <w:rsid w:val="00847CEB"/>
    <w:rsid w:val="00857ACF"/>
    <w:rsid w:val="008624D0"/>
    <w:rsid w:val="00876C2D"/>
    <w:rsid w:val="00884192"/>
    <w:rsid w:val="0088563D"/>
    <w:rsid w:val="00891E64"/>
    <w:rsid w:val="008932CD"/>
    <w:rsid w:val="00896944"/>
    <w:rsid w:val="008969CF"/>
    <w:rsid w:val="008A0986"/>
    <w:rsid w:val="008A4C50"/>
    <w:rsid w:val="008B17BB"/>
    <w:rsid w:val="008C5A0F"/>
    <w:rsid w:val="008C6CB5"/>
    <w:rsid w:val="008D5901"/>
    <w:rsid w:val="008E2402"/>
    <w:rsid w:val="008E37F4"/>
    <w:rsid w:val="008F06D5"/>
    <w:rsid w:val="008F074A"/>
    <w:rsid w:val="008F75A4"/>
    <w:rsid w:val="00903935"/>
    <w:rsid w:val="00903AFA"/>
    <w:rsid w:val="0090737B"/>
    <w:rsid w:val="009108E6"/>
    <w:rsid w:val="00916F8E"/>
    <w:rsid w:val="009215E0"/>
    <w:rsid w:val="00926B1F"/>
    <w:rsid w:val="0093035C"/>
    <w:rsid w:val="0094019F"/>
    <w:rsid w:val="009465D9"/>
    <w:rsid w:val="00971E96"/>
    <w:rsid w:val="0098496D"/>
    <w:rsid w:val="009859E3"/>
    <w:rsid w:val="0099450A"/>
    <w:rsid w:val="00995F54"/>
    <w:rsid w:val="009A4278"/>
    <w:rsid w:val="009A71CB"/>
    <w:rsid w:val="009B1927"/>
    <w:rsid w:val="009B29E4"/>
    <w:rsid w:val="009D1A33"/>
    <w:rsid w:val="009D38D2"/>
    <w:rsid w:val="009D49AA"/>
    <w:rsid w:val="009E45AF"/>
    <w:rsid w:val="009E489A"/>
    <w:rsid w:val="009E6F4D"/>
    <w:rsid w:val="009F0F40"/>
    <w:rsid w:val="009F1F62"/>
    <w:rsid w:val="009F2407"/>
    <w:rsid w:val="00A036B6"/>
    <w:rsid w:val="00A03A79"/>
    <w:rsid w:val="00A124D8"/>
    <w:rsid w:val="00A171BB"/>
    <w:rsid w:val="00A20936"/>
    <w:rsid w:val="00A22D4F"/>
    <w:rsid w:val="00A23369"/>
    <w:rsid w:val="00A34B29"/>
    <w:rsid w:val="00A42839"/>
    <w:rsid w:val="00A4764E"/>
    <w:rsid w:val="00A60F1B"/>
    <w:rsid w:val="00A62AF8"/>
    <w:rsid w:val="00A6709B"/>
    <w:rsid w:val="00A7028E"/>
    <w:rsid w:val="00A76FA4"/>
    <w:rsid w:val="00AA3D64"/>
    <w:rsid w:val="00AA40D9"/>
    <w:rsid w:val="00AB2A92"/>
    <w:rsid w:val="00AB4699"/>
    <w:rsid w:val="00AC2AD9"/>
    <w:rsid w:val="00AC577A"/>
    <w:rsid w:val="00AD6099"/>
    <w:rsid w:val="00AE12C5"/>
    <w:rsid w:val="00AE29CD"/>
    <w:rsid w:val="00AE2DD6"/>
    <w:rsid w:val="00AE4028"/>
    <w:rsid w:val="00AE72D3"/>
    <w:rsid w:val="00B00FA3"/>
    <w:rsid w:val="00B04D8C"/>
    <w:rsid w:val="00B31B4E"/>
    <w:rsid w:val="00B37632"/>
    <w:rsid w:val="00B6008A"/>
    <w:rsid w:val="00B73F0C"/>
    <w:rsid w:val="00B7403D"/>
    <w:rsid w:val="00B808AB"/>
    <w:rsid w:val="00B83393"/>
    <w:rsid w:val="00B951B7"/>
    <w:rsid w:val="00B97CE2"/>
    <w:rsid w:val="00BA2812"/>
    <w:rsid w:val="00BA4C4F"/>
    <w:rsid w:val="00BA67F5"/>
    <w:rsid w:val="00BA6B77"/>
    <w:rsid w:val="00BA6C34"/>
    <w:rsid w:val="00BA789F"/>
    <w:rsid w:val="00BB3405"/>
    <w:rsid w:val="00BB5D62"/>
    <w:rsid w:val="00BC2979"/>
    <w:rsid w:val="00BC3A25"/>
    <w:rsid w:val="00BC69AF"/>
    <w:rsid w:val="00BC6B14"/>
    <w:rsid w:val="00BE7819"/>
    <w:rsid w:val="00BF252E"/>
    <w:rsid w:val="00BF41D1"/>
    <w:rsid w:val="00BF4629"/>
    <w:rsid w:val="00C05930"/>
    <w:rsid w:val="00C14AE8"/>
    <w:rsid w:val="00C15B05"/>
    <w:rsid w:val="00C474C4"/>
    <w:rsid w:val="00C61133"/>
    <w:rsid w:val="00C648B6"/>
    <w:rsid w:val="00C654DD"/>
    <w:rsid w:val="00C717E1"/>
    <w:rsid w:val="00C72302"/>
    <w:rsid w:val="00C72CBA"/>
    <w:rsid w:val="00C806B6"/>
    <w:rsid w:val="00C81E10"/>
    <w:rsid w:val="00C83BE2"/>
    <w:rsid w:val="00C94331"/>
    <w:rsid w:val="00C95352"/>
    <w:rsid w:val="00C96005"/>
    <w:rsid w:val="00C969DA"/>
    <w:rsid w:val="00C96EF2"/>
    <w:rsid w:val="00CA07BC"/>
    <w:rsid w:val="00CA29E3"/>
    <w:rsid w:val="00CB0419"/>
    <w:rsid w:val="00CB09BC"/>
    <w:rsid w:val="00CB58A2"/>
    <w:rsid w:val="00CB7E1B"/>
    <w:rsid w:val="00CC2990"/>
    <w:rsid w:val="00CD2561"/>
    <w:rsid w:val="00CE65A4"/>
    <w:rsid w:val="00CE77EA"/>
    <w:rsid w:val="00CE7BE7"/>
    <w:rsid w:val="00CF6D37"/>
    <w:rsid w:val="00D04756"/>
    <w:rsid w:val="00D12019"/>
    <w:rsid w:val="00D120A7"/>
    <w:rsid w:val="00D16AD2"/>
    <w:rsid w:val="00D2294F"/>
    <w:rsid w:val="00D2723D"/>
    <w:rsid w:val="00D30F87"/>
    <w:rsid w:val="00D417AB"/>
    <w:rsid w:val="00D542F9"/>
    <w:rsid w:val="00D629FF"/>
    <w:rsid w:val="00D64F8B"/>
    <w:rsid w:val="00D72171"/>
    <w:rsid w:val="00D80124"/>
    <w:rsid w:val="00D818A5"/>
    <w:rsid w:val="00D86EE6"/>
    <w:rsid w:val="00D877F9"/>
    <w:rsid w:val="00D94576"/>
    <w:rsid w:val="00DA28EE"/>
    <w:rsid w:val="00DB5231"/>
    <w:rsid w:val="00DB701F"/>
    <w:rsid w:val="00DC573C"/>
    <w:rsid w:val="00DD6D0D"/>
    <w:rsid w:val="00DE3A2F"/>
    <w:rsid w:val="00DE4940"/>
    <w:rsid w:val="00DF4BC3"/>
    <w:rsid w:val="00DF4F3F"/>
    <w:rsid w:val="00E04CD2"/>
    <w:rsid w:val="00E073BB"/>
    <w:rsid w:val="00E149F3"/>
    <w:rsid w:val="00E161F1"/>
    <w:rsid w:val="00E17E57"/>
    <w:rsid w:val="00E232F5"/>
    <w:rsid w:val="00E40AD7"/>
    <w:rsid w:val="00E40B1C"/>
    <w:rsid w:val="00E4354A"/>
    <w:rsid w:val="00E51D25"/>
    <w:rsid w:val="00E5210E"/>
    <w:rsid w:val="00E56BB1"/>
    <w:rsid w:val="00E56C74"/>
    <w:rsid w:val="00E70681"/>
    <w:rsid w:val="00E7341C"/>
    <w:rsid w:val="00E747B6"/>
    <w:rsid w:val="00E75B56"/>
    <w:rsid w:val="00E95E22"/>
    <w:rsid w:val="00E963FC"/>
    <w:rsid w:val="00EA1665"/>
    <w:rsid w:val="00EA548E"/>
    <w:rsid w:val="00EB285A"/>
    <w:rsid w:val="00EC1A93"/>
    <w:rsid w:val="00EC5DB9"/>
    <w:rsid w:val="00EC737D"/>
    <w:rsid w:val="00ED1B83"/>
    <w:rsid w:val="00ED4452"/>
    <w:rsid w:val="00ED6A74"/>
    <w:rsid w:val="00EE7836"/>
    <w:rsid w:val="00EF0C76"/>
    <w:rsid w:val="00EF3A9A"/>
    <w:rsid w:val="00F00775"/>
    <w:rsid w:val="00F33402"/>
    <w:rsid w:val="00F33C84"/>
    <w:rsid w:val="00F37B7C"/>
    <w:rsid w:val="00F37D69"/>
    <w:rsid w:val="00F61E63"/>
    <w:rsid w:val="00F62968"/>
    <w:rsid w:val="00F71B45"/>
    <w:rsid w:val="00F731F7"/>
    <w:rsid w:val="00F81910"/>
    <w:rsid w:val="00F87EAE"/>
    <w:rsid w:val="00F9524F"/>
    <w:rsid w:val="00FA0234"/>
    <w:rsid w:val="00FD3891"/>
    <w:rsid w:val="00FD4509"/>
    <w:rsid w:val="00FD5652"/>
    <w:rsid w:val="00FD62BC"/>
    <w:rsid w:val="00FE2D76"/>
    <w:rsid w:val="00FE32D0"/>
    <w:rsid w:val="00FE6340"/>
    <w:rsid w:val="00FF176E"/>
    <w:rsid w:val="00FF5B03"/>
    <w:rsid w:val="00FF7D51"/>
    <w:rsid w:val="090CE18F"/>
    <w:rsid w:val="0C098DCC"/>
    <w:rsid w:val="15D96353"/>
    <w:rsid w:val="31F8A61C"/>
    <w:rsid w:val="3ED4FE15"/>
    <w:rsid w:val="53DBE944"/>
    <w:rsid w:val="5F641AE8"/>
    <w:rsid w:val="60845C6B"/>
    <w:rsid w:val="61A6C9C7"/>
    <w:rsid w:val="66C77D2C"/>
    <w:rsid w:val="6CAB537F"/>
    <w:rsid w:val="6CB83838"/>
    <w:rsid w:val="708CA672"/>
    <w:rsid w:val="70A16785"/>
    <w:rsid w:val="783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C4C70"/>
  <w15:chartTrackingRefBased/>
  <w15:docId w15:val="{F3C267D7-3658-4E01-8386-8E4973D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2">
    <w:name w:val="heading 2"/>
    <w:basedOn w:val="Normal"/>
    <w:link w:val="Ttulo2Carter"/>
    <w:uiPriority w:val="9"/>
    <w:qFormat/>
    <w:rsid w:val="0002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ter"/>
    <w:uiPriority w:val="9"/>
    <w:qFormat/>
    <w:rsid w:val="00026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FooterText,numbered,Paragraphe de liste1,List Paragraph1,Bullet List,Paragrafo elenco,Listenabsatz,Bulletr List Paragraph,列出段落,列出段落1,List Paragraph2,List Paragraph21,Listeafsnit1,Parágrafo da Lista1,リスト段落1,Párrafo de lista1,列出段落2,??"/>
    <w:basedOn w:val="Normal"/>
    <w:link w:val="PargrafodaListaCarter"/>
    <w:uiPriority w:val="34"/>
    <w:qFormat/>
    <w:rsid w:val="0002692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02692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269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rte">
    <w:name w:val="Strong"/>
    <w:basedOn w:val="Tipodeletrapredefinidodopargrafo"/>
    <w:uiPriority w:val="22"/>
    <w:qFormat/>
    <w:rsid w:val="00026926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026926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1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1A05"/>
  </w:style>
  <w:style w:type="paragraph" w:styleId="Rodap">
    <w:name w:val="footer"/>
    <w:basedOn w:val="Normal"/>
    <w:link w:val="RodapCarter"/>
    <w:uiPriority w:val="99"/>
    <w:unhideWhenUsed/>
    <w:rsid w:val="0041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1A05"/>
  </w:style>
  <w:style w:type="paragraph" w:styleId="Textodebalo">
    <w:name w:val="Balloon Text"/>
    <w:basedOn w:val="Normal"/>
    <w:link w:val="TextodebaloCarter"/>
    <w:uiPriority w:val="99"/>
    <w:semiHidden/>
    <w:unhideWhenUsed/>
    <w:rsid w:val="004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1F97"/>
    <w:rPr>
      <w:rFonts w:ascii="Segoe UI" w:hAnsi="Segoe UI" w:cs="Segoe UI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E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E2D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emEspaamento">
    <w:name w:val="No Spacing"/>
    <w:uiPriority w:val="1"/>
    <w:qFormat/>
    <w:rsid w:val="0075421E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771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771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771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71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7168"/>
    <w:rPr>
      <w:b/>
      <w:bCs/>
      <w:sz w:val="20"/>
      <w:szCs w:val="20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A22D4F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D5691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Listenabsatz Caráter,Bulletr List Paragraph Caráter,列出段落 Caráter,列出段落1 Caráter,列出段落2 Caráter"/>
    <w:basedOn w:val="Tipodeletrapredefinidodopargrafo"/>
    <w:link w:val="PargrafodaLista"/>
    <w:uiPriority w:val="34"/>
    <w:locked/>
    <w:rsid w:val="00130D8D"/>
  </w:style>
  <w:style w:type="character" w:customStyle="1" w:styleId="Mencionar1">
    <w:name w:val="Mencionar1"/>
    <w:basedOn w:val="Tipodeletrapredefinidodopargrafo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Tipodeletrapredefinidodopargrafo"/>
    <w:rsid w:val="002A0919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E40AD7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F2407"/>
  </w:style>
  <w:style w:type="character" w:styleId="MenoNoResolvida">
    <w:name w:val="Unresolved Mention"/>
    <w:basedOn w:val="Tipodeletrapredefinidodopargrafo"/>
    <w:uiPriority w:val="99"/>
    <w:semiHidden/>
    <w:unhideWhenUsed/>
    <w:rsid w:val="002D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9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nds4energy.com/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CF618-FA52-4DAB-90BF-6CF4B569176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9B7B0A8-8D58-4B76-98CC-B4B67C81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82EC3E-2A2B-444E-AE54-4E086A915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71C1E-6179-4266-89E2-B1746749E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1320</Words>
  <Characters>7129</Characters>
  <Application>Microsoft Office Word</Application>
  <DocSecurity>0</DocSecurity>
  <Lines>59</Lines>
  <Paragraphs>16</Paragraphs>
  <ScaleCrop>false</ScaleCrop>
  <Company>Everis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Fagundez Uña</dc:creator>
  <cp:keywords/>
  <dc:description/>
  <cp:lastModifiedBy>Inês Filipe</cp:lastModifiedBy>
  <cp:revision>10</cp:revision>
  <dcterms:created xsi:type="dcterms:W3CDTF">2022-06-22T13:35:00Z</dcterms:created>
  <dcterms:modified xsi:type="dcterms:W3CDTF">2022-07-06T08:57:00Z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