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Pr="00207396" w:rsidRDefault="009A233D" w:rsidP="004C3E26">
      <w:pPr>
        <w:spacing w:before="240" w:after="240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pl-PL"/>
        </w:rPr>
        <w:sectPr w:rsidR="009A233D" w:rsidRPr="00207396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207396">
        <w:rPr>
          <w:rFonts w:asciiTheme="majorHAnsi" w:eastAsia="Times New Roman" w:hAnsiTheme="majorHAnsi" w:cstheme="majorHAns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207396" w:rsidRDefault="009A233D" w:rsidP="004C3E26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bookmarkEnd w:id="0"/>
    <w:p w14:paraId="739C6003" w14:textId="77777777" w:rsidR="009A233D" w:rsidRPr="00207396" w:rsidRDefault="009A233D" w:rsidP="004C3E26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07396">
        <w:rPr>
          <w:rFonts w:asciiTheme="majorHAnsi" w:hAnsiTheme="majorHAnsi" w:cstheme="majorHAnsi"/>
          <w:sz w:val="24"/>
          <w:szCs w:val="24"/>
        </w:rPr>
        <w:t>Kontakt dla mediów:</w:t>
      </w:r>
    </w:p>
    <w:p w14:paraId="511C359F" w14:textId="66C11A39" w:rsidR="009A233D" w:rsidRPr="00207396" w:rsidRDefault="00E14005" w:rsidP="004C3E2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207396">
        <w:rPr>
          <w:rFonts w:asciiTheme="majorHAnsi" w:hAnsiTheme="majorHAnsi" w:cstheme="majorHAnsi"/>
          <w:sz w:val="24"/>
          <w:szCs w:val="24"/>
        </w:rPr>
        <w:t xml:space="preserve">Luiza </w:t>
      </w:r>
      <w:r w:rsidR="009A71E2" w:rsidRPr="00207396">
        <w:rPr>
          <w:rFonts w:asciiTheme="majorHAnsi" w:hAnsiTheme="majorHAnsi" w:cstheme="majorHAnsi"/>
          <w:sz w:val="24"/>
          <w:szCs w:val="24"/>
        </w:rPr>
        <w:t>Nowicka</w:t>
      </w:r>
      <w:r w:rsidR="009A233D" w:rsidRPr="00207396">
        <w:rPr>
          <w:rFonts w:asciiTheme="majorHAnsi" w:hAnsiTheme="majorHAnsi" w:cstheme="majorHAnsi"/>
          <w:sz w:val="24"/>
          <w:szCs w:val="24"/>
        </w:rPr>
        <w:t>, PARP</w:t>
      </w:r>
    </w:p>
    <w:p w14:paraId="4241E935" w14:textId="55ED3162" w:rsidR="009A233D" w:rsidRPr="00207396" w:rsidRDefault="009A233D" w:rsidP="004C3E26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07396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12" w:history="1">
        <w:r w:rsidR="009A71E2" w:rsidRPr="00207396">
          <w:rPr>
            <w:rStyle w:val="Hipercze"/>
            <w:rFonts w:asciiTheme="majorHAnsi" w:hAnsiTheme="majorHAnsi" w:cstheme="majorHAnsi"/>
            <w:sz w:val="24"/>
            <w:szCs w:val="24"/>
          </w:rPr>
          <w:t>luiza_nowicka@parp.gov.pl</w:t>
        </w:r>
      </w:hyperlink>
      <w:r w:rsidR="00E14005" w:rsidRPr="0020739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9C64ED" w14:textId="0B31EE21" w:rsidR="009A233D" w:rsidRPr="00207396" w:rsidRDefault="009A233D" w:rsidP="004C3E26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07396">
        <w:rPr>
          <w:rFonts w:asciiTheme="majorHAnsi" w:hAnsiTheme="majorHAnsi" w:cstheme="majorHAnsi"/>
          <w:sz w:val="24"/>
          <w:szCs w:val="24"/>
        </w:rPr>
        <w:t xml:space="preserve">tel.: </w:t>
      </w:r>
      <w:r w:rsidR="00D032FF" w:rsidRPr="00207396">
        <w:rPr>
          <w:rFonts w:asciiTheme="majorHAnsi" w:hAnsiTheme="majorHAnsi" w:cstheme="majorHAnsi"/>
          <w:sz w:val="24"/>
          <w:szCs w:val="24"/>
        </w:rPr>
        <w:t>880 524 959</w:t>
      </w:r>
    </w:p>
    <w:p w14:paraId="0BD8CDAA" w14:textId="77777777" w:rsidR="009A233D" w:rsidRPr="00207396" w:rsidRDefault="009A233D" w:rsidP="004C3E26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756A616" w14:textId="77777777" w:rsidR="009A233D" w:rsidRPr="00207396" w:rsidRDefault="009A233D" w:rsidP="004C3E26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07396">
        <w:rPr>
          <w:rFonts w:asciiTheme="majorHAnsi" w:hAnsiTheme="majorHAnsi" w:cstheme="majorHAnsi"/>
          <w:sz w:val="24"/>
          <w:szCs w:val="24"/>
        </w:rPr>
        <w:t>Informacja prasowa</w:t>
      </w:r>
    </w:p>
    <w:p w14:paraId="722E5DBA" w14:textId="351CCFC1" w:rsidR="009A233D" w:rsidRPr="00207396" w:rsidRDefault="009A233D" w:rsidP="004C3E26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07396">
        <w:rPr>
          <w:rFonts w:asciiTheme="majorHAnsi" w:hAnsiTheme="majorHAnsi" w:cstheme="majorHAnsi"/>
          <w:sz w:val="24"/>
          <w:szCs w:val="24"/>
        </w:rPr>
        <w:t xml:space="preserve">Warszawa, </w:t>
      </w:r>
      <w:r w:rsidR="00033FF6">
        <w:rPr>
          <w:rFonts w:asciiTheme="majorHAnsi" w:hAnsiTheme="majorHAnsi" w:cstheme="majorHAnsi"/>
          <w:sz w:val="24"/>
          <w:szCs w:val="24"/>
        </w:rPr>
        <w:t>0</w:t>
      </w:r>
      <w:r w:rsidR="0086510B">
        <w:rPr>
          <w:rFonts w:asciiTheme="majorHAnsi" w:hAnsiTheme="majorHAnsi" w:cstheme="majorHAnsi"/>
          <w:sz w:val="24"/>
          <w:szCs w:val="24"/>
        </w:rPr>
        <w:t>4</w:t>
      </w:r>
      <w:r w:rsidR="00DA65A1" w:rsidRPr="00207396">
        <w:rPr>
          <w:rFonts w:asciiTheme="majorHAnsi" w:hAnsiTheme="majorHAnsi" w:cstheme="majorHAnsi"/>
          <w:sz w:val="24"/>
          <w:szCs w:val="24"/>
        </w:rPr>
        <w:t>.0</w:t>
      </w:r>
      <w:r w:rsidR="0086510B">
        <w:rPr>
          <w:rFonts w:asciiTheme="majorHAnsi" w:hAnsiTheme="majorHAnsi" w:cstheme="majorHAnsi"/>
          <w:sz w:val="24"/>
          <w:szCs w:val="24"/>
        </w:rPr>
        <w:t>8</w:t>
      </w:r>
      <w:r w:rsidRPr="00207396">
        <w:rPr>
          <w:rFonts w:asciiTheme="majorHAnsi" w:hAnsiTheme="majorHAnsi" w:cstheme="majorHAnsi"/>
          <w:sz w:val="24"/>
          <w:szCs w:val="24"/>
        </w:rPr>
        <w:t>.202</w:t>
      </w:r>
      <w:r w:rsidR="003B0490" w:rsidRPr="00207396">
        <w:rPr>
          <w:rFonts w:asciiTheme="majorHAnsi" w:hAnsiTheme="majorHAnsi" w:cstheme="majorHAnsi"/>
          <w:sz w:val="24"/>
          <w:szCs w:val="24"/>
        </w:rPr>
        <w:t>2</w:t>
      </w:r>
      <w:r w:rsidRPr="00207396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77CE8A33" w14:textId="77777777" w:rsidR="009A233D" w:rsidRPr="00207396" w:rsidRDefault="009A233D" w:rsidP="004C3E26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4998BA71" w14:textId="77777777" w:rsidR="009A233D" w:rsidRPr="00207396" w:rsidRDefault="009A233D" w:rsidP="004C3E26">
      <w:pPr>
        <w:spacing w:line="276" w:lineRule="auto"/>
        <w:rPr>
          <w:rFonts w:asciiTheme="majorHAnsi" w:hAnsiTheme="majorHAnsi" w:cstheme="majorHAnsi"/>
          <w:b/>
          <w:sz w:val="34"/>
          <w:szCs w:val="34"/>
        </w:rPr>
        <w:sectPr w:rsidR="009A233D" w:rsidRPr="00207396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3355AE5" w14:textId="77777777" w:rsidR="009A233D" w:rsidRPr="00207396" w:rsidRDefault="009A233D" w:rsidP="004C3E26">
      <w:pPr>
        <w:pStyle w:val="NormalnyWeb"/>
        <w:shd w:val="clear" w:color="auto" w:fill="FFFFFF"/>
        <w:spacing w:before="0" w:beforeAutospacing="0" w:after="240" w:afterAutospacing="0"/>
        <w:rPr>
          <w:rFonts w:asciiTheme="majorHAnsi" w:hAnsiTheme="majorHAnsi" w:cstheme="majorHAnsi"/>
          <w:color w:val="000000"/>
        </w:rPr>
      </w:pPr>
    </w:p>
    <w:p w14:paraId="365428F0" w14:textId="77777777" w:rsidR="0086510B" w:rsidRDefault="0086510B" w:rsidP="0086510B">
      <w:pPr>
        <w:pStyle w:val="Nagwek1"/>
        <w:spacing w:before="120" w:after="120" w:line="276" w:lineRule="auto"/>
        <w:rPr>
          <w:b w:val="0"/>
        </w:rPr>
      </w:pPr>
      <w:r>
        <w:t>Wykorzystanie danych administracyjnych do monitorowania i ewaluacji polityk publicznych</w:t>
      </w:r>
    </w:p>
    <w:p w14:paraId="55B34312" w14:textId="77777777" w:rsidR="0086510B" w:rsidRPr="0086510B" w:rsidRDefault="0086510B" w:rsidP="0086510B">
      <w:pPr>
        <w:pStyle w:val="Pa10"/>
        <w:spacing w:before="120" w:after="120" w:line="276" w:lineRule="auto"/>
        <w:rPr>
          <w:color w:val="000000"/>
        </w:rPr>
      </w:pPr>
      <w:r w:rsidRPr="0086510B">
        <w:rPr>
          <w:color w:val="000000"/>
        </w:rPr>
        <w:t xml:space="preserve">Dziś, w trakcie rewolucji przemysłowej 4.0, dane są paliwem dla biznesu – napędzają działalność przedsiębiorstw oraz umożliwiają rozwój gospodarki. Również administracja, chcąc właściwie realizować swoje zadania, powinna być blisko realiów, w jakich funkcjonuje gospodarka i społeczeństwo, w tym podejmować działania na podstawie obiektywnych danych rejestrowych. </w:t>
      </w:r>
    </w:p>
    <w:p w14:paraId="5920F91B" w14:textId="5C285662" w:rsidR="0086510B" w:rsidRPr="0086510B" w:rsidRDefault="0086510B" w:rsidP="0086510B">
      <w:pPr>
        <w:spacing w:before="120" w:after="120" w:line="276" w:lineRule="auto"/>
        <w:rPr>
          <w:color w:val="000000"/>
          <w:sz w:val="24"/>
          <w:szCs w:val="24"/>
        </w:rPr>
      </w:pPr>
      <w:r w:rsidRPr="0086510B">
        <w:rPr>
          <w:color w:val="000000"/>
          <w:sz w:val="24"/>
          <w:szCs w:val="24"/>
        </w:rPr>
        <w:t xml:space="preserve">Impulsu do rozwoju w tym kierunku dostarczyła pandemia COVID-19. Pokazała, że bez precyzyjnych danych, analizowanych w sposób zwinny w czasie rzeczywistym, nie sposób reagować adekwatnie i skutecznie, a tym bardziej prognozować i przeciwdziałać. Z kolei ograniczenia wywołane pandemią, wymusiły zmianę podejścia do badań społecznych. Gdy badania terenowe oparte na bezpośrednich kontaktach z respondentem stały się niemożliwe, inne podejścia badawcze zyskały na znaczeniu (m.in. zdalne techniki badawcze, ale w szczególności wtórne wykorzystanie danych administracyjnych). </w:t>
      </w:r>
    </w:p>
    <w:p w14:paraId="61016C67" w14:textId="77777777" w:rsidR="0086510B" w:rsidRPr="0086510B" w:rsidRDefault="0086510B" w:rsidP="0086510B">
      <w:pPr>
        <w:pStyle w:val="Pa10"/>
        <w:spacing w:before="120" w:after="120" w:line="276" w:lineRule="auto"/>
        <w:rPr>
          <w:color w:val="000000"/>
        </w:rPr>
      </w:pPr>
      <w:r w:rsidRPr="0086510B">
        <w:rPr>
          <w:color w:val="000000"/>
        </w:rPr>
        <w:t xml:space="preserve">Opisywana zmiana niesie ze sobą szereg korzyści, spośród których wymienić można m.in: </w:t>
      </w:r>
    </w:p>
    <w:p w14:paraId="0EA8A554" w14:textId="77777777" w:rsidR="0086510B" w:rsidRPr="0086510B" w:rsidRDefault="0086510B" w:rsidP="0086510B">
      <w:pPr>
        <w:pStyle w:val="Pa10"/>
        <w:numPr>
          <w:ilvl w:val="0"/>
          <w:numId w:val="7"/>
        </w:numPr>
        <w:spacing w:before="120" w:after="120" w:line="276" w:lineRule="auto"/>
        <w:rPr>
          <w:color w:val="000000"/>
        </w:rPr>
      </w:pPr>
      <w:r w:rsidRPr="0086510B">
        <w:rPr>
          <w:color w:val="000000"/>
        </w:rPr>
        <w:t>redukcję obciążeń sektora administracji publicznej (i respondentów ankiet),</w:t>
      </w:r>
    </w:p>
    <w:p w14:paraId="76DB4F4B" w14:textId="77777777" w:rsidR="0086510B" w:rsidRPr="0086510B" w:rsidRDefault="0086510B" w:rsidP="0086510B">
      <w:pPr>
        <w:pStyle w:val="Pa10"/>
        <w:numPr>
          <w:ilvl w:val="0"/>
          <w:numId w:val="7"/>
        </w:numPr>
        <w:spacing w:before="120" w:after="120" w:line="276" w:lineRule="auto"/>
        <w:rPr>
          <w:color w:val="000000"/>
        </w:rPr>
      </w:pPr>
      <w:r w:rsidRPr="0086510B">
        <w:rPr>
          <w:color w:val="000000"/>
        </w:rPr>
        <w:t>większą elastyczność i szybszą reakcję na nowe potrzeby informacyjne użytkowników oraz dostarczanie informacji adekwatnych do ich potrzeb,</w:t>
      </w:r>
    </w:p>
    <w:p w14:paraId="567DF0E6" w14:textId="77777777" w:rsidR="0086510B" w:rsidRPr="0086510B" w:rsidRDefault="0086510B" w:rsidP="0086510B">
      <w:pPr>
        <w:pStyle w:val="Pa10"/>
        <w:numPr>
          <w:ilvl w:val="0"/>
          <w:numId w:val="7"/>
        </w:numPr>
        <w:spacing w:before="120" w:after="120" w:line="276" w:lineRule="auto"/>
        <w:rPr>
          <w:color w:val="000000"/>
        </w:rPr>
      </w:pPr>
      <w:r w:rsidRPr="0086510B">
        <w:rPr>
          <w:color w:val="000000"/>
        </w:rPr>
        <w:t>obniżenie kosztów tworzenia statystyk,</w:t>
      </w:r>
    </w:p>
    <w:p w14:paraId="388F7CC0" w14:textId="77777777" w:rsidR="0086510B" w:rsidRPr="0086510B" w:rsidRDefault="0086510B" w:rsidP="0086510B">
      <w:pPr>
        <w:pStyle w:val="Pa10"/>
        <w:numPr>
          <w:ilvl w:val="0"/>
          <w:numId w:val="7"/>
        </w:numPr>
        <w:spacing w:before="120" w:after="120" w:line="276" w:lineRule="auto"/>
        <w:rPr>
          <w:color w:val="000000"/>
        </w:rPr>
      </w:pPr>
      <w:r w:rsidRPr="0086510B">
        <w:rPr>
          <w:color w:val="000000"/>
        </w:rPr>
        <w:t>zwiększenie dokładności i aktualności danych wynikowych i oszacowań,</w:t>
      </w:r>
    </w:p>
    <w:p w14:paraId="73B19961" w14:textId="77777777" w:rsidR="0086510B" w:rsidRPr="0086510B" w:rsidRDefault="0086510B" w:rsidP="0086510B">
      <w:pPr>
        <w:pStyle w:val="Pa10"/>
        <w:numPr>
          <w:ilvl w:val="0"/>
          <w:numId w:val="7"/>
        </w:numPr>
        <w:spacing w:before="120" w:after="120" w:line="276" w:lineRule="auto"/>
        <w:rPr>
          <w:color w:val="000000"/>
        </w:rPr>
      </w:pPr>
      <w:r w:rsidRPr="0086510B">
        <w:rPr>
          <w:color w:val="000000"/>
        </w:rPr>
        <w:t>skrócenie czasu przetwarzania danych.</w:t>
      </w:r>
    </w:p>
    <w:p w14:paraId="7F5610F3" w14:textId="0D611ABE" w:rsidR="0086510B" w:rsidRPr="0086510B" w:rsidRDefault="0086510B" w:rsidP="0086510B">
      <w:pPr>
        <w:spacing w:before="120" w:after="120" w:line="276" w:lineRule="auto"/>
        <w:rPr>
          <w:color w:val="000000"/>
          <w:sz w:val="24"/>
          <w:szCs w:val="24"/>
        </w:rPr>
      </w:pPr>
      <w:r w:rsidRPr="0086510B">
        <w:rPr>
          <w:color w:val="000000"/>
          <w:sz w:val="24"/>
          <w:szCs w:val="24"/>
        </w:rPr>
        <w:t>Co oczywiste, rozwój wykorzystania danych administracyjnych związany jest również z szeregiem wyzwań i ograniczeń. Spośród nich warto zwrócić uwagę na uwarunkowania prawne – po pierwsze, dane rejestrowe, co do zasady mogą być wykorzystywane jedynie do celów, które są dopuszczone w prawodawstwie. Po drugie, w celu zapewnienia bezpieczeństwa danych</w:t>
      </w:r>
      <w:r w:rsidRPr="0086510B">
        <w:rPr>
          <w:color w:val="000000"/>
          <w:sz w:val="24"/>
          <w:szCs w:val="24"/>
        </w:rPr>
        <w:t xml:space="preserve"> – </w:t>
      </w:r>
      <w:r w:rsidRPr="0086510B">
        <w:rPr>
          <w:color w:val="000000"/>
          <w:sz w:val="24"/>
          <w:szCs w:val="24"/>
        </w:rPr>
        <w:t xml:space="preserve">praca z danymi rejestrowymi związana jest z wymogiem ich </w:t>
      </w:r>
      <w:proofErr w:type="spellStart"/>
      <w:r w:rsidRPr="0086510B">
        <w:rPr>
          <w:color w:val="000000"/>
          <w:sz w:val="24"/>
          <w:szCs w:val="24"/>
        </w:rPr>
        <w:t>anonimizacji</w:t>
      </w:r>
      <w:proofErr w:type="spellEnd"/>
      <w:r w:rsidRPr="0086510B">
        <w:rPr>
          <w:color w:val="000000"/>
          <w:sz w:val="24"/>
          <w:szCs w:val="24"/>
        </w:rPr>
        <w:t xml:space="preserve"> lub </w:t>
      </w:r>
      <w:proofErr w:type="spellStart"/>
      <w:r w:rsidRPr="0086510B">
        <w:rPr>
          <w:color w:val="000000"/>
          <w:sz w:val="24"/>
          <w:szCs w:val="24"/>
        </w:rPr>
        <w:t>pseudoanonimizacji</w:t>
      </w:r>
      <w:proofErr w:type="spellEnd"/>
      <w:r w:rsidRPr="0086510B">
        <w:rPr>
          <w:color w:val="000000"/>
          <w:sz w:val="24"/>
          <w:szCs w:val="24"/>
        </w:rPr>
        <w:t>. Nie bez znaczenia pozostają również wyzwania instytucjonalne, związane z wypracowaniem i obsługą procesu udostępniania danych pomiędzy instytucjami.</w:t>
      </w:r>
    </w:p>
    <w:p w14:paraId="23D53E14" w14:textId="46DFA7E5" w:rsidR="0086510B" w:rsidRPr="0086510B" w:rsidRDefault="0086510B" w:rsidP="0086510B">
      <w:pPr>
        <w:spacing w:before="120" w:after="120" w:line="276" w:lineRule="auto"/>
        <w:rPr>
          <w:color w:val="000000"/>
          <w:sz w:val="24"/>
          <w:szCs w:val="24"/>
        </w:rPr>
      </w:pPr>
      <w:r w:rsidRPr="0086510B">
        <w:rPr>
          <w:color w:val="000000"/>
          <w:sz w:val="24"/>
          <w:szCs w:val="24"/>
        </w:rPr>
        <w:lastRenderedPageBreak/>
        <w:t>W powyższym kontekście, niezwykle istotne są doświadczenia i wiedza, dotyczące korzystania z danych rejestrowych, gromadzone od wielu lat w polskiej administracji i w środowisku akademickim. Analitycy i badacze rozwijają gotowość ekosystemu danych i wypracowują dobre praktyki w tym obszarze. Te z kolei wymuszają stopniowe ograniczanie „silosowości” i rozwijanie współpracy pomiędzy gestorami i użytkownikami danych. Dobrymi przykładami w Polsce w tym zakresie są m.in. systemowe rozwiązania w sferze edukacji i szkolnictwa wyższego (system monitorowania ekonomicznych losów absolwentów), projekty realizowane na użytek wielu polityk (Zintegrowana Platforma Analityczna), jak również projekty – w szczególności PARP – dotyczące kontrfaktycznych ewaluacji wpływu programów. Szczegółowy opis wybranych przykładów możliwości związanych z wykorzystywaniem danych administracyjnych można znaleźć w publikacji</w:t>
      </w:r>
      <w:r w:rsidRPr="0086510B">
        <w:rPr>
          <w:sz w:val="24"/>
          <w:szCs w:val="24"/>
        </w:rPr>
        <w:t xml:space="preserve"> </w:t>
      </w:r>
      <w:r w:rsidRPr="0086510B">
        <w:rPr>
          <w:color w:val="000000"/>
          <w:sz w:val="24"/>
          <w:szCs w:val="24"/>
        </w:rPr>
        <w:t xml:space="preserve">PARP pt. </w:t>
      </w:r>
      <w:hyperlink r:id="rId13" w:history="1">
        <w:r w:rsidRPr="0086510B">
          <w:rPr>
            <w:rStyle w:val="Hipercze"/>
            <w:i/>
            <w:sz w:val="24"/>
            <w:szCs w:val="24"/>
          </w:rPr>
          <w:t xml:space="preserve">Public </w:t>
        </w:r>
        <w:proofErr w:type="spellStart"/>
        <w:r w:rsidRPr="0086510B">
          <w:rPr>
            <w:rStyle w:val="Hipercze"/>
            <w:i/>
            <w:sz w:val="24"/>
            <w:szCs w:val="24"/>
          </w:rPr>
          <w:t>Intelligence</w:t>
        </w:r>
        <w:proofErr w:type="spellEnd"/>
        <w:r w:rsidRPr="0086510B">
          <w:rPr>
            <w:rStyle w:val="Hipercze"/>
            <w:i/>
            <w:sz w:val="24"/>
            <w:szCs w:val="24"/>
          </w:rPr>
          <w:t>. Wykorzystanie danych administracyjnych do monitorowania i ewaluacji polityk publicznych</w:t>
        </w:r>
      </w:hyperlink>
      <w:r w:rsidRPr="0086510B">
        <w:rPr>
          <w:color w:val="000000"/>
          <w:sz w:val="24"/>
          <w:szCs w:val="24"/>
        </w:rPr>
        <w:t>.</w:t>
      </w:r>
    </w:p>
    <w:p w14:paraId="46BB4C39" w14:textId="1DD575A0" w:rsidR="0086510B" w:rsidRPr="003A4BE7" w:rsidRDefault="0086510B" w:rsidP="0086510B">
      <w:pPr>
        <w:spacing w:before="120" w:after="120" w:line="276" w:lineRule="auto"/>
        <w:rPr>
          <w:color w:val="000000"/>
          <w:sz w:val="23"/>
          <w:szCs w:val="23"/>
        </w:rPr>
      </w:pPr>
      <w:r w:rsidRPr="0086510B">
        <w:rPr>
          <w:color w:val="000000"/>
          <w:sz w:val="24"/>
          <w:szCs w:val="24"/>
        </w:rPr>
        <w:t>Wtórne wykorzystanie danych administracyjnych jest obecnie trendem, którego rozwój widoczny jest nie tylko w Polsce. Zmiana, która jest obserwowana</w:t>
      </w:r>
      <w:r w:rsidRPr="0086510B">
        <w:rPr>
          <w:color w:val="000000"/>
          <w:sz w:val="24"/>
          <w:szCs w:val="24"/>
        </w:rPr>
        <w:t>,</w:t>
      </w:r>
      <w:r w:rsidRPr="0086510B">
        <w:rPr>
          <w:color w:val="000000"/>
          <w:sz w:val="24"/>
          <w:szCs w:val="24"/>
        </w:rPr>
        <w:t xml:space="preserve"> niesie ze sobą olbrzymie korzyści, jednak jej skuteczne wdrożenie wymaga przemyślanych działań, bez których może ona ulec wyhamowaniu</w:t>
      </w:r>
      <w:r w:rsidRPr="0086510B">
        <w:rPr>
          <w:color w:val="000000"/>
          <w:sz w:val="24"/>
          <w:szCs w:val="24"/>
        </w:rPr>
        <w:t xml:space="preserve"> – </w:t>
      </w:r>
      <w:r w:rsidRPr="0086510B">
        <w:rPr>
          <w:color w:val="000000"/>
          <w:sz w:val="24"/>
          <w:szCs w:val="24"/>
        </w:rPr>
        <w:t>na skutek np. braku sprawnych i bezpiecznych rozwiązań w zakresie wymiany danych rejestrowych</w:t>
      </w:r>
      <w:r>
        <w:rPr>
          <w:color w:val="000000"/>
          <w:sz w:val="23"/>
          <w:szCs w:val="23"/>
        </w:rPr>
        <w:t>.</w:t>
      </w:r>
    </w:p>
    <w:p w14:paraId="648B5E0B" w14:textId="1125F180" w:rsidR="003B0490" w:rsidRPr="00207396" w:rsidRDefault="003B0490" w:rsidP="003B0490">
      <w:pPr>
        <w:spacing w:before="160" w:after="120" w:line="276" w:lineRule="auto"/>
        <w:rPr>
          <w:rFonts w:asciiTheme="majorHAnsi" w:hAnsiTheme="majorHAnsi" w:cstheme="majorHAnsi"/>
          <w:sz w:val="24"/>
          <w:szCs w:val="24"/>
        </w:rPr>
      </w:pPr>
      <w:bookmarkStart w:id="1" w:name="_GoBack"/>
      <w:r w:rsidRPr="0020739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7AE6E60" wp14:editId="011DB9B8">
            <wp:extent cx="6120130" cy="664210"/>
            <wp:effectExtent l="0" t="0" r="1270" b="0"/>
            <wp:docPr id="2" name="Obraz 2" descr="Seria logotypów: Fundusze Europejskie Inteligentny Rozwój, Rzeczpospolita Polska, Polska Agencja Rozwoju Przedsiębiorczości Grupa PFR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eria logotypów: Fundusze Europejskie Inteligentny Rozwój, Rzeczpospolita Polska, Polska Agencja Rozwoju Przedsiębiorczości Grupa PFR, Unia Europejska Europejski Fundusz Rozwoju Regionalnego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3B0490" w:rsidRPr="00207396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BBB7" w14:textId="77777777" w:rsidR="00F14288" w:rsidRDefault="00F14288">
      <w:pPr>
        <w:spacing w:after="0" w:line="240" w:lineRule="auto"/>
      </w:pPr>
      <w:r>
        <w:separator/>
      </w:r>
    </w:p>
  </w:endnote>
  <w:endnote w:type="continuationSeparator" w:id="0">
    <w:p w14:paraId="1D0F014E" w14:textId="77777777" w:rsidR="00F14288" w:rsidRDefault="00F1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8999" w14:textId="77777777" w:rsidR="00F14288" w:rsidRDefault="00F14288">
      <w:pPr>
        <w:spacing w:after="0" w:line="240" w:lineRule="auto"/>
      </w:pPr>
      <w:r>
        <w:separator/>
      </w:r>
    </w:p>
  </w:footnote>
  <w:footnote w:type="continuationSeparator" w:id="0">
    <w:p w14:paraId="47490A5F" w14:textId="77777777" w:rsidR="00F14288" w:rsidRDefault="00F1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53FA"/>
    <w:multiLevelType w:val="hybridMultilevel"/>
    <w:tmpl w:val="B82E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77F5C2C"/>
    <w:multiLevelType w:val="hybridMultilevel"/>
    <w:tmpl w:val="A036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60BD5"/>
    <w:multiLevelType w:val="hybridMultilevel"/>
    <w:tmpl w:val="293EA9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0422D"/>
    <w:rsid w:val="00025D9E"/>
    <w:rsid w:val="00033FF6"/>
    <w:rsid w:val="0003443D"/>
    <w:rsid w:val="00073B03"/>
    <w:rsid w:val="00081C97"/>
    <w:rsid w:val="00082C94"/>
    <w:rsid w:val="00087845"/>
    <w:rsid w:val="000924DA"/>
    <w:rsid w:val="00096144"/>
    <w:rsid w:val="000A7CDA"/>
    <w:rsid w:val="000B053B"/>
    <w:rsid w:val="000C172A"/>
    <w:rsid w:val="000E7EB0"/>
    <w:rsid w:val="000F1554"/>
    <w:rsid w:val="000F16E3"/>
    <w:rsid w:val="00103A80"/>
    <w:rsid w:val="0010620A"/>
    <w:rsid w:val="00113081"/>
    <w:rsid w:val="0012487A"/>
    <w:rsid w:val="00127972"/>
    <w:rsid w:val="001349AF"/>
    <w:rsid w:val="001404FE"/>
    <w:rsid w:val="00150BD4"/>
    <w:rsid w:val="001538ED"/>
    <w:rsid w:val="00155BAB"/>
    <w:rsid w:val="0016526B"/>
    <w:rsid w:val="00171191"/>
    <w:rsid w:val="001778E7"/>
    <w:rsid w:val="001829EF"/>
    <w:rsid w:val="00183B6F"/>
    <w:rsid w:val="001851D6"/>
    <w:rsid w:val="00196BD7"/>
    <w:rsid w:val="001B4E6A"/>
    <w:rsid w:val="001C3206"/>
    <w:rsid w:val="001D3DA7"/>
    <w:rsid w:val="001E311F"/>
    <w:rsid w:val="001F2ABF"/>
    <w:rsid w:val="00207396"/>
    <w:rsid w:val="00213028"/>
    <w:rsid w:val="002212A1"/>
    <w:rsid w:val="002226EF"/>
    <w:rsid w:val="0022430C"/>
    <w:rsid w:val="00226599"/>
    <w:rsid w:val="0023061E"/>
    <w:rsid w:val="002325E3"/>
    <w:rsid w:val="002331C4"/>
    <w:rsid w:val="002379B9"/>
    <w:rsid w:val="002779A8"/>
    <w:rsid w:val="00290754"/>
    <w:rsid w:val="00291E8B"/>
    <w:rsid w:val="0029503E"/>
    <w:rsid w:val="00296371"/>
    <w:rsid w:val="002B541B"/>
    <w:rsid w:val="002D2924"/>
    <w:rsid w:val="002E06F7"/>
    <w:rsid w:val="002E2998"/>
    <w:rsid w:val="002F4286"/>
    <w:rsid w:val="00303038"/>
    <w:rsid w:val="00307E5C"/>
    <w:rsid w:val="003144B3"/>
    <w:rsid w:val="0032194C"/>
    <w:rsid w:val="0032710E"/>
    <w:rsid w:val="00330DD3"/>
    <w:rsid w:val="00336F70"/>
    <w:rsid w:val="00343AAD"/>
    <w:rsid w:val="00345577"/>
    <w:rsid w:val="00366AD8"/>
    <w:rsid w:val="00370558"/>
    <w:rsid w:val="00381AB7"/>
    <w:rsid w:val="00384B85"/>
    <w:rsid w:val="00385BED"/>
    <w:rsid w:val="0039296F"/>
    <w:rsid w:val="00393385"/>
    <w:rsid w:val="00396AB5"/>
    <w:rsid w:val="003970E6"/>
    <w:rsid w:val="003A40C4"/>
    <w:rsid w:val="003A43D7"/>
    <w:rsid w:val="003A56FA"/>
    <w:rsid w:val="003A65B1"/>
    <w:rsid w:val="003B0490"/>
    <w:rsid w:val="003B24B1"/>
    <w:rsid w:val="003B4AA7"/>
    <w:rsid w:val="003C70F8"/>
    <w:rsid w:val="003D22F6"/>
    <w:rsid w:val="003D424C"/>
    <w:rsid w:val="003E347C"/>
    <w:rsid w:val="00417279"/>
    <w:rsid w:val="00456E49"/>
    <w:rsid w:val="00470450"/>
    <w:rsid w:val="004753F3"/>
    <w:rsid w:val="00484CE7"/>
    <w:rsid w:val="004850BD"/>
    <w:rsid w:val="0048533B"/>
    <w:rsid w:val="00486055"/>
    <w:rsid w:val="00492915"/>
    <w:rsid w:val="004A5A88"/>
    <w:rsid w:val="004B763D"/>
    <w:rsid w:val="004C3E26"/>
    <w:rsid w:val="004E0579"/>
    <w:rsid w:val="004E185E"/>
    <w:rsid w:val="004F4A11"/>
    <w:rsid w:val="00511C85"/>
    <w:rsid w:val="0051766E"/>
    <w:rsid w:val="00525237"/>
    <w:rsid w:val="00544A66"/>
    <w:rsid w:val="00554166"/>
    <w:rsid w:val="00556688"/>
    <w:rsid w:val="005571B4"/>
    <w:rsid w:val="00563D76"/>
    <w:rsid w:val="00571B2A"/>
    <w:rsid w:val="00574976"/>
    <w:rsid w:val="005801BA"/>
    <w:rsid w:val="005822AC"/>
    <w:rsid w:val="00583525"/>
    <w:rsid w:val="005953E8"/>
    <w:rsid w:val="005974DD"/>
    <w:rsid w:val="005D5C03"/>
    <w:rsid w:val="005F1E4D"/>
    <w:rsid w:val="00600C38"/>
    <w:rsid w:val="0060342B"/>
    <w:rsid w:val="00603958"/>
    <w:rsid w:val="00614907"/>
    <w:rsid w:val="006233F5"/>
    <w:rsid w:val="00627AE2"/>
    <w:rsid w:val="00631E77"/>
    <w:rsid w:val="006324E9"/>
    <w:rsid w:val="00635632"/>
    <w:rsid w:val="00640C8E"/>
    <w:rsid w:val="00653EBC"/>
    <w:rsid w:val="006764EB"/>
    <w:rsid w:val="00692C63"/>
    <w:rsid w:val="006958C8"/>
    <w:rsid w:val="006B485A"/>
    <w:rsid w:val="006C5EE8"/>
    <w:rsid w:val="006C79A1"/>
    <w:rsid w:val="006D7547"/>
    <w:rsid w:val="00726980"/>
    <w:rsid w:val="00736FD9"/>
    <w:rsid w:val="007428F7"/>
    <w:rsid w:val="00747DB1"/>
    <w:rsid w:val="00761EF5"/>
    <w:rsid w:val="00782CAE"/>
    <w:rsid w:val="00782EF1"/>
    <w:rsid w:val="00793D05"/>
    <w:rsid w:val="007A1F82"/>
    <w:rsid w:val="007B3505"/>
    <w:rsid w:val="007D7EB1"/>
    <w:rsid w:val="007E435E"/>
    <w:rsid w:val="00805470"/>
    <w:rsid w:val="008366C2"/>
    <w:rsid w:val="00840CA3"/>
    <w:rsid w:val="0086487D"/>
    <w:rsid w:val="0086510B"/>
    <w:rsid w:val="00870DF3"/>
    <w:rsid w:val="008905ED"/>
    <w:rsid w:val="00891221"/>
    <w:rsid w:val="0089737A"/>
    <w:rsid w:val="008A3370"/>
    <w:rsid w:val="008A4AF3"/>
    <w:rsid w:val="008A5FC8"/>
    <w:rsid w:val="008C3396"/>
    <w:rsid w:val="008D16E5"/>
    <w:rsid w:val="008E4F58"/>
    <w:rsid w:val="008E585F"/>
    <w:rsid w:val="008F174A"/>
    <w:rsid w:val="008F3656"/>
    <w:rsid w:val="008F3BB9"/>
    <w:rsid w:val="008F6A46"/>
    <w:rsid w:val="0091262D"/>
    <w:rsid w:val="00915325"/>
    <w:rsid w:val="00925945"/>
    <w:rsid w:val="00936303"/>
    <w:rsid w:val="00952C7B"/>
    <w:rsid w:val="00965298"/>
    <w:rsid w:val="00977D61"/>
    <w:rsid w:val="00983F70"/>
    <w:rsid w:val="00984E32"/>
    <w:rsid w:val="00990716"/>
    <w:rsid w:val="00993985"/>
    <w:rsid w:val="009968B5"/>
    <w:rsid w:val="009A233D"/>
    <w:rsid w:val="009A5D2F"/>
    <w:rsid w:val="009A71E2"/>
    <w:rsid w:val="009B4BF1"/>
    <w:rsid w:val="00A03989"/>
    <w:rsid w:val="00A161FF"/>
    <w:rsid w:val="00A22F21"/>
    <w:rsid w:val="00A34D61"/>
    <w:rsid w:val="00A62B86"/>
    <w:rsid w:val="00A749B7"/>
    <w:rsid w:val="00A80513"/>
    <w:rsid w:val="00AB6296"/>
    <w:rsid w:val="00AC63ED"/>
    <w:rsid w:val="00AC65CF"/>
    <w:rsid w:val="00AF237F"/>
    <w:rsid w:val="00AF6419"/>
    <w:rsid w:val="00B05769"/>
    <w:rsid w:val="00B36BC1"/>
    <w:rsid w:val="00B4061A"/>
    <w:rsid w:val="00B42D72"/>
    <w:rsid w:val="00B44034"/>
    <w:rsid w:val="00B50B4D"/>
    <w:rsid w:val="00B513DA"/>
    <w:rsid w:val="00B717D1"/>
    <w:rsid w:val="00B77154"/>
    <w:rsid w:val="00B80C06"/>
    <w:rsid w:val="00B9708D"/>
    <w:rsid w:val="00BA7D68"/>
    <w:rsid w:val="00BB714E"/>
    <w:rsid w:val="00BC5F6A"/>
    <w:rsid w:val="00BD6A70"/>
    <w:rsid w:val="00C05673"/>
    <w:rsid w:val="00C162AC"/>
    <w:rsid w:val="00C224A0"/>
    <w:rsid w:val="00C539D2"/>
    <w:rsid w:val="00C57513"/>
    <w:rsid w:val="00CA4FAA"/>
    <w:rsid w:val="00CD1371"/>
    <w:rsid w:val="00CD17B8"/>
    <w:rsid w:val="00D032FF"/>
    <w:rsid w:val="00D071E3"/>
    <w:rsid w:val="00D0763E"/>
    <w:rsid w:val="00D12941"/>
    <w:rsid w:val="00D40352"/>
    <w:rsid w:val="00D438A5"/>
    <w:rsid w:val="00D612C4"/>
    <w:rsid w:val="00D73417"/>
    <w:rsid w:val="00D76A0C"/>
    <w:rsid w:val="00D80723"/>
    <w:rsid w:val="00D8280C"/>
    <w:rsid w:val="00D84786"/>
    <w:rsid w:val="00D909A5"/>
    <w:rsid w:val="00D96232"/>
    <w:rsid w:val="00DA65A1"/>
    <w:rsid w:val="00DD1D0F"/>
    <w:rsid w:val="00DE5F4A"/>
    <w:rsid w:val="00E02BDD"/>
    <w:rsid w:val="00E14005"/>
    <w:rsid w:val="00E1790B"/>
    <w:rsid w:val="00E33B09"/>
    <w:rsid w:val="00E50DA2"/>
    <w:rsid w:val="00E53667"/>
    <w:rsid w:val="00E6417C"/>
    <w:rsid w:val="00E745B4"/>
    <w:rsid w:val="00E8110E"/>
    <w:rsid w:val="00E90163"/>
    <w:rsid w:val="00EA06C5"/>
    <w:rsid w:val="00EB0E2D"/>
    <w:rsid w:val="00EB4305"/>
    <w:rsid w:val="00EC4E19"/>
    <w:rsid w:val="00EC5AF8"/>
    <w:rsid w:val="00EF5A48"/>
    <w:rsid w:val="00F14288"/>
    <w:rsid w:val="00F21983"/>
    <w:rsid w:val="00F27F6E"/>
    <w:rsid w:val="00F37FE3"/>
    <w:rsid w:val="00F43977"/>
    <w:rsid w:val="00F45DE2"/>
    <w:rsid w:val="00F52CE8"/>
    <w:rsid w:val="00F53045"/>
    <w:rsid w:val="00F73C64"/>
    <w:rsid w:val="00F76A54"/>
    <w:rsid w:val="00F80351"/>
    <w:rsid w:val="00F80795"/>
    <w:rsid w:val="00F87A45"/>
    <w:rsid w:val="00FA1DE8"/>
    <w:rsid w:val="00FB6684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510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4D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74D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6510B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974DD"/>
    <w:rPr>
      <w:rFonts w:ascii="Calibri" w:eastAsiaTheme="majorEastAsia" w:hAnsi="Calibri" w:cstheme="majorBidi"/>
      <w:b/>
      <w:sz w:val="28"/>
      <w:szCs w:val="26"/>
      <w:lang w:val="pl-PL" w:eastAsia="en-US"/>
    </w:rPr>
  </w:style>
  <w:style w:type="paragraph" w:styleId="Poprawka">
    <w:name w:val="Revision"/>
    <w:hidden/>
    <w:uiPriority w:val="99"/>
    <w:semiHidden/>
    <w:rsid w:val="00640C8E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974DD"/>
    <w:rPr>
      <w:rFonts w:ascii="Calibri" w:eastAsiaTheme="majorEastAsia" w:hAnsi="Calibri" w:cstheme="majorBidi"/>
      <w:b/>
      <w:color w:val="000000" w:themeColor="text1"/>
      <w:lang w:val="pl-PL" w:eastAsia="en-US"/>
    </w:rPr>
  </w:style>
  <w:style w:type="paragraph" w:customStyle="1" w:styleId="Pa10">
    <w:name w:val="Pa10"/>
    <w:basedOn w:val="Normalny"/>
    <w:next w:val="Normalny"/>
    <w:uiPriority w:val="99"/>
    <w:rsid w:val="0086510B"/>
    <w:pPr>
      <w:autoSpaceDE w:val="0"/>
      <w:autoSpaceDN w:val="0"/>
      <w:adjustRightInd w:val="0"/>
      <w:spacing w:after="0" w:line="240" w:lineRule="atLeast"/>
    </w:pPr>
    <w:rPr>
      <w:rFonts w:eastAsiaTheme="minorHAns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component/publications/publication/public-intellig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33B48F-9125-4780-870D-C5AAA96F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Światowe innowacyjne trendy – czym warto się inspirować</vt:lpstr>
    </vt:vector>
  </TitlesOfParts>
  <Manager/>
  <Company/>
  <LinksUpToDate>false</LinksUpToDate>
  <CharactersWithSpaces>3756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Światowe innowacyjne trendy – czym warto się inspirować</dc:title>
  <dc:subject>Światowe innowacyjne trendy – czym warto się inspirować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2022-08-03T13:00:00Z</dcterms:created>
  <dcterms:modified xsi:type="dcterms:W3CDTF">2022-08-03T13:00:00Z</dcterms:modified>
  <cp:category/>
</cp:coreProperties>
</file>