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B7830" w14:textId="77777777" w:rsidR="00817D4E" w:rsidRDefault="00000000">
      <w:pPr>
        <w:ind w:left="-567"/>
        <w:rPr>
          <w:lang w:val="en-GB"/>
        </w:rPr>
      </w:pPr>
      <w:r>
        <w:rPr>
          <w:noProof/>
        </w:rPr>
        <mc:AlternateContent>
          <mc:Choice Requires="wps">
            <w:drawing>
              <wp:anchor distT="0" distB="0" distL="0" distR="0" simplePos="0" relativeHeight="7" behindDoc="0" locked="0" layoutInCell="0" allowOverlap="1" wp14:anchorId="1F4D222C" wp14:editId="6D24BBDC">
                <wp:simplePos x="0" y="0"/>
                <wp:positionH relativeFrom="column">
                  <wp:posOffset>2157095</wp:posOffset>
                </wp:positionH>
                <wp:positionV relativeFrom="paragraph">
                  <wp:posOffset>361950</wp:posOffset>
                </wp:positionV>
                <wp:extent cx="66675" cy="66675"/>
                <wp:effectExtent l="0" t="0" r="0" b="0"/>
                <wp:wrapNone/>
                <wp:docPr id="1" name="Rectangle 3"/>
                <wp:cNvGraphicFramePr/>
                <a:graphic xmlns:a="http://schemas.openxmlformats.org/drawingml/2006/main">
                  <a:graphicData uri="http://schemas.microsoft.com/office/word/2010/wordprocessingShape">
                    <wps:wsp>
                      <wps:cNvSpPr/>
                      <wps:spPr>
                        <a:xfrm>
                          <a:off x="0" y="0"/>
                          <a:ext cx="66600" cy="66600"/>
                        </a:xfrm>
                        <a:prstGeom prst="rect">
                          <a:avLst/>
                        </a:prstGeom>
                        <a:solidFill>
                          <a:srgbClr val="C7162B"/>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 path="m0,0l-2147483645,0l-2147483645,-2147483646l0,-2147483646xe" fillcolor="#c7162b" stroked="f" o:allowincell="f" style="position:absolute;margin-left:169.85pt;margin-top:28.5pt;width:5.2pt;height:5.2pt;mso-wrap-style:none;v-text-anchor:middle" wp14:anchorId="08858242">
                <v:fill o:detectmouseclick="t" type="solid" color2="#38e9d4"/>
                <v:stroke color="#3465a4" weight="12600" joinstyle="miter" endcap="flat"/>
                <w10:wrap type="none"/>
              </v:rect>
            </w:pict>
          </mc:Fallback>
        </mc:AlternateContent>
      </w:r>
      <w:r>
        <w:rPr>
          <w:rFonts w:ascii="HelveticaNeueLT Pro 45 Lt" w:hAnsi="HelveticaNeueLT Pro 45 Lt"/>
          <w:color w:val="49595B"/>
          <w:sz w:val="52"/>
          <w:szCs w:val="52"/>
          <w:lang w:val="en-GB"/>
        </w:rPr>
        <w:t xml:space="preserve">MEDIA RELEASE                              </w:t>
      </w:r>
      <w:r>
        <w:rPr>
          <w:noProof/>
          <w:lang w:val="en-GB"/>
        </w:rPr>
        <w:drawing>
          <wp:inline distT="0" distB="0" distL="0" distR="0" wp14:anchorId="3547EADF" wp14:editId="230A41E8">
            <wp:extent cx="1177290" cy="41211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7"/>
                    <a:stretch>
                      <a:fillRect/>
                    </a:stretch>
                  </pic:blipFill>
                  <pic:spPr bwMode="auto">
                    <a:xfrm>
                      <a:off x="0" y="0"/>
                      <a:ext cx="1177290" cy="412115"/>
                    </a:xfrm>
                    <a:prstGeom prst="rect">
                      <a:avLst/>
                    </a:prstGeom>
                  </pic:spPr>
                </pic:pic>
              </a:graphicData>
            </a:graphic>
          </wp:inline>
        </w:drawing>
      </w:r>
    </w:p>
    <w:p w14:paraId="6D4EA35A" w14:textId="77777777" w:rsidR="00817D4E" w:rsidRDefault="00817D4E">
      <w:pPr>
        <w:ind w:left="-567"/>
        <w:rPr>
          <w:rFonts w:ascii="HelveticaNeueLT Pro 45 Lt" w:hAnsi="HelveticaNeueLT Pro 45 Lt"/>
          <w:color w:val="49595B"/>
          <w:sz w:val="52"/>
          <w:szCs w:val="52"/>
          <w:lang w:val="en-GB"/>
        </w:rPr>
      </w:pPr>
    </w:p>
    <w:p w14:paraId="7CDDA356" w14:textId="5B5BC15E" w:rsidR="00817D4E" w:rsidRDefault="00000000">
      <w:pPr>
        <w:ind w:left="-567"/>
        <w:rPr>
          <w:lang w:val="en-GB"/>
        </w:rPr>
      </w:pPr>
      <w:r>
        <w:rPr>
          <w:rFonts w:ascii="HelveticaNeueLT Pro 45 Lt" w:hAnsi="HelveticaNeueLT Pro 45 Lt"/>
          <w:color w:val="49595B"/>
          <w:sz w:val="20"/>
          <w:szCs w:val="20"/>
          <w:lang w:val="en-GB"/>
        </w:rPr>
        <w:t>Warsaw, 2</w:t>
      </w:r>
      <w:r w:rsidR="00CD137F">
        <w:rPr>
          <w:rFonts w:ascii="HelveticaNeueLT Pro 45 Lt" w:hAnsi="HelveticaNeueLT Pro 45 Lt"/>
          <w:color w:val="49595B"/>
          <w:sz w:val="20"/>
          <w:szCs w:val="20"/>
          <w:lang w:val="en-GB"/>
        </w:rPr>
        <w:t>9</w:t>
      </w:r>
      <w:r>
        <w:rPr>
          <w:rFonts w:ascii="HelveticaNeueLT Pro 45 Lt" w:hAnsi="HelveticaNeueLT Pro 45 Lt"/>
          <w:color w:val="49595B"/>
          <w:sz w:val="20"/>
          <w:szCs w:val="20"/>
          <w:vertAlign w:val="superscript"/>
          <w:lang w:val="en-GB"/>
        </w:rPr>
        <w:t xml:space="preserve"> </w:t>
      </w:r>
      <w:r>
        <w:rPr>
          <w:rFonts w:ascii="HelveticaNeueLT Pro 45 Lt" w:hAnsi="HelveticaNeueLT Pro 45 Lt"/>
          <w:color w:val="49595B"/>
          <w:sz w:val="20"/>
          <w:szCs w:val="20"/>
          <w:lang w:val="en-GB"/>
        </w:rPr>
        <w:t>August 2022</w:t>
      </w:r>
    </w:p>
    <w:p w14:paraId="5DD00CF5" w14:textId="77777777" w:rsidR="00817D4E" w:rsidRDefault="00817D4E">
      <w:pPr>
        <w:ind w:left="-567"/>
        <w:rPr>
          <w:rFonts w:ascii="HelveticaNeueLT Pro 45 Lt" w:hAnsi="HelveticaNeueLT Pro 45 Lt"/>
          <w:color w:val="49595B"/>
          <w:sz w:val="20"/>
          <w:szCs w:val="20"/>
          <w:lang w:val="en-GB"/>
        </w:rPr>
      </w:pPr>
    </w:p>
    <w:p w14:paraId="118DF071" w14:textId="77777777" w:rsidR="00817D4E" w:rsidRDefault="00817D4E">
      <w:pPr>
        <w:rPr>
          <w:rFonts w:ascii="HelveticaNeueLT Pro 45 Lt" w:eastAsia="Times New Roman" w:hAnsi="HelveticaNeueLT Pro 45 Lt" w:cs="Times New Roman"/>
          <w:sz w:val="28"/>
          <w:szCs w:val="28"/>
          <w:lang w:val="en-GB" w:eastAsia="en-GB"/>
        </w:rPr>
      </w:pPr>
    </w:p>
    <w:p w14:paraId="0D4DE5F0" w14:textId="77777777" w:rsidR="00817D4E" w:rsidRDefault="00000000">
      <w:pPr>
        <w:spacing w:line="520" w:lineRule="exact"/>
        <w:ind w:left="-567"/>
        <w:jc w:val="center"/>
        <w:rPr>
          <w:lang w:val="en-GB"/>
        </w:rPr>
      </w:pPr>
      <w:r>
        <w:rPr>
          <w:rFonts w:ascii="HelveticaNeueLT Pro 65 Md" w:eastAsia="Times New Roman" w:hAnsi="HelveticaNeueLT Pro 65 Md" w:cs="Times New Roman"/>
          <w:color w:val="C7162B"/>
          <w:sz w:val="40"/>
          <w:szCs w:val="40"/>
          <w:lang w:val="en-GB" w:eastAsia="en-GB"/>
        </w:rPr>
        <w:t xml:space="preserve">mFinanse moves from Warta Tower to WTT </w:t>
      </w:r>
    </w:p>
    <w:p w14:paraId="007AD539" w14:textId="77777777" w:rsidR="00817D4E" w:rsidRDefault="00817D4E">
      <w:pPr>
        <w:spacing w:line="160" w:lineRule="exact"/>
        <w:ind w:left="-567"/>
        <w:rPr>
          <w:rFonts w:ascii="HelveticaNeueLT Pro 65 Md" w:eastAsia="Times New Roman" w:hAnsi="HelveticaNeueLT Pro 65 Md" w:cs="Times New Roman"/>
          <w:color w:val="EC001E"/>
          <w:sz w:val="28"/>
          <w:szCs w:val="28"/>
          <w:lang w:val="en-GB" w:eastAsia="en-GB"/>
        </w:rPr>
      </w:pPr>
    </w:p>
    <w:p w14:paraId="0352A58E" w14:textId="77777777" w:rsidR="00817D4E" w:rsidRDefault="00000000">
      <w:pPr>
        <w:spacing w:line="330" w:lineRule="exact"/>
        <w:ind w:left="-567"/>
        <w:rPr>
          <w:lang w:val="en-GB"/>
        </w:rPr>
      </w:pPr>
      <w:r>
        <w:rPr>
          <w:rFonts w:ascii="HelveticaNeueLT Pro 65 Md" w:eastAsia="Times New Roman" w:hAnsi="HelveticaNeueLT Pro 65 Md" w:cs="Times New Roman"/>
          <w:color w:val="485A5A"/>
          <w:lang w:val="en-GB" w:eastAsia="en-GB"/>
        </w:rPr>
        <w:t xml:space="preserve">mFinanse, a popular financial brokerage business that is part of the </w:t>
      </w:r>
      <w:proofErr w:type="spellStart"/>
      <w:r>
        <w:rPr>
          <w:rFonts w:ascii="HelveticaNeueLT Pro 65 Md" w:eastAsia="Times New Roman" w:hAnsi="HelveticaNeueLT Pro 65 Md" w:cs="Times New Roman"/>
          <w:color w:val="485A5A"/>
          <w:lang w:val="en-GB" w:eastAsia="en-GB"/>
        </w:rPr>
        <w:t>mBank</w:t>
      </w:r>
      <w:proofErr w:type="spellEnd"/>
      <w:r>
        <w:rPr>
          <w:rFonts w:ascii="HelveticaNeueLT Pro 65 Md" w:eastAsia="Times New Roman" w:hAnsi="HelveticaNeueLT Pro 65 Md" w:cs="Times New Roman"/>
          <w:color w:val="485A5A"/>
          <w:lang w:val="en-GB" w:eastAsia="en-GB"/>
        </w:rPr>
        <w:t xml:space="preserve"> group, has moved from the Warta Tower building owned by Globalworth to the 25</w:t>
      </w:r>
      <w:r>
        <w:rPr>
          <w:rFonts w:ascii="HelveticaNeueLT Pro 65 Md" w:eastAsia="Times New Roman" w:hAnsi="HelveticaNeueLT Pro 65 Md" w:cs="Times New Roman"/>
          <w:color w:val="485A5A"/>
          <w:vertAlign w:val="superscript"/>
          <w:lang w:val="en-GB" w:eastAsia="en-GB"/>
        </w:rPr>
        <w:t>th</w:t>
      </w:r>
      <w:r>
        <w:rPr>
          <w:rFonts w:ascii="HelveticaNeueLT Pro 65 Md" w:eastAsia="Times New Roman" w:hAnsi="HelveticaNeueLT Pro 65 Md" w:cs="Times New Roman"/>
          <w:color w:val="485A5A"/>
          <w:lang w:val="en-GB" w:eastAsia="en-GB"/>
        </w:rPr>
        <w:t xml:space="preserve"> floor of Warsaw Trade Tower, another building that is also a part of the company’s Polish portfolio. </w:t>
      </w:r>
    </w:p>
    <w:bookmarkStart w:id="0" w:name="_Hlk67584508"/>
    <w:p w14:paraId="14A5F4C2" w14:textId="77777777" w:rsidR="00817D4E" w:rsidRDefault="00000000">
      <w:pPr>
        <w:tabs>
          <w:tab w:val="left" w:pos="3060"/>
        </w:tabs>
        <w:ind w:left="-567" w:right="-613"/>
        <w:rPr>
          <w:lang w:val="en-GB"/>
        </w:rPr>
      </w:pPr>
      <w:r>
        <w:rPr>
          <w:noProof/>
        </w:rPr>
        <mc:AlternateContent>
          <mc:Choice Requires="wps">
            <w:drawing>
              <wp:anchor distT="0" distB="12700" distL="0" distR="0" simplePos="0" relativeHeight="8" behindDoc="0" locked="0" layoutInCell="0" allowOverlap="1" wp14:anchorId="5B8F3367" wp14:editId="1FB3D342">
                <wp:simplePos x="0" y="0"/>
                <wp:positionH relativeFrom="column">
                  <wp:posOffset>-330200</wp:posOffset>
                </wp:positionH>
                <wp:positionV relativeFrom="paragraph">
                  <wp:posOffset>116205</wp:posOffset>
                </wp:positionV>
                <wp:extent cx="6375400" cy="635"/>
                <wp:effectExtent l="8255" t="8255" r="8255" b="8255"/>
                <wp:wrapNone/>
                <wp:docPr id="3" name="Straight Connector 2"/>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6pt,9.15pt" to="475.95pt,9.15pt" ID="Straight Connector 2" stroked="t" o:allowincell="f" style="position:absolute" wp14:anchorId="16E8178E">
                <v:stroke color="#485a5a" weight="15840" dashstyle="shortdot" joinstyle="bevel" endcap="round"/>
                <v:fill o:detectmouseclick="t" on="false"/>
                <w10:wrap type="none"/>
              </v:line>
            </w:pict>
          </mc:Fallback>
        </mc:AlternateContent>
      </w:r>
      <w:bookmarkEnd w:id="0"/>
      <w:r>
        <w:rPr>
          <w:lang w:val="en-GB"/>
        </w:rPr>
        <w:tab/>
      </w:r>
    </w:p>
    <w:p w14:paraId="3DAB6FFB" w14:textId="77777777" w:rsidR="00817D4E" w:rsidRDefault="00817D4E">
      <w:pPr>
        <w:tabs>
          <w:tab w:val="left" w:pos="3060"/>
        </w:tabs>
        <w:ind w:left="-567" w:right="-613"/>
        <w:rPr>
          <w:rFonts w:ascii="HelveticaNeueLT Pro 45 Lt" w:hAnsi="HelveticaNeueLT Pro 45 Lt"/>
          <w:color w:val="485A5A"/>
          <w:lang w:val="en-GB"/>
        </w:rPr>
      </w:pPr>
    </w:p>
    <w:p w14:paraId="74F3D5E5" w14:textId="77777777" w:rsidR="00817D4E" w:rsidRDefault="00000000">
      <w:pPr>
        <w:spacing w:line="330" w:lineRule="exact"/>
        <w:ind w:left="-567"/>
        <w:rPr>
          <w:lang w:val="en-GB"/>
        </w:rPr>
      </w:pPr>
      <w:r>
        <w:rPr>
          <w:noProof/>
        </w:rPr>
        <w:drawing>
          <wp:anchor distT="0" distB="0" distL="114300" distR="114300" simplePos="0" relativeHeight="9" behindDoc="0" locked="0" layoutInCell="0" allowOverlap="1" wp14:anchorId="50BC407A" wp14:editId="61025652">
            <wp:simplePos x="0" y="0"/>
            <wp:positionH relativeFrom="column">
              <wp:posOffset>-309880</wp:posOffset>
            </wp:positionH>
            <wp:positionV relativeFrom="paragraph">
              <wp:posOffset>351155</wp:posOffset>
            </wp:positionV>
            <wp:extent cx="330200" cy="330200"/>
            <wp:effectExtent l="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8"/>
                    <a:stretch>
                      <a:fillRect/>
                    </a:stretch>
                  </pic:blipFill>
                  <pic:spPr bwMode="auto">
                    <a:xfrm>
                      <a:off x="0" y="0"/>
                      <a:ext cx="330200" cy="330200"/>
                    </a:xfrm>
                    <a:prstGeom prst="rect">
                      <a:avLst/>
                    </a:prstGeom>
                  </pic:spPr>
                </pic:pic>
              </a:graphicData>
            </a:graphic>
          </wp:anchor>
        </w:drawing>
      </w:r>
      <w:r>
        <w:rPr>
          <w:rFonts w:ascii="HelveticaNeueLT Pro 45 Lt" w:hAnsi="HelveticaNeueLT Pro 45 Lt"/>
          <w:color w:val="485A5A"/>
          <w:lang w:val="en-GB"/>
        </w:rPr>
        <w:t xml:space="preserve">“It is really great news for us as, the owner and manager of both the Warta Tower and Warsaw Trade Tower office buildings, that the </w:t>
      </w:r>
      <w:proofErr w:type="spellStart"/>
      <w:r>
        <w:rPr>
          <w:rFonts w:ascii="HelveticaNeueLT Pro 45 Lt" w:hAnsi="HelveticaNeueLT Pro 45 Lt"/>
          <w:color w:val="485A5A"/>
          <w:lang w:val="en-GB"/>
        </w:rPr>
        <w:t>mBank</w:t>
      </w:r>
      <w:proofErr w:type="spellEnd"/>
      <w:r>
        <w:rPr>
          <w:rFonts w:ascii="HelveticaNeueLT Pro 45 Lt" w:hAnsi="HelveticaNeueLT Pro 45 Lt"/>
          <w:color w:val="485A5A"/>
          <w:lang w:val="en-GB"/>
        </w:rPr>
        <w:t xml:space="preserve"> subsidiary has decided to remain a member of the Globalworth tenant community. As a long-term investor, our goal is to ensure the comfort of our tenants and to find them new solutions if for some reason it no longer becomes possible to extend their leases in their current locations. </w:t>
      </w:r>
      <w:proofErr w:type="spellStart"/>
      <w:r>
        <w:rPr>
          <w:rFonts w:ascii="HelveticaNeueLT Pro 45 Lt" w:hAnsi="HelveticaNeueLT Pro 45 Lt"/>
          <w:color w:val="485A5A"/>
          <w:lang w:val="en-GB"/>
        </w:rPr>
        <w:t>mFinanse’s</w:t>
      </w:r>
      <w:proofErr w:type="spellEnd"/>
      <w:r>
        <w:rPr>
          <w:rFonts w:ascii="HelveticaNeueLT Pro 45 Lt" w:hAnsi="HelveticaNeueLT Pro 45 Lt"/>
          <w:color w:val="485A5A"/>
          <w:lang w:val="en-GB"/>
        </w:rPr>
        <w:t xml:space="preserve"> move to Warsaw Trade Tower is further evidence that old iconic office buildings can keep pace with those that are newly built and that our tenants appreciate the high quality of our services,” says </w:t>
      </w:r>
      <w:r>
        <w:rPr>
          <w:rFonts w:ascii="HelveticaNeueLT Pro 45 Lt" w:hAnsi="HelveticaNeueLT Pro 45 Lt"/>
          <w:b/>
          <w:bCs/>
          <w:color w:val="485A5A"/>
          <w:lang w:val="en-GB"/>
        </w:rPr>
        <w:t>Anna Korwin-Kulesza</w:t>
      </w:r>
      <w:r>
        <w:rPr>
          <w:rFonts w:ascii="HelveticaNeueLT Pro 45 Lt" w:hAnsi="HelveticaNeueLT Pro 45 Lt"/>
          <w:color w:val="485A5A"/>
          <w:lang w:val="en-GB"/>
        </w:rPr>
        <w:t>, Asset Management &amp; Leasing Director at Globalworth Poland.</w:t>
      </w:r>
    </w:p>
    <w:p w14:paraId="4961B551" w14:textId="77777777" w:rsidR="00817D4E" w:rsidRDefault="00817D4E">
      <w:pPr>
        <w:spacing w:line="330" w:lineRule="exact"/>
        <w:ind w:left="-567"/>
        <w:rPr>
          <w:rFonts w:ascii="HelveticaNeueLT Pro 45 Lt" w:hAnsi="HelveticaNeueLT Pro 45 Lt"/>
          <w:color w:val="485A5A"/>
          <w:lang w:val="en-GB"/>
        </w:rPr>
      </w:pPr>
    </w:p>
    <w:p w14:paraId="4475B978" w14:textId="77777777" w:rsidR="00817D4E" w:rsidRPr="00CD137F" w:rsidRDefault="00000000">
      <w:pPr>
        <w:spacing w:line="330" w:lineRule="exact"/>
        <w:ind w:left="-567"/>
        <w:rPr>
          <w:lang w:val="en-US"/>
        </w:rPr>
      </w:pPr>
      <w:hyperlink r:id="rId9">
        <w:r>
          <w:rPr>
            <w:rStyle w:val="Hipercze"/>
            <w:rFonts w:ascii="HelveticaNeueLT Pro 45 Lt" w:hAnsi="HelveticaNeueLT Pro 45 Lt"/>
            <w:b/>
            <w:bCs/>
            <w:lang w:val="en-GB"/>
          </w:rPr>
          <w:t>mFinanse</w:t>
        </w:r>
      </w:hyperlink>
      <w:r>
        <w:rPr>
          <w:rFonts w:ascii="HelveticaNeueLT Pro 45 Lt" w:hAnsi="HelveticaNeueLT Pro 45 Lt"/>
          <w:color w:val="485A5A"/>
          <w:lang w:val="en-GB"/>
        </w:rPr>
        <w:t xml:space="preserve"> comprises a continuously-growing network of financial experts, whose role is to provide support for the important financial decisions of their clients. The </w:t>
      </w:r>
      <w:proofErr w:type="spellStart"/>
      <w:r>
        <w:rPr>
          <w:rFonts w:ascii="HelveticaNeueLT Pro 45 Lt" w:hAnsi="HelveticaNeueLT Pro 45 Lt"/>
          <w:color w:val="485A5A"/>
          <w:lang w:val="en-GB"/>
        </w:rPr>
        <w:t>mBank</w:t>
      </w:r>
      <w:proofErr w:type="spellEnd"/>
      <w:r>
        <w:rPr>
          <w:rFonts w:ascii="HelveticaNeueLT Pro 45 Lt" w:hAnsi="HelveticaNeueLT Pro 45 Lt"/>
          <w:color w:val="485A5A"/>
          <w:lang w:val="en-GB"/>
        </w:rPr>
        <w:t xml:space="preserve"> subsidiary offers a broad range of financial products. It employs over 1,000 financial advisors throughout all of Poland and has experience of the market since 2005.</w:t>
      </w:r>
    </w:p>
    <w:p w14:paraId="735910A6" w14:textId="77777777" w:rsidR="00817D4E" w:rsidRDefault="00817D4E">
      <w:pPr>
        <w:spacing w:line="330" w:lineRule="exact"/>
        <w:ind w:left="-567"/>
        <w:rPr>
          <w:rFonts w:ascii="HelveticaNeueLT Pro 45 Lt" w:hAnsi="HelveticaNeueLT Pro 45 Lt"/>
          <w:color w:val="485A5A"/>
          <w:lang w:val="en-GB"/>
        </w:rPr>
      </w:pPr>
    </w:p>
    <w:p w14:paraId="3AE0AB43" w14:textId="77777777" w:rsidR="00817D4E" w:rsidRPr="00CD137F" w:rsidRDefault="00000000">
      <w:pPr>
        <w:spacing w:line="330" w:lineRule="exact"/>
        <w:ind w:left="-567"/>
        <w:rPr>
          <w:lang w:val="en-US"/>
        </w:rPr>
      </w:pPr>
      <w:hyperlink r:id="rId10">
        <w:r>
          <w:rPr>
            <w:rStyle w:val="Hipercze"/>
            <w:rFonts w:ascii="HelveticaNeueLT Pro 45 Lt" w:hAnsi="HelveticaNeueLT Pro 45 Lt"/>
            <w:b/>
            <w:bCs/>
            <w:lang w:val="en-GB"/>
          </w:rPr>
          <w:t>Warsaw Trade Tower</w:t>
        </w:r>
      </w:hyperlink>
      <w:r>
        <w:rPr>
          <w:rFonts w:ascii="HelveticaNeueLT Pro 45 Lt" w:hAnsi="HelveticaNeueLT Pro 45 Lt"/>
          <w:color w:val="485A5A"/>
          <w:lang w:val="en-GB"/>
        </w:rPr>
        <w:t xml:space="preserve"> is one of the tallest and most recognisable office buildings in Warsaw. With over 42 floors, a height of 208m and 45,000 sqm of office space, the office stands on </w:t>
      </w:r>
      <w:proofErr w:type="spellStart"/>
      <w:r>
        <w:rPr>
          <w:rFonts w:ascii="HelveticaNeueLT Pro 45 Lt" w:hAnsi="HelveticaNeueLT Pro 45 Lt"/>
          <w:color w:val="485A5A"/>
          <w:lang w:val="en-GB"/>
        </w:rPr>
        <w:t>ul</w:t>
      </w:r>
      <w:proofErr w:type="spellEnd"/>
      <w:r>
        <w:rPr>
          <w:rFonts w:ascii="HelveticaNeueLT Pro 45 Lt" w:hAnsi="HelveticaNeueLT Pro 45 Lt"/>
          <w:color w:val="485A5A"/>
          <w:lang w:val="en-GB"/>
        </w:rPr>
        <w:t xml:space="preserve">. </w:t>
      </w:r>
      <w:proofErr w:type="spellStart"/>
      <w:r>
        <w:rPr>
          <w:rFonts w:ascii="HelveticaNeueLT Pro 45 Lt" w:hAnsi="HelveticaNeueLT Pro 45 Lt"/>
          <w:color w:val="485A5A"/>
          <w:lang w:val="en-GB"/>
        </w:rPr>
        <w:t>Chłodna</w:t>
      </w:r>
      <w:proofErr w:type="spellEnd"/>
      <w:r>
        <w:rPr>
          <w:rFonts w:ascii="HelveticaNeueLT Pro 45 Lt" w:hAnsi="HelveticaNeueLT Pro 45 Lt"/>
          <w:color w:val="485A5A"/>
          <w:lang w:val="en-GB"/>
        </w:rPr>
        <w:t xml:space="preserve"> 51 in the city’s </w:t>
      </w:r>
      <w:proofErr w:type="spellStart"/>
      <w:r>
        <w:rPr>
          <w:rFonts w:ascii="HelveticaNeueLT Pro 45 Lt" w:hAnsi="HelveticaNeueLT Pro 45 Lt"/>
          <w:color w:val="485A5A"/>
          <w:lang w:val="en-GB"/>
        </w:rPr>
        <w:t>Wola</w:t>
      </w:r>
      <w:proofErr w:type="spellEnd"/>
      <w:r>
        <w:rPr>
          <w:rFonts w:ascii="HelveticaNeueLT Pro 45 Lt" w:hAnsi="HelveticaNeueLT Pro 45 Lt"/>
          <w:color w:val="485A5A"/>
          <w:lang w:val="en-GB"/>
        </w:rPr>
        <w:t xml:space="preserve"> district near </w:t>
      </w:r>
      <w:proofErr w:type="spellStart"/>
      <w:r>
        <w:rPr>
          <w:rFonts w:ascii="HelveticaNeueLT Pro 45 Lt" w:hAnsi="HelveticaNeueLT Pro 45 Lt"/>
          <w:color w:val="485A5A"/>
          <w:lang w:val="en-GB"/>
        </w:rPr>
        <w:t>ul</w:t>
      </w:r>
      <w:proofErr w:type="spellEnd"/>
      <w:r>
        <w:rPr>
          <w:rFonts w:ascii="HelveticaNeueLT Pro 45 Lt" w:hAnsi="HelveticaNeueLT Pro 45 Lt"/>
          <w:color w:val="485A5A"/>
          <w:lang w:val="en-GB"/>
        </w:rPr>
        <w:t xml:space="preserve">. </w:t>
      </w:r>
      <w:proofErr w:type="spellStart"/>
      <w:r>
        <w:rPr>
          <w:rFonts w:ascii="HelveticaNeueLT Pro 45 Lt" w:hAnsi="HelveticaNeueLT Pro 45 Lt"/>
          <w:color w:val="485A5A"/>
          <w:lang w:val="en-GB"/>
        </w:rPr>
        <w:t>Towarowa</w:t>
      </w:r>
      <w:proofErr w:type="spellEnd"/>
      <w:r>
        <w:rPr>
          <w:rFonts w:ascii="HelveticaNeueLT Pro 45 Lt" w:hAnsi="HelveticaNeueLT Pro 45 Lt"/>
          <w:color w:val="485A5A"/>
          <w:lang w:val="en-GB"/>
        </w:rPr>
        <w:t xml:space="preserve"> and al. </w:t>
      </w:r>
      <w:proofErr w:type="spellStart"/>
      <w:r>
        <w:rPr>
          <w:rFonts w:ascii="HelveticaNeueLT Pro 45 Lt" w:hAnsi="HelveticaNeueLT Pro 45 Lt"/>
          <w:color w:val="485A5A"/>
          <w:lang w:val="en-GB"/>
        </w:rPr>
        <w:t>Solidarności</w:t>
      </w:r>
      <w:proofErr w:type="spellEnd"/>
      <w:r>
        <w:rPr>
          <w:rFonts w:ascii="HelveticaNeueLT Pro 45 Lt" w:hAnsi="HelveticaNeueLT Pro 45 Lt"/>
          <w:color w:val="485A5A"/>
          <w:lang w:val="en-GB"/>
        </w:rPr>
        <w:t xml:space="preserve"> as well as close to Rondo </w:t>
      </w:r>
      <w:proofErr w:type="spellStart"/>
      <w:r>
        <w:rPr>
          <w:rFonts w:ascii="HelveticaNeueLT Pro 45 Lt" w:hAnsi="HelveticaNeueLT Pro 45 Lt"/>
          <w:color w:val="485A5A"/>
          <w:lang w:val="en-GB"/>
        </w:rPr>
        <w:t>Daszyńskiego</w:t>
      </w:r>
      <w:proofErr w:type="spellEnd"/>
      <w:r>
        <w:rPr>
          <w:rFonts w:ascii="HelveticaNeueLT Pro 45 Lt" w:hAnsi="HelveticaNeueLT Pro 45 Lt"/>
          <w:color w:val="485A5A"/>
          <w:lang w:val="en-GB"/>
        </w:rPr>
        <w:t xml:space="preserve"> station on the second Warsaw metro line.</w:t>
      </w:r>
    </w:p>
    <w:p w14:paraId="58170606" w14:textId="77777777" w:rsidR="00817D4E" w:rsidRDefault="00817D4E">
      <w:pPr>
        <w:spacing w:line="330" w:lineRule="exact"/>
        <w:ind w:left="-567"/>
        <w:rPr>
          <w:rFonts w:ascii="HelveticaNeueLT Pro 45 Lt" w:hAnsi="HelveticaNeueLT Pro 45 Lt"/>
          <w:color w:val="485A5A"/>
          <w:lang w:val="en-GB"/>
        </w:rPr>
      </w:pPr>
    </w:p>
    <w:p w14:paraId="2104B9D7" w14:textId="6A161F31" w:rsidR="00817D4E" w:rsidRDefault="00000000">
      <w:pPr>
        <w:spacing w:line="330" w:lineRule="exact"/>
        <w:ind w:left="-567"/>
        <w:rPr>
          <w:lang w:val="en-GB"/>
        </w:rPr>
      </w:pPr>
      <w:r>
        <w:rPr>
          <w:rFonts w:ascii="HelveticaNeueLT Pro 45 Lt" w:hAnsi="HelveticaNeueLT Pro 45 Lt"/>
          <w:color w:val="485A5A"/>
          <w:lang w:val="en-GB"/>
        </w:rPr>
        <w:t xml:space="preserve">In April 2019, Globalworth added the property to its portfolio. Warsaw Trade Tower is the Polish headquarters of insurance company UNIQA and is also the base of such companies as MSD, American Express, </w:t>
      </w:r>
      <w:proofErr w:type="spellStart"/>
      <w:r>
        <w:rPr>
          <w:rFonts w:ascii="HelveticaNeueLT Pro 45 Lt" w:hAnsi="HelveticaNeueLT Pro 45 Lt"/>
          <w:color w:val="485A5A"/>
          <w:lang w:val="en-GB"/>
        </w:rPr>
        <w:t>Avanssur</w:t>
      </w:r>
      <w:proofErr w:type="spellEnd"/>
      <w:r>
        <w:rPr>
          <w:rFonts w:ascii="HelveticaNeueLT Pro 45 Lt" w:hAnsi="HelveticaNeueLT Pro 45 Lt"/>
          <w:color w:val="485A5A"/>
          <w:lang w:val="en-GB"/>
        </w:rPr>
        <w:t xml:space="preserve"> and BNI. The building has 400 parking spaces for the use of its tenants, modern cycling facilities with changing rooms and showers and attractive common areas that are modernised on a continuous basis. The office tower is also environmentally certified under BREEAM with a rating of ‘Excellent’ and with a WELL Health &amp; Safety 2022 certificate. It is also 100% powered with renewably-sourced energy.</w:t>
      </w:r>
    </w:p>
    <w:p w14:paraId="4D5A2334" w14:textId="77777777" w:rsidR="00817D4E" w:rsidRDefault="00817D4E">
      <w:pPr>
        <w:spacing w:line="330" w:lineRule="exact"/>
        <w:ind w:left="-567"/>
        <w:rPr>
          <w:lang w:val="en-GB"/>
        </w:rPr>
      </w:pPr>
    </w:p>
    <w:p w14:paraId="16056147" w14:textId="77777777" w:rsidR="00817D4E" w:rsidRDefault="00817D4E">
      <w:pPr>
        <w:tabs>
          <w:tab w:val="left" w:pos="567"/>
        </w:tabs>
        <w:spacing w:line="260" w:lineRule="exact"/>
        <w:ind w:right="-613"/>
        <w:rPr>
          <w:rFonts w:ascii="HelveticaNeueLT Pro 45 Lt" w:hAnsi="HelveticaNeueLT Pro 45 Lt"/>
          <w:i/>
          <w:iCs/>
          <w:color w:val="485A5A"/>
          <w:sz w:val="20"/>
          <w:szCs w:val="20"/>
          <w:lang w:val="en-GB"/>
        </w:rPr>
      </w:pPr>
    </w:p>
    <w:p w14:paraId="67719D09" w14:textId="77777777" w:rsidR="00817D4E" w:rsidRDefault="00000000">
      <w:pPr>
        <w:tabs>
          <w:tab w:val="left" w:pos="567"/>
        </w:tabs>
        <w:spacing w:line="340" w:lineRule="exact"/>
        <w:ind w:right="-612"/>
        <w:rPr>
          <w:rFonts w:ascii="HelveticaNeueLT Pro 45 Lt" w:hAnsi="HelveticaNeueLT Pro 45 Lt"/>
          <w:i/>
          <w:iCs/>
          <w:color w:val="485A5A"/>
          <w:sz w:val="20"/>
          <w:szCs w:val="20"/>
          <w:lang w:val="en-GB"/>
        </w:rPr>
      </w:pPr>
      <w:r>
        <w:rPr>
          <w:rFonts w:ascii="HelveticaNeueLT Pro 45 Lt" w:hAnsi="HelveticaNeueLT Pro 45 Lt"/>
          <w:i/>
          <w:iCs/>
          <w:noProof/>
          <w:color w:val="485A5A"/>
          <w:sz w:val="20"/>
          <w:szCs w:val="20"/>
          <w:lang w:val="en-GB"/>
        </w:rPr>
        <mc:AlternateContent>
          <mc:Choice Requires="wps">
            <w:drawing>
              <wp:anchor distT="8255" distB="8255" distL="8255" distR="8255" simplePos="0" relativeHeight="10" behindDoc="0" locked="0" layoutInCell="0" allowOverlap="1" wp14:anchorId="31B66500" wp14:editId="3D4D8957">
                <wp:simplePos x="0" y="0"/>
                <wp:positionH relativeFrom="column">
                  <wp:posOffset>-368300</wp:posOffset>
                </wp:positionH>
                <wp:positionV relativeFrom="paragraph">
                  <wp:posOffset>3810</wp:posOffset>
                </wp:positionV>
                <wp:extent cx="6438900" cy="635"/>
                <wp:effectExtent l="8255" t="8255" r="8255" b="8255"/>
                <wp:wrapNone/>
                <wp:docPr id="5" name="Straight Connector 5"/>
                <wp:cNvGraphicFramePr/>
                <a:graphic xmlns:a="http://schemas.openxmlformats.org/drawingml/2006/main">
                  <a:graphicData uri="http://schemas.microsoft.com/office/word/2010/wordprocessingShape">
                    <wps:wsp>
                      <wps:cNvCnPr/>
                      <wps:spPr>
                        <a:xfrm>
                          <a:off x="0" y="0"/>
                          <a:ext cx="6438960" cy="720"/>
                        </a:xfrm>
                        <a:prstGeom prst="line">
                          <a:avLst/>
                        </a:prstGeom>
                        <a:ln w="15875" cap="rnd">
                          <a:solidFill>
                            <a:srgbClr val="C7162B"/>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9pt,0.3pt" to="477.95pt,0.3pt" ID="Straight Connector 5" stroked="t" o:allowincell="f" style="position:absolute" wp14:anchorId="2D3B62F6">
                <v:stroke color="#c7162b" weight="15840" joinstyle="bevel" endcap="round"/>
                <v:fill o:detectmouseclick="t" on="false"/>
                <w10:wrap type="none"/>
              </v:line>
            </w:pict>
          </mc:Fallback>
        </mc:AlternateContent>
      </w:r>
    </w:p>
    <w:p w14:paraId="0CA23D9C" w14:textId="77777777" w:rsidR="00817D4E" w:rsidRDefault="00000000">
      <w:pPr>
        <w:tabs>
          <w:tab w:val="left" w:pos="567"/>
        </w:tabs>
        <w:spacing w:line="260" w:lineRule="exact"/>
        <w:ind w:left="-567" w:right="-613"/>
        <w:rPr>
          <w:lang w:val="en-GB"/>
        </w:rPr>
      </w:pPr>
      <w:r>
        <w:rPr>
          <w:rFonts w:ascii="HelveticaNeueLT Pro 45 Lt" w:hAnsi="HelveticaNeueLT Pro 45 Lt"/>
          <w:color w:val="485A5A"/>
          <w:sz w:val="28"/>
          <w:szCs w:val="28"/>
          <w:lang w:val="en-GB"/>
        </w:rPr>
        <w:t>ABOUT GLOBALWORTH</w:t>
      </w:r>
    </w:p>
    <w:p w14:paraId="47224D42" w14:textId="77777777" w:rsidR="00817D4E" w:rsidRDefault="00817D4E">
      <w:pPr>
        <w:tabs>
          <w:tab w:val="left" w:pos="567"/>
        </w:tabs>
        <w:spacing w:line="260" w:lineRule="exact"/>
        <w:ind w:left="-567" w:right="-613"/>
        <w:rPr>
          <w:rFonts w:ascii="HelveticaNeueLT Pro 45 Lt" w:hAnsi="HelveticaNeueLT Pro 45 Lt"/>
          <w:color w:val="485A5A"/>
          <w:sz w:val="28"/>
          <w:szCs w:val="28"/>
          <w:lang w:val="en-GB"/>
        </w:rPr>
      </w:pPr>
    </w:p>
    <w:p w14:paraId="09FAB0AD" w14:textId="77777777" w:rsidR="00817D4E" w:rsidRDefault="00000000">
      <w:pPr>
        <w:tabs>
          <w:tab w:val="left" w:pos="567"/>
        </w:tabs>
        <w:spacing w:line="280" w:lineRule="exact"/>
        <w:ind w:left="-567"/>
        <w:rPr>
          <w:lang w:val="en-GB"/>
        </w:rPr>
      </w:pPr>
      <w:bookmarkStart w:id="1" w:name="_Hlk96023881"/>
      <w:r>
        <w:rPr>
          <w:rFonts w:ascii="HelveticaNeueLT Pro 45 Lt" w:hAnsi="HelveticaNeueLT Pro 45 Lt"/>
          <w:color w:val="485A5A"/>
          <w:sz w:val="20"/>
          <w:szCs w:val="20"/>
          <w:lang w:val="en-GB"/>
        </w:rPr>
        <w:t xml:space="preserve">Globalworth is a listed real estate company active in Central and Eastern Europe and quoted on the AIM-segment of the London Stock Exchange. It has become the pre-eminent office investor in the CEE real estate market through its </w:t>
      </w:r>
      <w:r>
        <w:rPr>
          <w:rFonts w:ascii="HelveticaNeueLT Pro 45 Lt" w:hAnsi="HelveticaNeueLT Pro 45 Lt"/>
          <w:color w:val="485A5A"/>
          <w:sz w:val="20"/>
          <w:szCs w:val="20"/>
          <w:lang w:val="en-GB"/>
        </w:rPr>
        <w:lastRenderedPageBreak/>
        <w:t>market-leading positions both in Romania and in Poland. Globalworth invests, acquires, develops and directly manages high-quality office real estate assets and industrial and logistics parks in prime locations, generating rental income from high quality tenants from around the globe. Managed by over 200 professionals across Cyprus, Guernsey, Romania and Poland, Globalworth holds a portfolio with a combined value of EUR 3.2 billion, as of December 31</w:t>
      </w:r>
      <w:r>
        <w:rPr>
          <w:rFonts w:ascii="HelveticaNeueLT Pro 45 Lt" w:hAnsi="HelveticaNeueLT Pro 45 Lt"/>
          <w:color w:val="485A5A"/>
          <w:sz w:val="20"/>
          <w:szCs w:val="20"/>
          <w:vertAlign w:val="superscript"/>
          <w:lang w:val="en-GB"/>
        </w:rPr>
        <w:t>st</w:t>
      </w:r>
      <w:r>
        <w:rPr>
          <w:rFonts w:ascii="HelveticaNeueLT Pro 45 Lt" w:hAnsi="HelveticaNeueLT Pro 45 Lt"/>
          <w:color w:val="485A5A"/>
          <w:sz w:val="20"/>
          <w:szCs w:val="20"/>
          <w:lang w:val="en-GB"/>
        </w:rPr>
        <w:t xml:space="preserve"> 2021. Approximately 95.1% of the portfolio is in the form of income-producing assets, predominantly in the office sector, and leased to a diversified array of around 650 national and multinational corporates. In Romania, Globalworth owns properties in Bucharest, </w:t>
      </w:r>
      <w:proofErr w:type="spellStart"/>
      <w:r>
        <w:rPr>
          <w:rFonts w:ascii="HelveticaNeueLT Pro 45 Lt" w:hAnsi="HelveticaNeueLT Pro 45 Lt"/>
          <w:color w:val="485A5A"/>
          <w:sz w:val="20"/>
          <w:szCs w:val="20"/>
          <w:lang w:val="en-GB"/>
        </w:rPr>
        <w:t>Timişoara</w:t>
      </w:r>
      <w:proofErr w:type="spellEnd"/>
      <w:r>
        <w:rPr>
          <w:rFonts w:ascii="HelveticaNeueLT Pro 45 Lt" w:hAnsi="HelveticaNeueLT Pro 45 Lt"/>
          <w:color w:val="485A5A"/>
          <w:sz w:val="20"/>
          <w:szCs w:val="20"/>
          <w:lang w:val="en-GB"/>
        </w:rPr>
        <w:t xml:space="preserve">, </w:t>
      </w:r>
      <w:proofErr w:type="spellStart"/>
      <w:r>
        <w:rPr>
          <w:rFonts w:ascii="HelveticaNeueLT Pro 45 Lt" w:hAnsi="HelveticaNeueLT Pro 45 Lt"/>
          <w:color w:val="485A5A"/>
          <w:sz w:val="20"/>
          <w:szCs w:val="20"/>
          <w:lang w:val="en-GB"/>
        </w:rPr>
        <w:t>Constanța</w:t>
      </w:r>
      <w:proofErr w:type="spellEnd"/>
      <w:r>
        <w:rPr>
          <w:rFonts w:ascii="HelveticaNeueLT Pro 45 Lt" w:hAnsi="HelveticaNeueLT Pro 45 Lt"/>
          <w:color w:val="485A5A"/>
          <w:sz w:val="20"/>
          <w:szCs w:val="20"/>
          <w:lang w:val="en-GB"/>
        </w:rPr>
        <w:t xml:space="preserve"> and Pitești, while in Poland its assets can be found in Warsaw, </w:t>
      </w:r>
      <w:proofErr w:type="spellStart"/>
      <w:r>
        <w:rPr>
          <w:rFonts w:ascii="HelveticaNeueLT Pro 45 Lt" w:hAnsi="HelveticaNeueLT Pro 45 Lt"/>
          <w:color w:val="485A5A"/>
          <w:sz w:val="20"/>
          <w:szCs w:val="20"/>
          <w:lang w:val="en-GB"/>
        </w:rPr>
        <w:t>Gdańsk</w:t>
      </w:r>
      <w:proofErr w:type="spellEnd"/>
      <w:r>
        <w:rPr>
          <w:rFonts w:ascii="HelveticaNeueLT Pro 45 Lt" w:hAnsi="HelveticaNeueLT Pro 45 Lt"/>
          <w:color w:val="485A5A"/>
          <w:sz w:val="20"/>
          <w:szCs w:val="20"/>
          <w:lang w:val="en-GB"/>
        </w:rPr>
        <w:t xml:space="preserve">, Katowice, Kraków, </w:t>
      </w:r>
      <w:proofErr w:type="spellStart"/>
      <w:r>
        <w:rPr>
          <w:rFonts w:ascii="HelveticaNeueLT Pro 45 Lt" w:hAnsi="HelveticaNeueLT Pro 45 Lt"/>
          <w:color w:val="485A5A"/>
          <w:sz w:val="20"/>
          <w:szCs w:val="20"/>
          <w:lang w:val="en-GB"/>
        </w:rPr>
        <w:t>Łódź</w:t>
      </w:r>
      <w:proofErr w:type="spellEnd"/>
      <w:r>
        <w:rPr>
          <w:rFonts w:ascii="HelveticaNeueLT Pro 45 Lt" w:hAnsi="HelveticaNeueLT Pro 45 Lt"/>
          <w:color w:val="485A5A"/>
          <w:sz w:val="20"/>
          <w:szCs w:val="20"/>
          <w:lang w:val="en-GB"/>
        </w:rPr>
        <w:t xml:space="preserve"> and </w:t>
      </w:r>
      <w:proofErr w:type="spellStart"/>
      <w:r>
        <w:rPr>
          <w:rFonts w:ascii="HelveticaNeueLT Pro 45 Lt" w:hAnsi="HelveticaNeueLT Pro 45 Lt"/>
          <w:color w:val="485A5A"/>
          <w:sz w:val="20"/>
          <w:szCs w:val="20"/>
          <w:lang w:val="en-GB"/>
        </w:rPr>
        <w:t>Wrocław</w:t>
      </w:r>
      <w:proofErr w:type="spellEnd"/>
      <w:r>
        <w:rPr>
          <w:rFonts w:ascii="HelveticaNeueLT Pro 45 Lt" w:hAnsi="HelveticaNeueLT Pro 45 Lt"/>
          <w:color w:val="485A5A"/>
          <w:sz w:val="20"/>
          <w:szCs w:val="20"/>
          <w:lang w:val="en-GB"/>
        </w:rPr>
        <w:t>.</w:t>
      </w:r>
    </w:p>
    <w:p w14:paraId="71588C33" w14:textId="77777777" w:rsidR="00817D4E" w:rsidRPr="00CD137F" w:rsidRDefault="00000000">
      <w:pPr>
        <w:tabs>
          <w:tab w:val="left" w:pos="567"/>
        </w:tabs>
        <w:spacing w:line="280" w:lineRule="exact"/>
        <w:ind w:left="-567"/>
        <w:rPr>
          <w:lang w:val="en-US"/>
        </w:rPr>
      </w:pPr>
      <w:r>
        <w:rPr>
          <w:rFonts w:ascii="HelveticaNeueLT Pro 45 Lt" w:hAnsi="HelveticaNeueLT Pro 45 Lt"/>
          <w:color w:val="485A5A"/>
          <w:sz w:val="20"/>
          <w:szCs w:val="20"/>
          <w:lang w:val="en-GB"/>
        </w:rPr>
        <w:t>For more information visit </w:t>
      </w:r>
      <w:hyperlink r:id="rId11" w:tgtFrame="_blank">
        <w:r>
          <w:rPr>
            <w:rStyle w:val="Hipercze"/>
            <w:rFonts w:ascii="HelveticaNeueLT Pro 45 Lt" w:hAnsi="HelveticaNeueLT Pro 45 Lt"/>
            <w:sz w:val="20"/>
            <w:szCs w:val="20"/>
            <w:lang w:val="en-GB"/>
          </w:rPr>
          <w:t>www.globalworth.com</w:t>
        </w:r>
      </w:hyperlink>
      <w:r>
        <w:rPr>
          <w:rFonts w:ascii="HelveticaNeueLT Pro 45 Lt" w:hAnsi="HelveticaNeueLT Pro 45 Lt"/>
          <w:color w:val="485A5A"/>
          <w:sz w:val="20"/>
          <w:szCs w:val="20"/>
          <w:u w:val="single"/>
          <w:lang w:val="en-GB"/>
        </w:rPr>
        <w:t> </w:t>
      </w:r>
      <w:r>
        <w:rPr>
          <w:rFonts w:ascii="HelveticaNeueLT Pro 45 Lt" w:hAnsi="HelveticaNeueLT Pro 45 Lt"/>
          <w:color w:val="485A5A"/>
          <w:sz w:val="20"/>
          <w:szCs w:val="20"/>
          <w:lang w:val="en-GB"/>
        </w:rPr>
        <w:t>and follow us on </w:t>
      </w:r>
      <w:hyperlink r:id="rId12" w:tgtFrame="_blank">
        <w:r>
          <w:rPr>
            <w:rStyle w:val="Hipercze"/>
            <w:rFonts w:ascii="HelveticaNeueLT Pro 45 Lt" w:hAnsi="HelveticaNeueLT Pro 45 Lt"/>
            <w:sz w:val="20"/>
            <w:szCs w:val="20"/>
            <w:lang w:val="en-GB"/>
          </w:rPr>
          <w:t>Facebook</w:t>
        </w:r>
      </w:hyperlink>
      <w:r>
        <w:rPr>
          <w:rFonts w:ascii="HelveticaNeueLT Pro 45 Lt" w:hAnsi="HelveticaNeueLT Pro 45 Lt"/>
          <w:color w:val="485A5A"/>
          <w:sz w:val="20"/>
          <w:szCs w:val="20"/>
          <w:lang w:val="en-GB"/>
        </w:rPr>
        <w:t>, </w:t>
      </w:r>
      <w:hyperlink r:id="rId13" w:tgtFrame="_blank">
        <w:r>
          <w:rPr>
            <w:rStyle w:val="Hipercze"/>
            <w:rFonts w:ascii="HelveticaNeueLT Pro 45 Lt" w:hAnsi="HelveticaNeueLT Pro 45 Lt"/>
            <w:sz w:val="20"/>
            <w:szCs w:val="20"/>
            <w:lang w:val="en-GB"/>
          </w:rPr>
          <w:t>Instagram</w:t>
        </w:r>
      </w:hyperlink>
      <w:r>
        <w:rPr>
          <w:rFonts w:ascii="HelveticaNeueLT Pro 45 Lt" w:hAnsi="HelveticaNeueLT Pro 45 Lt"/>
          <w:color w:val="485A5A"/>
          <w:sz w:val="20"/>
          <w:szCs w:val="20"/>
          <w:lang w:val="en-GB"/>
        </w:rPr>
        <w:t>, </w:t>
      </w:r>
      <w:hyperlink r:id="rId14" w:tgtFrame="_blank">
        <w:r>
          <w:rPr>
            <w:rStyle w:val="Hipercze"/>
            <w:rFonts w:ascii="HelveticaNeueLT Pro 45 Lt" w:hAnsi="HelveticaNeueLT Pro 45 Lt"/>
            <w:sz w:val="20"/>
            <w:szCs w:val="20"/>
            <w:lang w:val="en-GB"/>
          </w:rPr>
          <w:t>LinkedIn</w:t>
        </w:r>
      </w:hyperlink>
      <w:bookmarkEnd w:id="1"/>
    </w:p>
    <w:p w14:paraId="6D0778EF" w14:textId="77777777" w:rsidR="00817D4E" w:rsidRDefault="00817D4E">
      <w:pPr>
        <w:tabs>
          <w:tab w:val="left" w:pos="567"/>
        </w:tabs>
        <w:spacing w:line="280" w:lineRule="exact"/>
        <w:ind w:left="-567"/>
        <w:rPr>
          <w:rFonts w:ascii="HelveticaNeueLT Pro 45 Lt" w:hAnsi="HelveticaNeueLT Pro 45 Lt"/>
          <w:color w:val="485A5A"/>
          <w:sz w:val="20"/>
          <w:szCs w:val="20"/>
          <w:lang w:val="en-GB"/>
        </w:rPr>
      </w:pPr>
    </w:p>
    <w:p w14:paraId="52B76521" w14:textId="77777777" w:rsidR="00817D4E" w:rsidRDefault="00817D4E">
      <w:pPr>
        <w:tabs>
          <w:tab w:val="left" w:pos="567"/>
        </w:tabs>
        <w:spacing w:line="280" w:lineRule="exact"/>
        <w:ind w:left="-567"/>
        <w:rPr>
          <w:rFonts w:ascii="HelveticaNeueLT Pro 45 Lt" w:hAnsi="HelveticaNeueLT Pro 45 Lt"/>
          <w:color w:val="485A5A"/>
          <w:sz w:val="20"/>
          <w:szCs w:val="20"/>
          <w:lang w:val="en-GB"/>
        </w:rPr>
      </w:pPr>
    </w:p>
    <w:p w14:paraId="60AF8A03" w14:textId="77777777" w:rsidR="00817D4E" w:rsidRDefault="00817D4E">
      <w:pPr>
        <w:tabs>
          <w:tab w:val="left" w:pos="567"/>
        </w:tabs>
        <w:spacing w:line="100" w:lineRule="exact"/>
        <w:ind w:left="-567" w:right="-612"/>
        <w:rPr>
          <w:rFonts w:ascii="HelveticaNeueLT Pro 45 Lt" w:hAnsi="HelveticaNeueLT Pro 45 Lt"/>
          <w:color w:val="485A5A"/>
          <w:sz w:val="10"/>
          <w:szCs w:val="10"/>
          <w:lang w:val="en-GB"/>
        </w:rPr>
      </w:pPr>
    </w:p>
    <w:p w14:paraId="494E8BED" w14:textId="77777777" w:rsidR="00817D4E" w:rsidRDefault="00000000">
      <w:pPr>
        <w:tabs>
          <w:tab w:val="left" w:pos="3060"/>
        </w:tabs>
        <w:ind w:left="-567" w:right="-613"/>
        <w:rPr>
          <w:lang w:val="en-GB"/>
        </w:rPr>
      </w:pPr>
      <w:r>
        <w:rPr>
          <w:noProof/>
        </w:rPr>
        <mc:AlternateContent>
          <mc:Choice Requires="wps">
            <w:drawing>
              <wp:anchor distT="8255" distB="8255" distL="8255" distR="8255" simplePos="0" relativeHeight="11" behindDoc="0" locked="0" layoutInCell="0" allowOverlap="1" wp14:anchorId="629AAE5D" wp14:editId="632004DE">
                <wp:simplePos x="0" y="0"/>
                <wp:positionH relativeFrom="column">
                  <wp:posOffset>-330200</wp:posOffset>
                </wp:positionH>
                <wp:positionV relativeFrom="paragraph">
                  <wp:posOffset>116205</wp:posOffset>
                </wp:positionV>
                <wp:extent cx="6375400" cy="635"/>
                <wp:effectExtent l="8255" t="8255" r="8255" b="8255"/>
                <wp:wrapNone/>
                <wp:docPr id="6" name="Straight Connector 7"/>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6pt,9.15pt" to="475.95pt,9.15pt" ID="Straight Connector 7" stroked="t" o:allowincell="f" style="position:absolute" wp14:anchorId="2082A58C">
                <v:stroke color="#485a5a" weight="15840" dashstyle="shortdot" joinstyle="bevel" endcap="round"/>
                <v:fill o:detectmouseclick="t" on="false"/>
                <w10:wrap type="none"/>
              </v:line>
            </w:pict>
          </mc:Fallback>
        </mc:AlternateContent>
      </w:r>
      <w:r>
        <w:rPr>
          <w:lang w:val="en-GB"/>
        </w:rPr>
        <w:tab/>
      </w:r>
    </w:p>
    <w:p w14:paraId="655AE015" w14:textId="77777777" w:rsidR="00817D4E" w:rsidRDefault="00817D4E">
      <w:pPr>
        <w:tabs>
          <w:tab w:val="left" w:pos="567"/>
        </w:tabs>
        <w:spacing w:line="260" w:lineRule="exact"/>
        <w:ind w:left="-567" w:right="-613"/>
        <w:rPr>
          <w:rFonts w:ascii="HelveticaNeueLT Pro 45 Lt" w:hAnsi="HelveticaNeueLT Pro 45 Lt"/>
          <w:color w:val="485A5A"/>
          <w:sz w:val="28"/>
          <w:szCs w:val="28"/>
          <w:lang w:val="en-GB"/>
        </w:rPr>
      </w:pPr>
    </w:p>
    <w:p w14:paraId="6A536F6D" w14:textId="77777777" w:rsidR="00817D4E" w:rsidRDefault="00000000">
      <w:pPr>
        <w:tabs>
          <w:tab w:val="left" w:pos="567"/>
        </w:tabs>
        <w:spacing w:line="280" w:lineRule="exact"/>
        <w:ind w:left="-567" w:right="-612"/>
        <w:rPr>
          <w:lang w:val="en-GB"/>
        </w:rPr>
      </w:pPr>
      <w:r>
        <w:rPr>
          <w:noProof/>
        </w:rPr>
        <mc:AlternateContent>
          <mc:Choice Requires="wps">
            <w:drawing>
              <wp:anchor distT="0" distB="0" distL="0" distR="0" simplePos="0" relativeHeight="12" behindDoc="0" locked="0" layoutInCell="0" allowOverlap="1" wp14:anchorId="5E67A5BE" wp14:editId="494E55D8">
                <wp:simplePos x="0" y="0"/>
                <wp:positionH relativeFrom="column">
                  <wp:posOffset>459105</wp:posOffset>
                </wp:positionH>
                <wp:positionV relativeFrom="paragraph">
                  <wp:posOffset>102870</wp:posOffset>
                </wp:positionV>
                <wp:extent cx="45720" cy="45720"/>
                <wp:effectExtent l="0" t="0" r="0" b="0"/>
                <wp:wrapNone/>
                <wp:docPr id="7" name="Rectangle 6"/>
                <wp:cNvGraphicFramePr/>
                <a:graphic xmlns:a="http://schemas.openxmlformats.org/drawingml/2006/main">
                  <a:graphicData uri="http://schemas.microsoft.com/office/word/2010/wordprocessingShape">
                    <wps:wsp>
                      <wps:cNvSpPr/>
                      <wps:spPr>
                        <a:xfrm flipV="1">
                          <a:off x="0" y="0"/>
                          <a:ext cx="45720" cy="45720"/>
                        </a:xfrm>
                        <a:prstGeom prst="rect">
                          <a:avLst/>
                        </a:prstGeom>
                        <a:solidFill>
                          <a:srgbClr val="C7162B"/>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6" path="m0,0l-2147483645,0l-2147483645,-2147483646l0,-2147483646xe" fillcolor="#c7162b" stroked="f" o:allowincell="f" style="position:absolute;margin-left:36.15pt;margin-top:8.1pt;width:3.55pt;height:3.55pt;flip:y;mso-wrap-style:none;v-text-anchor:middle" wp14:anchorId="75B0FFA7">
                <v:fill o:detectmouseclick="t" type="solid" color2="#38e9d4"/>
                <v:stroke color="#3465a4" weight="12600" joinstyle="miter" endcap="flat"/>
                <w10:wrap type="none"/>
              </v:rect>
            </w:pict>
          </mc:Fallback>
        </mc:AlternateContent>
      </w:r>
      <w:r>
        <w:rPr>
          <w:rFonts w:ascii="HelveticaNeueLT Pro 45 Lt" w:hAnsi="HelveticaNeueLT Pro 45 Lt"/>
          <w:color w:val="485A5A"/>
          <w:sz w:val="28"/>
          <w:szCs w:val="28"/>
          <w:lang w:val="en-GB"/>
        </w:rPr>
        <w:t>CONTACT</w:t>
      </w:r>
    </w:p>
    <w:p w14:paraId="1DE694B9" w14:textId="77777777" w:rsidR="00817D4E" w:rsidRDefault="00817D4E">
      <w:pPr>
        <w:tabs>
          <w:tab w:val="left" w:pos="567"/>
        </w:tabs>
        <w:spacing w:line="280" w:lineRule="exact"/>
        <w:ind w:left="-567" w:right="-612"/>
        <w:rPr>
          <w:rFonts w:ascii="HelveticaNeueLT Pro 45 Lt" w:hAnsi="HelveticaNeueLT Pro 45 Lt"/>
          <w:color w:val="485A5A"/>
          <w:sz w:val="28"/>
          <w:szCs w:val="28"/>
          <w:lang w:val="en-GB"/>
        </w:rPr>
      </w:pPr>
    </w:p>
    <w:p w14:paraId="31E434CE" w14:textId="77777777" w:rsidR="00817D4E" w:rsidRDefault="00000000">
      <w:pPr>
        <w:tabs>
          <w:tab w:val="left" w:pos="567"/>
        </w:tabs>
        <w:spacing w:line="280" w:lineRule="exact"/>
        <w:ind w:left="-567" w:right="-612"/>
        <w:jc w:val="both"/>
        <w:rPr>
          <w:lang w:val="en-GB"/>
        </w:rPr>
      </w:pPr>
      <w:r>
        <w:rPr>
          <w:rFonts w:ascii="HelveticaNeueLT Pro 65 Md" w:hAnsi="HelveticaNeueLT Pro 65 Md"/>
          <w:color w:val="C7162B"/>
          <w:sz w:val="20"/>
          <w:szCs w:val="20"/>
          <w:lang w:val="en-GB"/>
        </w:rPr>
        <w:t xml:space="preserve">E: </w:t>
      </w:r>
      <w:r>
        <w:rPr>
          <w:rFonts w:ascii="HelveticaNeueLT Pro 65 Md" w:hAnsi="HelveticaNeueLT Pro 65 Md"/>
          <w:color w:val="485A5A"/>
          <w:sz w:val="20"/>
          <w:szCs w:val="20"/>
          <w:lang w:val="en-GB"/>
        </w:rPr>
        <w:t>marketing@globalworth.pl</w:t>
      </w:r>
    </w:p>
    <w:p w14:paraId="1ACA9423" w14:textId="77777777" w:rsidR="00817D4E" w:rsidRDefault="00817D4E">
      <w:pPr>
        <w:tabs>
          <w:tab w:val="left" w:pos="567"/>
        </w:tabs>
        <w:spacing w:line="260" w:lineRule="exact"/>
        <w:ind w:left="-567" w:right="-613"/>
        <w:rPr>
          <w:lang w:val="en-GB"/>
        </w:rPr>
      </w:pPr>
    </w:p>
    <w:p w14:paraId="68A1B943" w14:textId="77777777" w:rsidR="00817D4E" w:rsidRDefault="00817D4E">
      <w:pPr>
        <w:tabs>
          <w:tab w:val="left" w:pos="567"/>
        </w:tabs>
        <w:spacing w:line="260" w:lineRule="exact"/>
        <w:ind w:left="-567" w:right="-613"/>
        <w:rPr>
          <w:lang w:val="en-GB"/>
        </w:rPr>
      </w:pPr>
    </w:p>
    <w:sectPr w:rsidR="00817D4E">
      <w:footerReference w:type="default" r:id="rId15"/>
      <w:pgSz w:w="11906" w:h="16838"/>
      <w:pgMar w:top="567" w:right="851" w:bottom="822" w:left="1440" w:header="0" w:footer="41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A501C" w14:textId="77777777" w:rsidR="00013DDA" w:rsidRDefault="00013DDA">
      <w:r>
        <w:separator/>
      </w:r>
    </w:p>
  </w:endnote>
  <w:endnote w:type="continuationSeparator" w:id="0">
    <w:p w14:paraId="0F718363" w14:textId="77777777" w:rsidR="00013DDA" w:rsidRDefault="00013D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embedRegular r:id="rId1" w:fontKey="{85AF18DE-CF18-4352-86A0-DCDA6F77ADD4}"/>
    <w:embedBold r:id="rId2" w:fontKey="{8559DC86-C9D6-459C-B6C5-6F6DE482D075}"/>
    <w:embedItalic r:id="rId3" w:fontKey="{D23854E8-1624-4FD5-9D1F-928E4E40ADAB}"/>
  </w:font>
  <w:font w:name="Times New Roman">
    <w:panose1 w:val="02020603050405020304"/>
    <w:charset w:val="EE"/>
    <w:family w:val="roman"/>
    <w:pitch w:val="variable"/>
    <w:sig w:usb0="E0002EFF" w:usb1="C000785B" w:usb2="00000009" w:usb3="00000000" w:csb0="000001FF" w:csb1="00000000"/>
    <w:embedRegular r:id="rId4" w:fontKey="{1DEA2B09-84D6-4748-B105-090CDE8661BE}"/>
    <w:embedBold r:id="rId5" w:fontKey="{00D6F17E-102F-4271-968C-8E2553E113A9}"/>
  </w:font>
  <w:font w:name="Tahoma">
    <w:panose1 w:val="020B0604030504040204"/>
    <w:charset w:val="00"/>
    <w:family w:val="roman"/>
    <w:pitch w:val="variable"/>
    <w:embedRegular r:id="rId6" w:fontKey="{0F9096F1-53D5-40D0-B0C3-6CE98CED9519}"/>
  </w:font>
  <w:font w:name="Liberation Sans">
    <w:altName w:val="Arial"/>
    <w:charset w:val="00"/>
    <w:family w:val="swiss"/>
    <w:pitch w:val="variable"/>
    <w:embedRegular r:id="rId7" w:fontKey="{EED9F182-F4AE-4EAA-818F-30B46D40DF11}"/>
  </w:font>
  <w:font w:name="Microsoft YaHei">
    <w:panose1 w:val="020B0503020204020204"/>
    <w:charset w:val="00"/>
    <w:family w:val="roman"/>
    <w:notTrueType/>
    <w:pitch w:val="default"/>
    <w:embedRegular r:id="rId8" w:fontKey="{2A5DA136-3B88-42F6-81AB-C2E0B2342EE7}"/>
  </w:font>
  <w:font w:name="Lucida Sans">
    <w:panose1 w:val="020B0602030504020204"/>
    <w:charset w:val="00"/>
    <w:family w:val="swiss"/>
    <w:pitch w:val="variable"/>
    <w:sig w:usb0="00000003" w:usb1="00000000" w:usb2="00000000" w:usb3="00000000" w:csb0="00000001" w:csb1="00000000"/>
    <w:embedRegular r:id="rId9" w:fontKey="{444F7D10-E523-42EA-B9AC-E2C42E25368F}"/>
    <w:embedItalic r:id="rId10" w:fontKey="{0363B6EA-3072-421F-AA8A-52C71F10D097}"/>
  </w:font>
  <w:font w:name="HelveticaNeueLT Pro 45 Lt">
    <w:panose1 w:val="020B0403020202020204"/>
    <w:charset w:val="00"/>
    <w:family w:val="swiss"/>
    <w:notTrueType/>
    <w:pitch w:val="variable"/>
    <w:sig w:usb0="800000AF" w:usb1="5000204A" w:usb2="00000000" w:usb3="00000000" w:csb0="0000009B" w:csb1="00000000"/>
  </w:font>
  <w:font w:name="HelveticaNeueLT Pro 65 Md">
    <w:panose1 w:val="020B0604020202020204"/>
    <w:charset w:val="00"/>
    <w:family w:val="swiss"/>
    <w:notTrueType/>
    <w:pitch w:val="variable"/>
    <w:sig w:usb0="800000AF" w:usb1="5000204A" w:usb2="00000000" w:usb3="00000000" w:csb0="0000009B" w:csb1="00000000"/>
  </w:font>
  <w:font w:name="Calibri Light">
    <w:panose1 w:val="020F0302020204030204"/>
    <w:charset w:val="EE"/>
    <w:family w:val="swiss"/>
    <w:pitch w:val="variable"/>
    <w:sig w:usb0="E4002EFF" w:usb1="C000247B" w:usb2="00000009" w:usb3="00000000" w:csb0="000001FF" w:csb1="00000000"/>
    <w:embedRegular r:id="rId11" w:fontKey="{04842282-9A2A-4FBE-A084-60D1378DA2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01925" w14:textId="77777777" w:rsidR="00817D4E" w:rsidRDefault="00000000">
    <w:pPr>
      <w:pStyle w:val="Stopka"/>
      <w:rPr>
        <w:rFonts w:ascii="HelveticaNeueLT Pro 45 Lt" w:hAnsi="HelveticaNeueLT Pro 45 Lt"/>
        <w:sz w:val="16"/>
        <w:szCs w:val="16"/>
      </w:rPr>
    </w:pPr>
    <w:r>
      <w:rPr>
        <w:rFonts w:ascii="HelveticaNeueLT Pro 45 Lt" w:hAnsi="HelveticaNeueLT Pro 45 Lt"/>
        <w:noProof/>
        <w:sz w:val="16"/>
        <w:szCs w:val="16"/>
      </w:rPr>
      <mc:AlternateContent>
        <mc:Choice Requires="wps">
          <w:drawing>
            <wp:anchor distT="0" distB="12700" distL="0" distR="12700" simplePos="0" relativeHeight="3" behindDoc="1" locked="0" layoutInCell="0" allowOverlap="1" wp14:anchorId="1320B80B" wp14:editId="69413C8F">
              <wp:simplePos x="0" y="0"/>
              <wp:positionH relativeFrom="column">
                <wp:posOffset>-327025</wp:posOffset>
              </wp:positionH>
              <wp:positionV relativeFrom="paragraph">
                <wp:posOffset>121920</wp:posOffset>
              </wp:positionV>
              <wp:extent cx="6438900" cy="635"/>
              <wp:effectExtent l="5080" t="5080" r="5080" b="5080"/>
              <wp:wrapNone/>
              <wp:docPr id="8" name="Straight Connector 13"/>
              <wp:cNvGraphicFramePr/>
              <a:graphic xmlns:a="http://schemas.openxmlformats.org/drawingml/2006/main">
                <a:graphicData uri="http://schemas.microsoft.com/office/word/2010/wordprocessingShape">
                  <wps:wsp>
                    <wps:cNvCnPr/>
                    <wps:spPr>
                      <a:xfrm>
                        <a:off x="0" y="0"/>
                        <a:ext cx="6438960" cy="720"/>
                      </a:xfrm>
                      <a:prstGeom prst="line">
                        <a:avLst/>
                      </a:prstGeom>
                      <a:ln w="9525" cap="rnd">
                        <a:solidFill>
                          <a:srgbClr val="FFFFFF">
                            <a:lumMod val="75000"/>
                          </a:srgbClr>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5.75pt,9.6pt" to="481.2pt,9.6pt" ID="Straight Connector 13" stroked="t" o:allowincell="f" style="position:absolute" wp14:anchorId="1C403884">
              <v:stroke color="#bfbfbf" weight="9360" joinstyle="bevel" endcap="round"/>
              <v:fill o:detectmouseclick="t" on="false"/>
              <w10:wrap type="none"/>
            </v:line>
          </w:pict>
        </mc:Fallback>
      </mc:AlternateContent>
    </w:r>
  </w:p>
  <w:p w14:paraId="03A155A5" w14:textId="77777777" w:rsidR="00817D4E" w:rsidRDefault="00000000">
    <w:pPr>
      <w:pStyle w:val="Stopka"/>
      <w:ind w:left="-567"/>
      <w:rPr>
        <w:rFonts w:ascii="HelveticaNeueLT Pro 45 Lt" w:hAnsi="HelveticaNeueLT Pro 45 Lt"/>
        <w:sz w:val="16"/>
        <w:szCs w:val="16"/>
      </w:rPr>
    </w:pPr>
    <w:r>
      <w:rPr>
        <w:noProof/>
      </w:rPr>
      <w:drawing>
        <wp:anchor distT="0" distB="0" distL="114300" distR="114300" simplePos="0" relativeHeight="5" behindDoc="1" locked="0" layoutInCell="0" allowOverlap="1" wp14:anchorId="06BD2D7E" wp14:editId="2286F1B3">
          <wp:simplePos x="0" y="0"/>
          <wp:positionH relativeFrom="column">
            <wp:posOffset>5558155</wp:posOffset>
          </wp:positionH>
          <wp:positionV relativeFrom="paragraph">
            <wp:posOffset>118110</wp:posOffset>
          </wp:positionV>
          <wp:extent cx="554355" cy="187325"/>
          <wp:effectExtent l="0" t="0" r="0" b="0"/>
          <wp:wrapSquare wrapText="bothSides"/>
          <wp:docPr id="9" name="Picture 14" descr="A picture containing drawing, stop,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 picture containing drawing, stop, food&#10;&#10;Description automatically generated"/>
                  <pic:cNvPicPr>
                    <a:picLocks noChangeAspect="1" noChangeArrowheads="1"/>
                  </pic:cNvPicPr>
                </pic:nvPicPr>
                <pic:blipFill>
                  <a:blip r:embed="rId1"/>
                  <a:stretch>
                    <a:fillRect/>
                  </a:stretch>
                </pic:blipFill>
                <pic:spPr bwMode="auto">
                  <a:xfrm>
                    <a:off x="0" y="0"/>
                    <a:ext cx="554355" cy="187325"/>
                  </a:xfrm>
                  <a:prstGeom prst="rect">
                    <a:avLst/>
                  </a:prstGeom>
                </pic:spPr>
              </pic:pic>
            </a:graphicData>
          </a:graphic>
        </wp:anchor>
      </w:drawing>
    </w:r>
    <w:r>
      <w:rPr>
        <w:rFonts w:ascii="HelveticaNeueLT Pro 45 Lt" w:hAnsi="HelveticaNeueLT Pro 45 Lt"/>
        <w:sz w:val="16"/>
        <w:szCs w:val="16"/>
      </w:rPr>
      <w:t xml:space="preserve"> </w:t>
    </w:r>
  </w:p>
  <w:p w14:paraId="5F5F4D11" w14:textId="77777777" w:rsidR="00817D4E" w:rsidRDefault="00000000">
    <w:pPr>
      <w:pStyle w:val="Stopka"/>
      <w:ind w:left="-567"/>
      <w:rPr>
        <w:rFonts w:ascii="HelveticaNeueLT Pro 45 Lt" w:hAnsi="HelveticaNeueLT Pro 45 Lt"/>
        <w:color w:val="9D9A98"/>
        <w:sz w:val="16"/>
        <w:szCs w:val="16"/>
      </w:rPr>
    </w:pPr>
    <w:r>
      <w:rPr>
        <w:rFonts w:ascii="HelveticaNeueLT Pro 45 Lt" w:hAnsi="HelveticaNeueLT Pro 45 Lt"/>
        <w:color w:val="9D9A98"/>
        <w:sz w:val="16"/>
        <w:szCs w:val="16"/>
      </w:rPr>
      <w:t xml:space="preserve">MEDIA RELEASE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F8421A" w14:textId="77777777" w:rsidR="00013DDA" w:rsidRDefault="00013DDA">
      <w:r>
        <w:separator/>
      </w:r>
    </w:p>
  </w:footnote>
  <w:footnote w:type="continuationSeparator" w:id="0">
    <w:p w14:paraId="65A3AB70" w14:textId="77777777" w:rsidR="00013DDA" w:rsidRDefault="00013DD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embedSystemFonts/>
  <w:proofState w:spelling="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D4E"/>
    <w:rsid w:val="00013DDA"/>
    <w:rsid w:val="00817D4E"/>
    <w:rsid w:val="00CD137F"/>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11E418"/>
  <w15:docId w15:val="{C6B82AB6-1857-4FC7-A519-6972FD2DD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pl-PL"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D32FE"/>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TekstprzypisudolnegoZnak">
    <w:name w:val="Tekst przypisu dolnego Znak"/>
    <w:basedOn w:val="Domylnaczcionkaakapitu"/>
    <w:link w:val="Tekstprzypisudolnego"/>
    <w:uiPriority w:val="99"/>
    <w:semiHidden/>
    <w:qFormat/>
    <w:rsid w:val="002E2C75"/>
    <w:rPr>
      <w:sz w:val="20"/>
      <w:szCs w:val="20"/>
    </w:rPr>
  </w:style>
  <w:style w:type="character" w:customStyle="1" w:styleId="FootnoteCharacters">
    <w:name w:val="Footnote Characters"/>
    <w:basedOn w:val="Domylnaczcionkaakapitu"/>
    <w:uiPriority w:val="99"/>
    <w:semiHidden/>
    <w:unhideWhenUsed/>
    <w:qFormat/>
    <w:rsid w:val="002E2C75"/>
    <w:rPr>
      <w:vertAlign w:val="superscript"/>
    </w:rPr>
  </w:style>
  <w:style w:type="character" w:customStyle="1" w:styleId="FootnoteAnchor">
    <w:name w:val="Footnote Anchor"/>
    <w:rPr>
      <w:vertAlign w:val="superscript"/>
    </w:rPr>
  </w:style>
  <w:style w:type="character" w:customStyle="1" w:styleId="NagwekZnak">
    <w:name w:val="Nagłówek Znak"/>
    <w:basedOn w:val="Domylnaczcionkaakapitu"/>
    <w:link w:val="Nagwek"/>
    <w:uiPriority w:val="99"/>
    <w:qFormat/>
    <w:rsid w:val="00E731CC"/>
  </w:style>
  <w:style w:type="character" w:customStyle="1" w:styleId="StopkaZnak">
    <w:name w:val="Stopka Znak"/>
    <w:basedOn w:val="Domylnaczcionkaakapitu"/>
    <w:link w:val="Stopka"/>
    <w:uiPriority w:val="99"/>
    <w:qFormat/>
    <w:rsid w:val="00E731CC"/>
  </w:style>
  <w:style w:type="character" w:styleId="Hipercze">
    <w:name w:val="Hyperlink"/>
    <w:basedOn w:val="Domylnaczcionkaakapitu"/>
    <w:uiPriority w:val="99"/>
    <w:unhideWhenUsed/>
    <w:rsid w:val="00704942"/>
    <w:rPr>
      <w:color w:val="0563C1" w:themeColor="hyperlink"/>
      <w:u w:val="single"/>
    </w:rPr>
  </w:style>
  <w:style w:type="character" w:customStyle="1" w:styleId="Nierozpoznanawzmianka1">
    <w:name w:val="Nierozpoznana wzmianka1"/>
    <w:basedOn w:val="Domylnaczcionkaakapitu"/>
    <w:uiPriority w:val="99"/>
    <w:semiHidden/>
    <w:unhideWhenUsed/>
    <w:qFormat/>
    <w:rsid w:val="00704942"/>
    <w:rPr>
      <w:color w:val="605E5C"/>
      <w:shd w:val="clear" w:color="auto" w:fill="E1DFDD"/>
    </w:rPr>
  </w:style>
  <w:style w:type="character" w:styleId="Odwoaniedokomentarza">
    <w:name w:val="annotation reference"/>
    <w:basedOn w:val="Domylnaczcionkaakapitu"/>
    <w:uiPriority w:val="99"/>
    <w:semiHidden/>
    <w:unhideWhenUsed/>
    <w:qFormat/>
    <w:rsid w:val="00793177"/>
    <w:rPr>
      <w:sz w:val="16"/>
      <w:szCs w:val="16"/>
    </w:rPr>
  </w:style>
  <w:style w:type="character" w:customStyle="1" w:styleId="TekstkomentarzaZnak">
    <w:name w:val="Tekst komentarza Znak"/>
    <w:basedOn w:val="Domylnaczcionkaakapitu"/>
    <w:link w:val="Tekstkomentarza"/>
    <w:uiPriority w:val="99"/>
    <w:qFormat/>
    <w:rsid w:val="00793177"/>
    <w:rPr>
      <w:sz w:val="20"/>
      <w:szCs w:val="20"/>
    </w:rPr>
  </w:style>
  <w:style w:type="character" w:customStyle="1" w:styleId="TematkomentarzaZnak">
    <w:name w:val="Temat komentarza Znak"/>
    <w:basedOn w:val="TekstkomentarzaZnak"/>
    <w:link w:val="Tematkomentarza"/>
    <w:uiPriority w:val="99"/>
    <w:semiHidden/>
    <w:qFormat/>
    <w:rsid w:val="00793177"/>
    <w:rPr>
      <w:b/>
      <w:bCs/>
      <w:sz w:val="20"/>
      <w:szCs w:val="20"/>
    </w:rPr>
  </w:style>
  <w:style w:type="character" w:customStyle="1" w:styleId="TekstdymkaZnak">
    <w:name w:val="Tekst dymka Znak"/>
    <w:basedOn w:val="Domylnaczcionkaakapitu"/>
    <w:link w:val="Tekstdymka"/>
    <w:uiPriority w:val="99"/>
    <w:semiHidden/>
    <w:qFormat/>
    <w:rsid w:val="00EE73D2"/>
    <w:rPr>
      <w:rFonts w:ascii="Tahoma" w:hAnsi="Tahoma" w:cs="Tahoma"/>
      <w:sz w:val="16"/>
      <w:szCs w:val="16"/>
    </w:rPr>
  </w:style>
  <w:style w:type="character" w:styleId="Nierozpoznanawzmianka">
    <w:name w:val="Unresolved Mention"/>
    <w:basedOn w:val="Domylnaczcionkaakapitu"/>
    <w:uiPriority w:val="99"/>
    <w:semiHidden/>
    <w:unhideWhenUsed/>
    <w:qFormat/>
    <w:rsid w:val="002643E8"/>
    <w:rPr>
      <w:color w:val="605E5C"/>
      <w:shd w:val="clear" w:color="auto" w:fill="E1DFDD"/>
    </w:rPr>
  </w:style>
  <w:style w:type="paragraph" w:customStyle="1" w:styleId="Heading">
    <w:name w:val="Heading"/>
    <w:basedOn w:val="Normalny"/>
    <w:next w:val="Tekstpodstawowy"/>
    <w:qFormat/>
    <w:pPr>
      <w:keepNext/>
      <w:spacing w:before="240" w:after="120"/>
    </w:pPr>
    <w:rPr>
      <w:rFonts w:ascii="Liberation Sans" w:eastAsia="Microsoft YaHei" w:hAnsi="Liberation Sans" w:cs="Lucida Sans"/>
      <w:sz w:val="28"/>
      <w:szCs w:val="28"/>
    </w:r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after="120"/>
    </w:pPr>
    <w:rPr>
      <w:rFonts w:cs="Lucida Sans"/>
      <w:i/>
      <w:iCs/>
    </w:rPr>
  </w:style>
  <w:style w:type="paragraph" w:customStyle="1" w:styleId="Index">
    <w:name w:val="Index"/>
    <w:basedOn w:val="Normalny"/>
    <w:qFormat/>
    <w:pPr>
      <w:suppressLineNumbers/>
    </w:pPr>
    <w:rPr>
      <w:rFonts w:cs="Lucida Sans"/>
      <w:lang/>
    </w:rPr>
  </w:style>
  <w:style w:type="paragraph" w:styleId="NormalnyWeb">
    <w:name w:val="Normal (Web)"/>
    <w:basedOn w:val="Normalny"/>
    <w:uiPriority w:val="99"/>
    <w:unhideWhenUsed/>
    <w:qFormat/>
    <w:rsid w:val="00F0634A"/>
    <w:pPr>
      <w:spacing w:beforeAutospacing="1" w:afterAutospacing="1"/>
    </w:pPr>
    <w:rPr>
      <w:rFonts w:ascii="Times New Roman" w:eastAsia="Times New Roman" w:hAnsi="Times New Roman" w:cs="Times New Roman"/>
      <w:lang w:eastAsia="en-GB"/>
    </w:rPr>
  </w:style>
  <w:style w:type="paragraph" w:styleId="Tekstprzypisudolnego">
    <w:name w:val="footnote text"/>
    <w:basedOn w:val="Normalny"/>
    <w:link w:val="TekstprzypisudolnegoZnak"/>
    <w:uiPriority w:val="99"/>
    <w:semiHidden/>
    <w:unhideWhenUsed/>
    <w:rsid w:val="002E2C75"/>
    <w:rPr>
      <w:sz w:val="20"/>
      <w:szCs w:val="20"/>
    </w:rPr>
  </w:style>
  <w:style w:type="paragraph" w:customStyle="1" w:styleId="HeaderandFooter">
    <w:name w:val="Header and Footer"/>
    <w:basedOn w:val="Normalny"/>
    <w:qFormat/>
  </w:style>
  <w:style w:type="paragraph" w:styleId="Nagwek">
    <w:name w:val="header"/>
    <w:basedOn w:val="Normalny"/>
    <w:link w:val="NagwekZnak"/>
    <w:uiPriority w:val="99"/>
    <w:unhideWhenUsed/>
    <w:rsid w:val="00E731CC"/>
    <w:pPr>
      <w:tabs>
        <w:tab w:val="center" w:pos="4513"/>
        <w:tab w:val="right" w:pos="9026"/>
      </w:tabs>
    </w:pPr>
  </w:style>
  <w:style w:type="paragraph" w:styleId="Stopka">
    <w:name w:val="footer"/>
    <w:basedOn w:val="Normalny"/>
    <w:link w:val="StopkaZnak"/>
    <w:uiPriority w:val="99"/>
    <w:unhideWhenUsed/>
    <w:rsid w:val="00E731CC"/>
    <w:pPr>
      <w:tabs>
        <w:tab w:val="center" w:pos="4513"/>
        <w:tab w:val="right" w:pos="9026"/>
      </w:tabs>
    </w:pPr>
  </w:style>
  <w:style w:type="paragraph" w:styleId="Tekstkomentarza">
    <w:name w:val="annotation text"/>
    <w:basedOn w:val="Normalny"/>
    <w:link w:val="TekstkomentarzaZnak"/>
    <w:uiPriority w:val="99"/>
    <w:unhideWhenUsed/>
    <w:qFormat/>
    <w:rsid w:val="00793177"/>
    <w:rPr>
      <w:sz w:val="20"/>
      <w:szCs w:val="20"/>
    </w:rPr>
  </w:style>
  <w:style w:type="paragraph" w:styleId="Tematkomentarza">
    <w:name w:val="annotation subject"/>
    <w:basedOn w:val="Tekstkomentarza"/>
    <w:next w:val="Tekstkomentarza"/>
    <w:link w:val="TematkomentarzaZnak"/>
    <w:uiPriority w:val="99"/>
    <w:semiHidden/>
    <w:unhideWhenUsed/>
    <w:qFormat/>
    <w:rsid w:val="00793177"/>
    <w:rPr>
      <w:b/>
      <w:bCs/>
    </w:rPr>
  </w:style>
  <w:style w:type="paragraph" w:styleId="Tekstdymka">
    <w:name w:val="Balloon Text"/>
    <w:basedOn w:val="Normalny"/>
    <w:link w:val="TekstdymkaZnak"/>
    <w:uiPriority w:val="99"/>
    <w:semiHidden/>
    <w:unhideWhenUsed/>
    <w:qFormat/>
    <w:rsid w:val="00EE73D2"/>
    <w:rPr>
      <w:rFonts w:ascii="Tahoma" w:hAnsi="Tahoma" w:cs="Tahoma"/>
      <w:sz w:val="16"/>
      <w:szCs w:val="16"/>
    </w:rPr>
  </w:style>
  <w:style w:type="paragraph" w:styleId="Poprawka">
    <w:name w:val="Revision"/>
    <w:uiPriority w:val="99"/>
    <w:semiHidden/>
    <w:qFormat/>
    <w:rsid w:val="00BF4F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hyperlink" Target="https://www.instagram.com/globalworth/"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s://www.facebook.com/globalworth"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globalworth.com/"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s://www.globalworth.com/buildings/office/warsaw-trade-tower/" TargetMode="External"/><Relationship Id="rId4" Type="http://schemas.openxmlformats.org/officeDocument/2006/relationships/webSettings" Target="webSettings.xml"/><Relationship Id="rId9" Type="http://schemas.openxmlformats.org/officeDocument/2006/relationships/hyperlink" Target="https://mfinanse.pl/" TargetMode="External"/><Relationship Id="rId14" Type="http://schemas.openxmlformats.org/officeDocument/2006/relationships/hyperlink" Target="https://www.linkedin.com/company/globalworth/mycompany/?viewAsMember=tru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55E614-5AF9-4E0F-8F5A-85E5B72776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Pages>
  <Words>578</Words>
  <Characters>3470</Characters>
  <Application>Microsoft Office Word</Application>
  <DocSecurity>0</DocSecurity>
  <Lines>28</Lines>
  <Paragraphs>8</Paragraphs>
  <ScaleCrop>false</ScaleCrop>
  <Company/>
  <LinksUpToDate>false</LinksUpToDate>
  <CharactersWithSpaces>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Nitychoruk</dc:creator>
  <dc:description/>
  <cp:lastModifiedBy>Paweł Słupski</cp:lastModifiedBy>
  <cp:revision>5</cp:revision>
  <cp:lastPrinted>2020-11-20T13:25:00Z</cp:lastPrinted>
  <dcterms:created xsi:type="dcterms:W3CDTF">2022-08-24T13:50:00Z</dcterms:created>
  <dcterms:modified xsi:type="dcterms:W3CDTF">2022-08-29T07:37:00Z</dcterms:modified>
  <dc:language>pl-PL</dc:language>
</cp:coreProperties>
</file>