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18E5" w14:textId="77777777" w:rsidR="007C1B23" w:rsidRPr="00245082" w:rsidRDefault="007C1B23" w:rsidP="008942CC">
      <w:pPr>
        <w:pStyle w:val="BodyA"/>
        <w:widowControl w:val="0"/>
        <w:suppressAutoHyphens/>
        <w:spacing w:after="120" w:line="264" w:lineRule="auto"/>
        <w:jc w:val="center"/>
        <w:rPr>
          <w:b/>
          <w:bCs/>
          <w:spacing w:val="-4"/>
          <w:sz w:val="20"/>
          <w:szCs w:val="19"/>
        </w:rPr>
      </w:pPr>
      <w:bookmarkStart w:id="0" w:name="_Hlk40201835"/>
    </w:p>
    <w:p w14:paraId="256FA8C3" w14:textId="09753B79" w:rsidR="00B052AA" w:rsidRPr="008330F5" w:rsidRDefault="004B5FAA" w:rsidP="008942CC">
      <w:pPr>
        <w:pStyle w:val="BodyA"/>
        <w:widowControl w:val="0"/>
        <w:suppressAutoHyphens/>
        <w:spacing w:after="120" w:line="264" w:lineRule="auto"/>
        <w:jc w:val="center"/>
        <w:rPr>
          <w:b/>
          <w:bCs/>
          <w:spacing w:val="-4"/>
          <w:sz w:val="21"/>
          <w:szCs w:val="21"/>
        </w:rPr>
      </w:pPr>
      <w:r>
        <w:rPr>
          <w:b/>
          <w:bCs/>
          <w:spacing w:val="-4"/>
          <w:sz w:val="21"/>
          <w:szCs w:val="21"/>
        </w:rPr>
        <w:t>REDUNIQ Insights</w:t>
      </w:r>
    </w:p>
    <w:p w14:paraId="0DC77F5F" w14:textId="6CC3E5D9" w:rsidR="008330F5" w:rsidRPr="00B10E70" w:rsidRDefault="009149D6" w:rsidP="00FE07B4">
      <w:pPr>
        <w:pStyle w:val="PargrafodaLista"/>
        <w:spacing w:after="240" w:line="264" w:lineRule="auto"/>
        <w:ind w:left="0"/>
        <w:jc w:val="center"/>
        <w:rPr>
          <w:b/>
          <w:bCs/>
          <w:color w:val="000000" w:themeColor="text1"/>
        </w:rPr>
      </w:pPr>
      <w:r>
        <w:rPr>
          <w:b/>
          <w:bCs/>
          <w:sz w:val="40"/>
          <w:szCs w:val="40"/>
        </w:rPr>
        <w:t xml:space="preserve">Consumo estrangeiro </w:t>
      </w:r>
      <w:r w:rsidR="00836C0E">
        <w:rPr>
          <w:b/>
          <w:bCs/>
          <w:sz w:val="40"/>
          <w:szCs w:val="40"/>
        </w:rPr>
        <w:t xml:space="preserve">em Portugal </w:t>
      </w:r>
      <w:r>
        <w:rPr>
          <w:b/>
          <w:bCs/>
          <w:sz w:val="40"/>
          <w:szCs w:val="40"/>
        </w:rPr>
        <w:t xml:space="preserve">dispara </w:t>
      </w:r>
      <w:r w:rsidR="00836C0E">
        <w:rPr>
          <w:b/>
          <w:bCs/>
          <w:sz w:val="40"/>
          <w:szCs w:val="40"/>
        </w:rPr>
        <w:t>mais de 80% este Verão</w:t>
      </w:r>
    </w:p>
    <w:p w14:paraId="3682E960" w14:textId="5FA27E56" w:rsidR="00245082" w:rsidRDefault="005F75E5" w:rsidP="00517D80">
      <w:pPr>
        <w:pStyle w:val="PargrafodaLista"/>
        <w:keepNext/>
        <w:widowControl w:val="0"/>
        <w:numPr>
          <w:ilvl w:val="0"/>
          <w:numId w:val="8"/>
        </w:numPr>
        <w:suppressAutoHyphens/>
        <w:spacing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Faturação </w:t>
      </w:r>
      <w:r w:rsidR="008C71DE">
        <w:rPr>
          <w:rFonts w:cs="Calibri"/>
          <w:b/>
          <w:bCs/>
        </w:rPr>
        <w:t xml:space="preserve">por via de cartões estrangeiros impulsiona a </w:t>
      </w:r>
      <w:r w:rsidR="008C71DE">
        <w:rPr>
          <w:rFonts w:cs="Calibri"/>
          <w:b/>
          <w:bCs/>
          <w:i/>
          <w:iCs/>
        </w:rPr>
        <w:t xml:space="preserve">performance </w:t>
      </w:r>
      <w:r w:rsidR="008C71DE">
        <w:rPr>
          <w:rFonts w:cs="Calibri"/>
          <w:b/>
          <w:bCs/>
        </w:rPr>
        <w:t>dos negócios em Portugal, que, no seu total, registaram este Verão um aumento de 32,2</w:t>
      </w:r>
      <w:r w:rsidR="005B6FA7">
        <w:rPr>
          <w:rFonts w:cs="Calibri"/>
          <w:b/>
          <w:bCs/>
        </w:rPr>
        <w:t>%</w:t>
      </w:r>
      <w:r w:rsidR="008C71DE">
        <w:rPr>
          <w:rFonts w:cs="Calibri"/>
          <w:b/>
          <w:bCs/>
        </w:rPr>
        <w:t xml:space="preserve"> face ao período homólog</w:t>
      </w:r>
      <w:r w:rsidR="007C1B23">
        <w:rPr>
          <w:rFonts w:cs="Calibri"/>
          <w:b/>
          <w:bCs/>
        </w:rPr>
        <w:t>o</w:t>
      </w:r>
      <w:r w:rsidR="008C71DE">
        <w:rPr>
          <w:rFonts w:cs="Calibri"/>
          <w:b/>
          <w:bCs/>
        </w:rPr>
        <w:t>.</w:t>
      </w:r>
    </w:p>
    <w:p w14:paraId="39AD79DD" w14:textId="340D08BB" w:rsidR="008C71DE" w:rsidRDefault="007C1B23" w:rsidP="00517D80">
      <w:pPr>
        <w:pStyle w:val="PargrafodaLista"/>
        <w:keepNext/>
        <w:widowControl w:val="0"/>
        <w:numPr>
          <w:ilvl w:val="0"/>
          <w:numId w:val="8"/>
        </w:numPr>
        <w:suppressAutoHyphens/>
        <w:spacing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França representa a maior fatia de faturação estrangeira em Portugal, com 18% desse total. Atrás desta estão o </w:t>
      </w:r>
      <w:r w:rsidRPr="007C1B23">
        <w:rPr>
          <w:rFonts w:cs="Calibri"/>
          <w:b/>
          <w:bCs/>
        </w:rPr>
        <w:t>Reino Unido, Irlanda, Estados Unidos e Espanha.</w:t>
      </w:r>
    </w:p>
    <w:p w14:paraId="7D3F6B15" w14:textId="77777777" w:rsidR="00FE4FA6" w:rsidRDefault="00FE4FA6" w:rsidP="00471DC2">
      <w:pPr>
        <w:pStyle w:val="BodyA"/>
        <w:widowControl w:val="0"/>
        <w:suppressAutoHyphens/>
        <w:spacing w:after="240" w:line="288" w:lineRule="auto"/>
        <w:rPr>
          <w:b/>
          <w:bCs/>
        </w:rPr>
      </w:pPr>
    </w:p>
    <w:p w14:paraId="24F9A529" w14:textId="09ED77EA" w:rsidR="00507396" w:rsidRDefault="00D521C4" w:rsidP="00471DC2">
      <w:pPr>
        <w:pStyle w:val="BodyA"/>
        <w:widowControl w:val="0"/>
        <w:suppressAutoHyphens/>
        <w:spacing w:after="240" w:line="288" w:lineRule="auto"/>
      </w:pPr>
      <w:r w:rsidRPr="00D521C4">
        <w:rPr>
          <w:b/>
          <w:bCs/>
        </w:rPr>
        <w:t xml:space="preserve">Lisboa, </w:t>
      </w:r>
      <w:r w:rsidR="00245082">
        <w:rPr>
          <w:b/>
          <w:bCs/>
        </w:rPr>
        <w:t>22</w:t>
      </w:r>
      <w:r w:rsidR="00B818B6">
        <w:rPr>
          <w:b/>
          <w:bCs/>
        </w:rPr>
        <w:t xml:space="preserve"> de </w:t>
      </w:r>
      <w:r w:rsidR="00A20E70">
        <w:rPr>
          <w:b/>
          <w:bCs/>
        </w:rPr>
        <w:t>julho</w:t>
      </w:r>
      <w:r w:rsidR="00E25D22">
        <w:rPr>
          <w:b/>
          <w:bCs/>
        </w:rPr>
        <w:t xml:space="preserve"> </w:t>
      </w:r>
      <w:r w:rsidR="00046C14">
        <w:rPr>
          <w:b/>
          <w:bCs/>
        </w:rPr>
        <w:t>de 202</w:t>
      </w:r>
      <w:r w:rsidR="00055EF1">
        <w:rPr>
          <w:b/>
          <w:bCs/>
        </w:rPr>
        <w:t>2</w:t>
      </w:r>
      <w:r w:rsidR="00046C14">
        <w:rPr>
          <w:b/>
          <w:bCs/>
        </w:rPr>
        <w:t xml:space="preserve"> </w:t>
      </w:r>
      <w:r w:rsidR="00046C14" w:rsidRPr="00D521C4">
        <w:rPr>
          <w:b/>
          <w:bCs/>
        </w:rPr>
        <w:t>–</w:t>
      </w:r>
      <w:r>
        <w:t xml:space="preserve"> </w:t>
      </w:r>
      <w:r w:rsidR="002463BB">
        <w:t xml:space="preserve">A faturação dos negócios em Portugal aumentou 32,2% este </w:t>
      </w:r>
      <w:r w:rsidR="004A7F30">
        <w:t>Verão</w:t>
      </w:r>
      <w:r w:rsidR="002463BB">
        <w:t xml:space="preserve"> face ao </w:t>
      </w:r>
      <w:r w:rsidR="00424DE8">
        <w:t>mesmo período do ano passado</w:t>
      </w:r>
      <w:r w:rsidR="00EB511B">
        <w:t xml:space="preserve">, de acordo com o </w:t>
      </w:r>
      <w:hyperlink r:id="rId11" w:history="1">
        <w:r w:rsidR="00EB511B" w:rsidRPr="00C130FB">
          <w:rPr>
            <w:rStyle w:val="Hiperligao"/>
            <w:color w:val="00B0F0"/>
            <w:u w:color="00B0F0"/>
          </w:rPr>
          <w:t>REDUNIQ Insights</w:t>
        </w:r>
      </w:hyperlink>
      <w:r w:rsidR="00EB511B">
        <w:t xml:space="preserve">, </w:t>
      </w:r>
      <w:r w:rsidR="00AA404B">
        <w:t xml:space="preserve">o relatório da </w:t>
      </w:r>
      <w:hyperlink r:id="rId12" w:history="1">
        <w:r w:rsidR="00FE4FA6" w:rsidRPr="00C130FB">
          <w:rPr>
            <w:rStyle w:val="Hiperligao"/>
            <w:color w:val="00B0F0"/>
            <w:u w:color="00B0F0"/>
          </w:rPr>
          <w:t>REDUNIQ</w:t>
        </w:r>
      </w:hyperlink>
      <w:r w:rsidR="00C0255D">
        <w:rPr>
          <w:rStyle w:val="Hiperligao"/>
          <w:color w:val="00B0F0"/>
          <w:u w:color="00B0F0"/>
        </w:rPr>
        <w:t>,</w:t>
      </w:r>
      <w:r w:rsidR="00AA404B">
        <w:t xml:space="preserve"> que </w:t>
      </w:r>
      <w:r w:rsidR="00736AE4">
        <w:t xml:space="preserve">analisa a evolução </w:t>
      </w:r>
      <w:r w:rsidR="00FA26C9">
        <w:t>dos pagamentos por cartão efetuad</w:t>
      </w:r>
      <w:r w:rsidR="001B1573">
        <w:t>os no país.</w:t>
      </w:r>
      <w:r w:rsidR="001B1573" w:rsidRPr="001B1573">
        <w:t xml:space="preserve"> </w:t>
      </w:r>
      <w:r w:rsidR="001B1573">
        <w:t xml:space="preserve">Depois de um primeiro </w:t>
      </w:r>
      <w:r w:rsidR="005B6FA7">
        <w:t>se</w:t>
      </w:r>
      <w:r w:rsidR="001B1573">
        <w:t>mestre em que o turismo impulsionou uma subida de 45% da faturação com cartões nacionais e estrangeiros</w:t>
      </w:r>
      <w:r w:rsidR="00C0255D">
        <w:t>,</w:t>
      </w:r>
      <w:r w:rsidR="001B1573">
        <w:t xml:space="preserve"> em comparação com o período homólogo, a </w:t>
      </w:r>
      <w:r w:rsidR="009B736F">
        <w:t xml:space="preserve">recente </w:t>
      </w:r>
      <w:r w:rsidR="001B1573">
        <w:t xml:space="preserve">época </w:t>
      </w:r>
      <w:r w:rsidR="00BC1504">
        <w:t xml:space="preserve">de férias mantém a </w:t>
      </w:r>
      <w:r w:rsidR="002B0B4F">
        <w:t xml:space="preserve">mesma </w:t>
      </w:r>
      <w:r w:rsidR="00BC1504">
        <w:t>tendência de recuperação</w:t>
      </w:r>
      <w:r w:rsidR="009B736F">
        <w:t xml:space="preserve">, com </w:t>
      </w:r>
      <w:r w:rsidR="00C010E2">
        <w:t>a faturação por via de cartões nacionais a aumentar 19,6%</w:t>
      </w:r>
      <w:r w:rsidR="00507396">
        <w:t>.</w:t>
      </w:r>
    </w:p>
    <w:p w14:paraId="1A5F810E" w14:textId="75A8C331" w:rsidR="00CD173B" w:rsidRDefault="00507396" w:rsidP="00471DC2">
      <w:pPr>
        <w:pStyle w:val="BodyA"/>
        <w:widowControl w:val="0"/>
        <w:suppressAutoHyphens/>
        <w:spacing w:after="240" w:line="288" w:lineRule="auto"/>
      </w:pPr>
      <w:r>
        <w:t xml:space="preserve">Contudo, foi </w:t>
      </w:r>
      <w:r w:rsidR="00CD173B">
        <w:t xml:space="preserve">o regresso dos turistas estrangeiros ao território nacional que proporcionou </w:t>
      </w:r>
      <w:r w:rsidR="00023A86">
        <w:t xml:space="preserve">uma melhor </w:t>
      </w:r>
      <w:r w:rsidR="00023A86" w:rsidRPr="00D70232">
        <w:rPr>
          <w:i/>
          <w:iCs/>
        </w:rPr>
        <w:t>performance</w:t>
      </w:r>
      <w:r w:rsidR="00023A86">
        <w:t xml:space="preserve"> dos negócios portugueses, </w:t>
      </w:r>
      <w:r w:rsidR="00A07750">
        <w:t>tendo a faturação dos negócios por cartões estrangeiros</w:t>
      </w:r>
      <w:r w:rsidR="00C0255D">
        <w:t xml:space="preserve"> </w:t>
      </w:r>
      <w:r w:rsidR="00A07750">
        <w:t>aumentado 82,5%</w:t>
      </w:r>
      <w:r w:rsidR="008B3304">
        <w:t xml:space="preserve"> no período entre 1 de julho e 15 de setembro</w:t>
      </w:r>
      <w:r w:rsidR="00A07750">
        <w:t xml:space="preserve">, quando comparado com </w:t>
      </w:r>
      <w:r w:rsidR="008B3304">
        <w:t>o mesmo intervalo de 2021.</w:t>
      </w:r>
      <w:r w:rsidR="00637131">
        <w:t xml:space="preserve"> Deste grupo, o destaque vai para os franceses, que apesar de terem </w:t>
      </w:r>
      <w:r w:rsidR="00D7354D">
        <w:t>diminuído 7 pontos percentuais de peso no total da faturação estrangeira, conti</w:t>
      </w:r>
      <w:r w:rsidR="002425FB">
        <w:t>nuam a representar a maior fatia d</w:t>
      </w:r>
      <w:r w:rsidR="002D2D4D">
        <w:t xml:space="preserve">o consumo estrangeiro em Portugal (18% do total). Atrás </w:t>
      </w:r>
      <w:r w:rsidR="00A10B69">
        <w:t xml:space="preserve">surgem o </w:t>
      </w:r>
      <w:bookmarkStart w:id="1" w:name="_Hlk114566490"/>
      <w:r w:rsidR="00A10B69">
        <w:t>Reino Unido (com 14% do total da faturação estrangeira), a Irlanda (com 11%), os Estados Unidos (com 10%), e Espanha</w:t>
      </w:r>
      <w:r w:rsidR="00194C10">
        <w:t xml:space="preserve"> (com 9%).</w:t>
      </w:r>
    </w:p>
    <w:bookmarkEnd w:id="1"/>
    <w:p w14:paraId="5B07AD1E" w14:textId="42A05500" w:rsidR="00753779" w:rsidRDefault="003C3E6E" w:rsidP="00471DC2">
      <w:pPr>
        <w:pStyle w:val="BodyA"/>
        <w:widowControl w:val="0"/>
        <w:suppressAutoHyphens/>
        <w:spacing w:after="240" w:line="288" w:lineRule="auto"/>
      </w:pPr>
      <w:r>
        <w:t xml:space="preserve">Os números apresentados acompanham </w:t>
      </w:r>
      <w:r w:rsidR="00753779">
        <w:t xml:space="preserve">as estimativas recentemente </w:t>
      </w:r>
      <w:r w:rsidR="00753779" w:rsidRPr="00753779">
        <w:t xml:space="preserve">divulgadas pelo Instituto Nacional de Estatística e pelo Banco de Portugal, </w:t>
      </w:r>
      <w:r w:rsidR="00B96EC9">
        <w:t xml:space="preserve">que revelam, só no mês de julho, um aumento de </w:t>
      </w:r>
      <w:r w:rsidR="00B96EC9" w:rsidRPr="00B96EC9">
        <w:t>205,2%</w:t>
      </w:r>
      <w:r w:rsidR="00B96EC9">
        <w:t xml:space="preserve"> no número de hóspedes não residentes em Portugal face ao </w:t>
      </w:r>
      <w:r w:rsidR="00CD53D0">
        <w:t xml:space="preserve">a julho de 2021, um cenário que contribuiu para que </w:t>
      </w:r>
      <w:r w:rsidR="00CD53D0" w:rsidRPr="00CD53D0">
        <w:t xml:space="preserve">julho de 2022 </w:t>
      </w:r>
      <w:r w:rsidR="00CD53D0">
        <w:t xml:space="preserve">se tornasse </w:t>
      </w:r>
      <w:r w:rsidR="00CD53D0" w:rsidRPr="00CD53D0">
        <w:t>o melhor mês de sempre</w:t>
      </w:r>
      <w:r w:rsidR="00C0255D">
        <w:t xml:space="preserve">, </w:t>
      </w:r>
      <w:r w:rsidR="00CD53D0">
        <w:t xml:space="preserve">em </w:t>
      </w:r>
      <w:r w:rsidR="00CD53D0" w:rsidRPr="00CD53D0">
        <w:t>número de hóspedes e de dormidas em Portugal.</w:t>
      </w:r>
    </w:p>
    <w:p w14:paraId="6E54090C" w14:textId="1A0B6773" w:rsidR="000B643D" w:rsidRDefault="00194C10" w:rsidP="00471DC2">
      <w:pPr>
        <w:pStyle w:val="BodyA"/>
        <w:widowControl w:val="0"/>
        <w:suppressAutoHyphens/>
        <w:spacing w:after="240" w:line="288" w:lineRule="auto"/>
      </w:pPr>
      <w:r>
        <w:t xml:space="preserve">Já quando analisado o valor médio de compra, </w:t>
      </w:r>
      <w:r w:rsidR="00CD53D0">
        <w:t xml:space="preserve">os dados da REDUNIQ demonstram que </w:t>
      </w:r>
      <w:r>
        <w:t xml:space="preserve">são os irlandeses aqueles que gastam mais nas férias em Portugal, numa média de 112€ por transação. </w:t>
      </w:r>
      <w:r w:rsidR="000F6E07" w:rsidRPr="000F6E07">
        <w:t xml:space="preserve">Os Estados Unidos são o </w:t>
      </w:r>
      <w:r w:rsidR="000F6E07">
        <w:t>segundo</w:t>
      </w:r>
      <w:r w:rsidR="000F6E07" w:rsidRPr="000F6E07">
        <w:t xml:space="preserve"> país com o valor de compra médio mais elevado, cerca de 71€. </w:t>
      </w:r>
      <w:r w:rsidR="00880EA3" w:rsidRPr="000F6E07">
        <w:lastRenderedPageBreak/>
        <w:t>Reino Unido</w:t>
      </w:r>
      <w:r w:rsidR="00880EA3">
        <w:t xml:space="preserve">, França e </w:t>
      </w:r>
      <w:r w:rsidR="000F6E07" w:rsidRPr="000F6E07">
        <w:t>Espanha apresentam um perfil de compra semelhante nestes meses</w:t>
      </w:r>
      <w:r w:rsidR="000B643D">
        <w:t>,</w:t>
      </w:r>
      <w:r w:rsidR="000F6E07" w:rsidRPr="000F6E07">
        <w:t xml:space="preserve"> com um valor de compra média </w:t>
      </w:r>
      <w:r w:rsidR="000B643D">
        <w:t>de</w:t>
      </w:r>
      <w:r w:rsidR="000F6E07" w:rsidRPr="000F6E07">
        <w:t xml:space="preserve"> 48€</w:t>
      </w:r>
      <w:r w:rsidR="000B643D">
        <w:t>, 46€ e 40€, respetivamente</w:t>
      </w:r>
      <w:r w:rsidR="000F6E07" w:rsidRPr="000F6E07">
        <w:t>.</w:t>
      </w:r>
    </w:p>
    <w:p w14:paraId="3AF4DDDE" w14:textId="47F6E56F" w:rsidR="00F2241F" w:rsidRPr="001D29FC" w:rsidRDefault="0094767F" w:rsidP="00471DC2">
      <w:pPr>
        <w:pStyle w:val="BodyA"/>
        <w:widowControl w:val="0"/>
        <w:suppressAutoHyphens/>
        <w:spacing w:after="240" w:line="288" w:lineRule="auto"/>
        <w:rPr>
          <w:i/>
          <w:iCs/>
        </w:rPr>
      </w:pPr>
      <w:r>
        <w:t xml:space="preserve">Segundo </w:t>
      </w:r>
      <w:r w:rsidRPr="00F55E06">
        <w:rPr>
          <w:b/>
          <w:bCs/>
        </w:rPr>
        <w:t>Tiago Oom, Diretor Comercial da UNICRE e porta-voz oficial do REDUNIQ Insights</w:t>
      </w:r>
      <w:r>
        <w:t xml:space="preserve">, </w:t>
      </w:r>
      <w:r w:rsidR="000837FE" w:rsidRPr="001D29FC">
        <w:rPr>
          <w:i/>
          <w:iCs/>
        </w:rPr>
        <w:t xml:space="preserve">“os resultados obtidos </w:t>
      </w:r>
      <w:r w:rsidR="00DA6EF9" w:rsidRPr="001D29FC">
        <w:rPr>
          <w:i/>
          <w:iCs/>
        </w:rPr>
        <w:t xml:space="preserve">pelos negócios </w:t>
      </w:r>
      <w:r w:rsidR="000837FE" w:rsidRPr="001D29FC">
        <w:rPr>
          <w:i/>
          <w:iCs/>
        </w:rPr>
        <w:t xml:space="preserve">durante os meses de Verão são </w:t>
      </w:r>
      <w:r w:rsidR="00DA6EF9" w:rsidRPr="001D29FC">
        <w:rPr>
          <w:i/>
          <w:iCs/>
        </w:rPr>
        <w:t xml:space="preserve">o reflexo de um conjunto de fatores </w:t>
      </w:r>
      <w:r w:rsidR="00B43048" w:rsidRPr="001D29FC">
        <w:rPr>
          <w:i/>
          <w:iCs/>
        </w:rPr>
        <w:t xml:space="preserve">impulsionadores do aumento da faturação. Desde logo, </w:t>
      </w:r>
      <w:r w:rsidR="002B4B89" w:rsidRPr="001D29FC">
        <w:rPr>
          <w:i/>
          <w:iCs/>
        </w:rPr>
        <w:t xml:space="preserve">o facto de este ter sido o primeiro Verão </w:t>
      </w:r>
      <w:r w:rsidR="00F36F3B" w:rsidRPr="001D29FC">
        <w:rPr>
          <w:i/>
          <w:iCs/>
        </w:rPr>
        <w:t>sem a aplicação de restrições à circulação de cidadãos entre países derivado do controlo da pandemia de Covid-19, o que originou uma maior confiança do</w:t>
      </w:r>
      <w:r w:rsidR="00D066E7" w:rsidRPr="001D29FC">
        <w:rPr>
          <w:i/>
          <w:iCs/>
        </w:rPr>
        <w:t xml:space="preserve">s consumidores (nacionais e estrangeiros) a </w:t>
      </w:r>
      <w:r w:rsidR="005046DF" w:rsidRPr="001D29FC">
        <w:rPr>
          <w:i/>
          <w:iCs/>
        </w:rPr>
        <w:t>regressar aos principais pontos turísticos do país. Em paralelo, Portugal está neste momento a colher os frutos de uma forte aposta</w:t>
      </w:r>
      <w:r w:rsidR="00E63DDA" w:rsidRPr="001D29FC">
        <w:rPr>
          <w:i/>
          <w:iCs/>
        </w:rPr>
        <w:t>, a nível de investimento e de promoção, no turismo, sobretudo para atrair o turis</w:t>
      </w:r>
      <w:r w:rsidR="00C61763">
        <w:rPr>
          <w:i/>
          <w:iCs/>
        </w:rPr>
        <w:t>mo</w:t>
      </w:r>
      <w:r w:rsidR="00E63DDA" w:rsidRPr="001D29FC">
        <w:rPr>
          <w:i/>
          <w:iCs/>
        </w:rPr>
        <w:t xml:space="preserve"> externo. Por fim, o próprio cenário inflacionista tem </w:t>
      </w:r>
      <w:r w:rsidR="00C0255D">
        <w:rPr>
          <w:i/>
          <w:iCs/>
        </w:rPr>
        <w:t>promovido</w:t>
      </w:r>
      <w:r w:rsidR="0089374C" w:rsidRPr="001D29FC">
        <w:rPr>
          <w:i/>
          <w:iCs/>
        </w:rPr>
        <w:t xml:space="preserve"> o aumento generalizado de produtos e serviços ligados ao setor turístico</w:t>
      </w:r>
      <w:r w:rsidR="005B44A0">
        <w:rPr>
          <w:i/>
          <w:iCs/>
        </w:rPr>
        <w:t xml:space="preserve">, o que </w:t>
      </w:r>
      <w:r w:rsidR="00136231">
        <w:rPr>
          <w:i/>
          <w:iCs/>
        </w:rPr>
        <w:t>acaba por também contribuir para o crescimento da faturação destes negócios</w:t>
      </w:r>
      <w:r w:rsidR="001D29FC" w:rsidRPr="001D29FC">
        <w:rPr>
          <w:i/>
          <w:iCs/>
        </w:rPr>
        <w:t>”.</w:t>
      </w:r>
    </w:p>
    <w:p w14:paraId="044A87C6" w14:textId="1B5941A5" w:rsidR="00F2241F" w:rsidRDefault="00F2241F" w:rsidP="00471DC2">
      <w:pPr>
        <w:pStyle w:val="BodyA"/>
        <w:widowControl w:val="0"/>
        <w:suppressAutoHyphens/>
        <w:spacing w:after="240" w:line="288" w:lineRule="auto"/>
      </w:pPr>
      <w:r>
        <w:t>Já quando an</w:t>
      </w:r>
      <w:r w:rsidR="0053346A">
        <w:t xml:space="preserve">alisada a </w:t>
      </w:r>
      <w:r w:rsidR="0053346A" w:rsidRPr="00C61763">
        <w:rPr>
          <w:i/>
          <w:iCs/>
        </w:rPr>
        <w:t>performance</w:t>
      </w:r>
      <w:r w:rsidR="0053346A">
        <w:t xml:space="preserve"> dos diferentes setores de atividade, e considerando a faturação total dos negócios (via cartões nacionais + internacionais), </w:t>
      </w:r>
      <w:r w:rsidR="00106119">
        <w:t xml:space="preserve">o REDUNIQ Insights demonstra um aumento generalizado </w:t>
      </w:r>
      <w:r w:rsidR="00630BEA">
        <w:t>da faturação nos negócios tipicamente associados ao turismo</w:t>
      </w:r>
      <w:r w:rsidR="00781C87">
        <w:t xml:space="preserve">: enquanto o </w:t>
      </w:r>
      <w:r w:rsidR="00781C87" w:rsidRPr="00C61763">
        <w:rPr>
          <w:i/>
          <w:iCs/>
        </w:rPr>
        <w:t>rent</w:t>
      </w:r>
      <w:r w:rsidR="00C61763">
        <w:rPr>
          <w:i/>
          <w:iCs/>
        </w:rPr>
        <w:t>-</w:t>
      </w:r>
      <w:r w:rsidR="00781C87" w:rsidRPr="00C61763">
        <w:rPr>
          <w:i/>
          <w:iCs/>
        </w:rPr>
        <w:t>a</w:t>
      </w:r>
      <w:r w:rsidR="00C61763">
        <w:rPr>
          <w:i/>
          <w:iCs/>
        </w:rPr>
        <w:t>-</w:t>
      </w:r>
      <w:r w:rsidR="00781C87" w:rsidRPr="00C61763">
        <w:rPr>
          <w:i/>
          <w:iCs/>
        </w:rPr>
        <w:t>car</w:t>
      </w:r>
      <w:r w:rsidR="00781C87">
        <w:t xml:space="preserve"> cresceu 85% face ao período homólogo</w:t>
      </w:r>
      <w:r w:rsidR="00A434A5">
        <w:t>, a hotelaria e a restauração aumentaram a sua faturação em 71% e 50%, respetivamente. Tal como</w:t>
      </w:r>
      <w:r w:rsidR="0015215B">
        <w:t xml:space="preserve"> </w:t>
      </w:r>
      <w:r w:rsidR="00BC27BA">
        <w:t xml:space="preserve">registado nos resultados globais dos negócios em Portugal, também o elevado aumento da faturação das atividades </w:t>
      </w:r>
      <w:r w:rsidR="00DA1493">
        <w:t xml:space="preserve">turísticas está associado ao regresso dos turistas estrangeiros a Portugal, tendo estes contribuído para aumentar em 117% a faturação da hotelaria, em 110% a faturação do </w:t>
      </w:r>
      <w:r w:rsidR="00DA1493" w:rsidRPr="001361C7">
        <w:rPr>
          <w:i/>
          <w:iCs/>
        </w:rPr>
        <w:t>rent</w:t>
      </w:r>
      <w:r w:rsidR="001361C7" w:rsidRPr="001361C7">
        <w:rPr>
          <w:i/>
          <w:iCs/>
        </w:rPr>
        <w:t>-</w:t>
      </w:r>
      <w:r w:rsidR="00DA1493" w:rsidRPr="001361C7">
        <w:rPr>
          <w:i/>
          <w:iCs/>
        </w:rPr>
        <w:t>a</w:t>
      </w:r>
      <w:r w:rsidR="001361C7" w:rsidRPr="001361C7">
        <w:rPr>
          <w:i/>
          <w:iCs/>
        </w:rPr>
        <w:t>-</w:t>
      </w:r>
      <w:r w:rsidR="00DA1493" w:rsidRPr="001361C7">
        <w:rPr>
          <w:i/>
          <w:iCs/>
        </w:rPr>
        <w:t>car</w:t>
      </w:r>
      <w:r w:rsidR="00DA1493">
        <w:t>, e 98% a faturação da restauração.</w:t>
      </w:r>
    </w:p>
    <w:p w14:paraId="7881F2A1" w14:textId="6EBD102E" w:rsidR="00FE4FA6" w:rsidRPr="00F55E06" w:rsidRDefault="00FE4FA6" w:rsidP="00471DC2">
      <w:pPr>
        <w:pStyle w:val="BodyA"/>
        <w:widowControl w:val="0"/>
        <w:suppressAutoHyphens/>
        <w:spacing w:after="240" w:line="288" w:lineRule="auto"/>
        <w:rPr>
          <w:i/>
          <w:iCs/>
        </w:rPr>
      </w:pPr>
      <w:r>
        <w:t xml:space="preserve">Em contrapartida, o consumo nacional em hotelaria registou um decréscimo de 6% face ao período homólogo, um resultado que, segundo Tiago Oom, </w:t>
      </w:r>
      <w:r w:rsidRPr="00F55E06">
        <w:rPr>
          <w:i/>
          <w:iCs/>
        </w:rPr>
        <w:t xml:space="preserve">“se </w:t>
      </w:r>
      <w:r w:rsidR="00EC006B" w:rsidRPr="00F55E06">
        <w:rPr>
          <w:i/>
          <w:iCs/>
        </w:rPr>
        <w:t xml:space="preserve">poderá justificar com uma contenção dos gastos das famílias </w:t>
      </w:r>
      <w:r w:rsidR="00F55E06" w:rsidRPr="00F55E06">
        <w:rPr>
          <w:i/>
          <w:iCs/>
        </w:rPr>
        <w:t>portuguesas face ao crescimento da inflação”.</w:t>
      </w:r>
    </w:p>
    <w:p w14:paraId="38EFD4D1" w14:textId="6BECD9B7" w:rsidR="002D449E" w:rsidRDefault="002D449E" w:rsidP="00471DC2">
      <w:pPr>
        <w:pStyle w:val="BodyA"/>
        <w:widowControl w:val="0"/>
        <w:suppressAutoHyphens/>
        <w:spacing w:after="240" w:line="288" w:lineRule="auto"/>
      </w:pPr>
      <w:r w:rsidRPr="002D449E">
        <w:t xml:space="preserve">Numa análise geográfica, os distritos mais turísticos, </w:t>
      </w:r>
      <w:r w:rsidR="00AB0BDF">
        <w:t xml:space="preserve">nomeadamente </w:t>
      </w:r>
      <w:r w:rsidR="003D7C32" w:rsidRPr="002D449E">
        <w:t>Lisboa</w:t>
      </w:r>
      <w:r w:rsidR="003D7C32">
        <w:t xml:space="preserve">, Açores, Faro, Madeira e Porto, </w:t>
      </w:r>
      <w:r w:rsidRPr="002D449E">
        <w:t xml:space="preserve">apresentam todos valores de faturação superiores ao mesmo período do ano passado, com crescimentos de </w:t>
      </w:r>
      <w:r w:rsidR="003D7C32">
        <w:t>43%, 3</w:t>
      </w:r>
      <w:r w:rsidRPr="002D449E">
        <w:t xml:space="preserve">6%, 36%, 32% e 28%, respetivamente. Especificamente quanto ao consumo estrangeiro, </w:t>
      </w:r>
      <w:r w:rsidR="0024077C">
        <w:t xml:space="preserve">o </w:t>
      </w:r>
      <w:r w:rsidRPr="002D449E">
        <w:t xml:space="preserve">destaque </w:t>
      </w:r>
      <w:r w:rsidR="0024077C">
        <w:t xml:space="preserve">vai </w:t>
      </w:r>
      <w:r w:rsidRPr="002D449E">
        <w:t xml:space="preserve">para Lisboa e Açores, </w:t>
      </w:r>
      <w:r w:rsidR="0024077C">
        <w:t>que apresentam uma varia</w:t>
      </w:r>
      <w:r w:rsidRPr="002D449E">
        <w:t xml:space="preserve">ção </w:t>
      </w:r>
      <w:r w:rsidR="0024077C">
        <w:t>mais significativa, registando um aumento de fatura</w:t>
      </w:r>
      <w:r w:rsidR="000F6E07">
        <w:t xml:space="preserve">ção </w:t>
      </w:r>
      <w:r w:rsidRPr="002D449E">
        <w:t>de 125% e 103%, respetivamente.</w:t>
      </w:r>
    </w:p>
    <w:p w14:paraId="189F0401" w14:textId="127D0919" w:rsidR="00CD173B" w:rsidRDefault="001349C1" w:rsidP="00471DC2">
      <w:pPr>
        <w:pStyle w:val="BodyA"/>
        <w:widowControl w:val="0"/>
        <w:suppressAutoHyphens/>
        <w:spacing w:after="240" w:line="288" w:lineRule="auto"/>
      </w:pPr>
      <w:r w:rsidRPr="001349C1">
        <w:t>Os dados recolhidos têm como base o REDUNIQ Insights, a solução de conhecimento que analisa as transações registadas pela rede de aceitação de pagamentos da REDUNIQ.</w:t>
      </w:r>
    </w:p>
    <w:p w14:paraId="771D0129" w14:textId="77777777" w:rsidR="005F75E5" w:rsidRDefault="005F75E5" w:rsidP="003E05AF">
      <w:pPr>
        <w:pStyle w:val="BodyA"/>
        <w:spacing w:after="80" w:line="288" w:lineRule="auto"/>
        <w:rPr>
          <w:rStyle w:val="None"/>
        </w:rPr>
      </w:pPr>
    </w:p>
    <w:p w14:paraId="00C39D91" w14:textId="66160DD1" w:rsidR="003E05AF" w:rsidRDefault="003E05AF" w:rsidP="003E05AF">
      <w:pPr>
        <w:pStyle w:val="BodyA"/>
        <w:spacing w:after="80" w:line="288" w:lineRule="auto"/>
        <w:rPr>
          <w:rStyle w:val="None"/>
          <w:b/>
          <w:bCs/>
          <w:sz w:val="20"/>
          <w:szCs w:val="20"/>
        </w:rPr>
      </w:pPr>
      <w:r>
        <w:rPr>
          <w:rStyle w:val="None"/>
          <w:b/>
          <w:bCs/>
          <w:sz w:val="20"/>
          <w:szCs w:val="20"/>
        </w:rPr>
        <w:t>Sobre a UNICRE:</w:t>
      </w:r>
    </w:p>
    <w:p w14:paraId="6B8067DD" w14:textId="0E3980F8" w:rsidR="003E05AF" w:rsidRDefault="003E05AF" w:rsidP="003E05AF">
      <w:pPr>
        <w:pStyle w:val="BodyA"/>
        <w:spacing w:after="240" w:line="288" w:lineRule="auto"/>
        <w:rPr>
          <w:rStyle w:val="None"/>
          <w:i/>
          <w:iCs/>
          <w:sz w:val="20"/>
          <w:szCs w:val="20"/>
        </w:rPr>
      </w:pPr>
      <w:r>
        <w:rPr>
          <w:rStyle w:val="None"/>
          <w:sz w:val="20"/>
          <w:szCs w:val="20"/>
        </w:rPr>
        <w:lastRenderedPageBreak/>
        <w:t xml:space="preserve">A UNICRE </w:t>
      </w:r>
      <w:r>
        <w:rPr>
          <w:rStyle w:val="None"/>
          <w:sz w:val="20"/>
          <w:szCs w:val="20"/>
          <w:lang w:val="fr-FR"/>
        </w:rPr>
        <w:t xml:space="preserve">é </w:t>
      </w:r>
      <w:r>
        <w:rPr>
          <w:rStyle w:val="None"/>
          <w:sz w:val="20"/>
          <w:szCs w:val="20"/>
        </w:rPr>
        <w:t xml:space="preserve">uma instituição portuguesa que atua no setor financeiro, especialista na gestão, </w:t>
      </w:r>
      <w:proofErr w:type="spellStart"/>
      <w:r>
        <w:rPr>
          <w:rStyle w:val="None"/>
          <w:sz w:val="20"/>
          <w:szCs w:val="20"/>
        </w:rPr>
        <w:t>emissã</w:t>
      </w:r>
      <w:proofErr w:type="spellEnd"/>
      <w:r>
        <w:rPr>
          <w:rStyle w:val="None"/>
          <w:sz w:val="20"/>
          <w:szCs w:val="20"/>
          <w:lang w:val="it-IT"/>
        </w:rPr>
        <w:t>o e disponibiliza</w:t>
      </w:r>
      <w:proofErr w:type="spellStart"/>
      <w:r>
        <w:rPr>
          <w:rStyle w:val="None"/>
          <w:sz w:val="20"/>
          <w:szCs w:val="20"/>
        </w:rPr>
        <w:t>ção</w:t>
      </w:r>
      <w:proofErr w:type="spellEnd"/>
      <w:r>
        <w:rPr>
          <w:rStyle w:val="None"/>
          <w:sz w:val="20"/>
          <w:szCs w:val="20"/>
        </w:rPr>
        <w:t xml:space="preserve"> de soluções de pagamento, cartões de pagamento e </w:t>
      </w:r>
      <w:proofErr w:type="spellStart"/>
      <w:r>
        <w:rPr>
          <w:rStyle w:val="None"/>
          <w:sz w:val="20"/>
          <w:szCs w:val="20"/>
        </w:rPr>
        <w:t>cr</w:t>
      </w:r>
      <w:proofErr w:type="spellEnd"/>
      <w:r>
        <w:rPr>
          <w:rStyle w:val="None"/>
          <w:sz w:val="20"/>
          <w:szCs w:val="20"/>
          <w:lang w:val="fr-FR"/>
        </w:rPr>
        <w:t>é</w:t>
      </w:r>
      <w:r>
        <w:rPr>
          <w:rStyle w:val="None"/>
          <w:sz w:val="20"/>
          <w:szCs w:val="20"/>
        </w:rPr>
        <w:t>dito ao consumo. Com uma experiência de 4</w:t>
      </w:r>
      <w:r w:rsidR="002630D6">
        <w:rPr>
          <w:rStyle w:val="None"/>
          <w:sz w:val="20"/>
          <w:szCs w:val="20"/>
        </w:rPr>
        <w:t>8</w:t>
      </w:r>
      <w:r>
        <w:rPr>
          <w:rStyle w:val="None"/>
          <w:sz w:val="20"/>
          <w:szCs w:val="20"/>
        </w:rPr>
        <w:t xml:space="preserve"> anos, </w:t>
      </w:r>
      <w:proofErr w:type="spellStart"/>
      <w:r>
        <w:rPr>
          <w:rStyle w:val="None"/>
          <w:sz w:val="20"/>
          <w:szCs w:val="20"/>
        </w:rPr>
        <w:t>det</w:t>
      </w:r>
      <w:proofErr w:type="spellEnd"/>
      <w:r>
        <w:rPr>
          <w:rStyle w:val="None"/>
          <w:sz w:val="20"/>
          <w:szCs w:val="20"/>
          <w:lang w:val="fr-FR"/>
        </w:rPr>
        <w:t>é</w:t>
      </w:r>
      <w:r>
        <w:rPr>
          <w:rStyle w:val="None"/>
          <w:sz w:val="20"/>
          <w:szCs w:val="20"/>
        </w:rPr>
        <w:t xml:space="preserve">m a marca UNIBANCO, responsável pela emissão de </w:t>
      </w:r>
      <w:proofErr w:type="spellStart"/>
      <w:r>
        <w:rPr>
          <w:rStyle w:val="None"/>
          <w:sz w:val="20"/>
          <w:szCs w:val="20"/>
        </w:rPr>
        <w:t>cartõ</w:t>
      </w:r>
      <w:proofErr w:type="spellEnd"/>
      <w:r>
        <w:rPr>
          <w:rStyle w:val="None"/>
          <w:sz w:val="20"/>
          <w:szCs w:val="20"/>
          <w:lang w:val="fr-FR"/>
        </w:rPr>
        <w:t xml:space="preserve">es de </w:t>
      </w:r>
      <w:proofErr w:type="spellStart"/>
      <w:r>
        <w:rPr>
          <w:rStyle w:val="None"/>
          <w:sz w:val="20"/>
          <w:szCs w:val="20"/>
          <w:lang w:val="fr-FR"/>
        </w:rPr>
        <w:t>cré</w:t>
      </w:r>
      <w:proofErr w:type="spellEnd"/>
      <w:r>
        <w:rPr>
          <w:rStyle w:val="None"/>
          <w:sz w:val="20"/>
          <w:szCs w:val="20"/>
          <w:lang w:val="it-IT"/>
        </w:rPr>
        <w:t>dito, cart</w:t>
      </w:r>
      <w:r>
        <w:rPr>
          <w:rStyle w:val="None"/>
          <w:sz w:val="20"/>
          <w:szCs w:val="20"/>
        </w:rPr>
        <w:t>õ</w:t>
      </w:r>
      <w:r>
        <w:rPr>
          <w:rStyle w:val="None"/>
          <w:sz w:val="20"/>
          <w:szCs w:val="20"/>
          <w:lang w:val="fr-FR"/>
        </w:rPr>
        <w:t>es pré</w:t>
      </w:r>
      <w:r>
        <w:rPr>
          <w:rStyle w:val="None"/>
          <w:sz w:val="20"/>
          <w:szCs w:val="20"/>
        </w:rPr>
        <w:t xml:space="preserve">-pagos, cartões </w:t>
      </w:r>
      <w:proofErr w:type="spellStart"/>
      <w:r>
        <w:rPr>
          <w:rStyle w:val="None"/>
          <w:sz w:val="20"/>
          <w:szCs w:val="20"/>
        </w:rPr>
        <w:t>refeiçã</w:t>
      </w:r>
      <w:proofErr w:type="spellEnd"/>
      <w:r>
        <w:rPr>
          <w:rStyle w:val="None"/>
          <w:sz w:val="20"/>
          <w:szCs w:val="20"/>
          <w:lang w:val="it-IT"/>
        </w:rPr>
        <w:t>o, cr</w:t>
      </w:r>
      <w:r>
        <w:rPr>
          <w:rStyle w:val="None"/>
          <w:sz w:val="20"/>
          <w:szCs w:val="20"/>
          <w:lang w:val="fr-FR"/>
        </w:rPr>
        <w:t>é</w:t>
      </w:r>
      <w:r>
        <w:rPr>
          <w:rStyle w:val="None"/>
          <w:sz w:val="20"/>
          <w:szCs w:val="20"/>
        </w:rPr>
        <w:t xml:space="preserve">dito pessoal e </w:t>
      </w:r>
      <w:proofErr w:type="spellStart"/>
      <w:r>
        <w:rPr>
          <w:rStyle w:val="None"/>
          <w:sz w:val="20"/>
          <w:szCs w:val="20"/>
        </w:rPr>
        <w:t>cr</w:t>
      </w:r>
      <w:proofErr w:type="spellEnd"/>
      <w:r>
        <w:rPr>
          <w:rStyle w:val="None"/>
          <w:sz w:val="20"/>
          <w:szCs w:val="20"/>
          <w:lang w:val="fr-FR"/>
        </w:rPr>
        <w:t>é</w:t>
      </w:r>
      <w:r>
        <w:rPr>
          <w:rStyle w:val="None"/>
          <w:sz w:val="20"/>
          <w:szCs w:val="20"/>
        </w:rPr>
        <w:t xml:space="preserve">dito consolidado, e a marca </w:t>
      </w:r>
      <w:r w:rsidRPr="00134AD5">
        <w:rPr>
          <w:rStyle w:val="None"/>
          <w:sz w:val="20"/>
          <w:szCs w:val="20"/>
        </w:rPr>
        <w:t>REDUNIQ</w:t>
      </w:r>
      <w:r>
        <w:rPr>
          <w:rStyle w:val="None"/>
          <w:sz w:val="20"/>
          <w:szCs w:val="20"/>
        </w:rPr>
        <w:t>, que disponibiliza soluções de aceitação de pagamentos para loja física ou com</w:t>
      </w:r>
      <w:r>
        <w:rPr>
          <w:rStyle w:val="None"/>
          <w:sz w:val="20"/>
          <w:szCs w:val="20"/>
          <w:lang w:val="fr-FR"/>
        </w:rPr>
        <w:t>é</w:t>
      </w:r>
      <w:proofErr w:type="spellStart"/>
      <w:r>
        <w:rPr>
          <w:rStyle w:val="None"/>
          <w:sz w:val="20"/>
          <w:szCs w:val="20"/>
        </w:rPr>
        <w:t>rcio</w:t>
      </w:r>
      <w:proofErr w:type="spellEnd"/>
      <w:r>
        <w:rPr>
          <w:rStyle w:val="None"/>
          <w:sz w:val="20"/>
          <w:szCs w:val="20"/>
        </w:rPr>
        <w:t xml:space="preserve"> </w:t>
      </w:r>
      <w:r>
        <w:rPr>
          <w:rStyle w:val="None"/>
          <w:i/>
          <w:iCs/>
          <w:sz w:val="20"/>
          <w:szCs w:val="20"/>
        </w:rPr>
        <w:t>online.</w:t>
      </w:r>
    </w:p>
    <w:p w14:paraId="381D7F39" w14:textId="77777777" w:rsidR="003E05AF" w:rsidRDefault="003E05AF" w:rsidP="003E05AF">
      <w:pPr>
        <w:pStyle w:val="BodyA"/>
        <w:spacing w:after="80" w:line="288" w:lineRule="auto"/>
        <w:rPr>
          <w:rStyle w:val="None"/>
          <w:b/>
          <w:bCs/>
          <w:sz w:val="20"/>
          <w:szCs w:val="20"/>
        </w:rPr>
      </w:pPr>
      <w:r>
        <w:rPr>
          <w:rStyle w:val="None"/>
          <w:b/>
          <w:bCs/>
          <w:sz w:val="20"/>
          <w:szCs w:val="20"/>
        </w:rPr>
        <w:t>Sobre o REDUNIQ Insights:</w:t>
      </w:r>
    </w:p>
    <w:p w14:paraId="36D5CA15" w14:textId="0E57B50F" w:rsidR="003E05AF" w:rsidRPr="000B64B9" w:rsidRDefault="003E05AF" w:rsidP="000B64B9">
      <w:pPr>
        <w:pStyle w:val="BodyA"/>
        <w:spacing w:after="240" w:line="288" w:lineRule="auto"/>
        <w:rPr>
          <w:rStyle w:val="None"/>
          <w:i/>
          <w:iCs/>
          <w:sz w:val="20"/>
          <w:szCs w:val="20"/>
        </w:rPr>
      </w:pPr>
      <w:r w:rsidRPr="00157EF5">
        <w:rPr>
          <w:rStyle w:val="None"/>
          <w:sz w:val="20"/>
          <w:szCs w:val="20"/>
        </w:rPr>
        <w:t xml:space="preserve">O REDUNIQ Insights é uma solução de conhecimento que pretende disponibilizar informação analítica aos clientes da REDUNIQ, a maior rede de aceitação de cartões nacionais e estrangeiros em Portugal, com base em informação do retalho nacional, suportando empresas na geração de </w:t>
      </w:r>
      <w:r w:rsidRPr="00157EF5">
        <w:rPr>
          <w:rStyle w:val="None"/>
          <w:i/>
          <w:iCs/>
          <w:sz w:val="20"/>
          <w:szCs w:val="20"/>
        </w:rPr>
        <w:t>insights</w:t>
      </w:r>
      <w:r w:rsidRPr="00157EF5">
        <w:rPr>
          <w:rStyle w:val="None"/>
          <w:sz w:val="20"/>
          <w:szCs w:val="20"/>
        </w:rPr>
        <w:t xml:space="preserve"> e na tomada de decisões de desenvolvimento de negócio. A REDUNIQ, que só em 20</w:t>
      </w:r>
      <w:r w:rsidR="00D3431A">
        <w:rPr>
          <w:rStyle w:val="None"/>
          <w:sz w:val="20"/>
          <w:szCs w:val="20"/>
        </w:rPr>
        <w:t>21</w:t>
      </w:r>
      <w:r w:rsidR="006F17DA">
        <w:rPr>
          <w:rStyle w:val="None"/>
          <w:sz w:val="20"/>
          <w:szCs w:val="20"/>
        </w:rPr>
        <w:t xml:space="preserve"> </w:t>
      </w:r>
      <w:r w:rsidRPr="00157EF5">
        <w:rPr>
          <w:rStyle w:val="None"/>
          <w:sz w:val="20"/>
          <w:szCs w:val="20"/>
        </w:rPr>
        <w:t>transacionou 20</w:t>
      </w:r>
      <w:r w:rsidR="007211D7">
        <w:rPr>
          <w:rStyle w:val="None"/>
          <w:sz w:val="20"/>
          <w:szCs w:val="20"/>
        </w:rPr>
        <w:t>,</w:t>
      </w:r>
      <w:r w:rsidR="00D3431A">
        <w:rPr>
          <w:rStyle w:val="None"/>
          <w:sz w:val="20"/>
          <w:szCs w:val="20"/>
        </w:rPr>
        <w:t>4</w:t>
      </w:r>
      <w:r w:rsidRPr="00157EF5">
        <w:rPr>
          <w:rStyle w:val="None"/>
          <w:sz w:val="20"/>
          <w:szCs w:val="20"/>
        </w:rPr>
        <w:t xml:space="preserve"> mil milhões de euros em compras, num total de </w:t>
      </w:r>
      <w:r w:rsidR="00D3431A">
        <w:rPr>
          <w:rStyle w:val="None"/>
          <w:sz w:val="20"/>
          <w:szCs w:val="20"/>
        </w:rPr>
        <w:t>600</w:t>
      </w:r>
      <w:r w:rsidRPr="00157EF5">
        <w:rPr>
          <w:rStyle w:val="None"/>
          <w:sz w:val="20"/>
          <w:szCs w:val="20"/>
        </w:rPr>
        <w:t xml:space="preserve"> milhões de transações, dispõe de informação detalhada sobre os perfis de consumo realizados em estabelecimentos servidos pela sua rede.</w:t>
      </w:r>
    </w:p>
    <w:p w14:paraId="42B65A6D" w14:textId="77777777" w:rsidR="003E05AF" w:rsidRDefault="003E05AF" w:rsidP="003E05AF">
      <w:pPr>
        <w:pStyle w:val="Rodap"/>
        <w:tabs>
          <w:tab w:val="clear" w:pos="8504"/>
          <w:tab w:val="right" w:pos="8478"/>
        </w:tabs>
        <w:spacing w:after="80"/>
        <w:rPr>
          <w:rStyle w:val="None"/>
          <w:b/>
          <w:bCs/>
          <w:sz w:val="20"/>
          <w:szCs w:val="20"/>
        </w:rPr>
      </w:pPr>
      <w:r>
        <w:rPr>
          <w:rStyle w:val="None"/>
          <w:b/>
          <w:bCs/>
          <w:sz w:val="20"/>
          <w:szCs w:val="20"/>
        </w:rPr>
        <w:t>Para mais informações, contacte:</w:t>
      </w:r>
    </w:p>
    <w:p w14:paraId="68B7D66C" w14:textId="77777777" w:rsidR="003E05AF" w:rsidRDefault="003E05AF" w:rsidP="003E05AF">
      <w:pPr>
        <w:pStyle w:val="Rodap"/>
        <w:tabs>
          <w:tab w:val="clear" w:pos="8504"/>
          <w:tab w:val="right" w:pos="8478"/>
        </w:tabs>
        <w:spacing w:after="0"/>
        <w:jc w:val="left"/>
        <w:rPr>
          <w:rStyle w:val="None"/>
          <w:sz w:val="20"/>
          <w:szCs w:val="20"/>
          <w:u w:val="single"/>
        </w:rPr>
      </w:pPr>
      <w:r>
        <w:rPr>
          <w:rStyle w:val="None"/>
          <w:sz w:val="20"/>
          <w:szCs w:val="20"/>
          <w:u w:val="single"/>
        </w:rPr>
        <w:t>Lift Consulting</w:t>
      </w:r>
    </w:p>
    <w:p w14:paraId="6FA9CA5E" w14:textId="77777777" w:rsidR="003E05AF" w:rsidRDefault="003E05AF" w:rsidP="003E05AF">
      <w:pPr>
        <w:pStyle w:val="Rodap"/>
        <w:widowControl w:val="0"/>
        <w:tabs>
          <w:tab w:val="clear" w:pos="8504"/>
          <w:tab w:val="right" w:pos="8478"/>
        </w:tabs>
        <w:spacing w:after="0"/>
        <w:jc w:val="left"/>
      </w:pPr>
      <w:r>
        <w:rPr>
          <w:rStyle w:val="None"/>
          <w:sz w:val="20"/>
          <w:szCs w:val="20"/>
        </w:rPr>
        <w:t>Fábio Duarte | fabio.duarte@lift.com.pt | 911 774 428</w:t>
      </w:r>
    </w:p>
    <w:p w14:paraId="5FC56FE2" w14:textId="1C901F20" w:rsidR="003E05AF" w:rsidRPr="009F1EC3" w:rsidRDefault="003E05AF" w:rsidP="003E05AF">
      <w:pPr>
        <w:pStyle w:val="Rodap"/>
        <w:widowControl w:val="0"/>
        <w:tabs>
          <w:tab w:val="clear" w:pos="8504"/>
          <w:tab w:val="right" w:pos="8478"/>
        </w:tabs>
        <w:spacing w:after="0"/>
        <w:jc w:val="left"/>
        <w:rPr>
          <w:sz w:val="20"/>
          <w:szCs w:val="20"/>
          <w:lang w:val="en-US"/>
        </w:rPr>
      </w:pPr>
      <w:r w:rsidRPr="009F1EC3">
        <w:rPr>
          <w:rStyle w:val="None"/>
          <w:sz w:val="20"/>
          <w:szCs w:val="20"/>
          <w:lang w:val="en-US"/>
        </w:rPr>
        <w:t xml:space="preserve">Inês Filipe | ines.filipe@lift.com.pt | </w:t>
      </w:r>
      <w:r w:rsidR="00B072EA" w:rsidRPr="009F1EC3">
        <w:rPr>
          <w:rStyle w:val="None"/>
          <w:sz w:val="20"/>
          <w:szCs w:val="20"/>
          <w:lang w:val="en-US"/>
        </w:rPr>
        <w:t>910 283</w:t>
      </w:r>
      <w:r w:rsidR="00FB03F5">
        <w:rPr>
          <w:rStyle w:val="None"/>
          <w:sz w:val="20"/>
          <w:szCs w:val="20"/>
          <w:lang w:val="en-US"/>
        </w:rPr>
        <w:t> </w:t>
      </w:r>
      <w:r w:rsidR="00B072EA" w:rsidRPr="009F1EC3">
        <w:rPr>
          <w:rStyle w:val="None"/>
          <w:sz w:val="20"/>
          <w:szCs w:val="20"/>
          <w:lang w:val="en-US"/>
        </w:rPr>
        <w:t>054</w:t>
      </w:r>
    </w:p>
    <w:bookmarkEnd w:id="0"/>
    <w:p w14:paraId="518A5BC5" w14:textId="6006E072" w:rsidR="00E434DB" w:rsidRDefault="00E434DB" w:rsidP="00663520">
      <w:pPr>
        <w:pStyle w:val="Rodap"/>
        <w:widowControl w:val="0"/>
        <w:tabs>
          <w:tab w:val="clear" w:pos="8504"/>
          <w:tab w:val="right" w:pos="8478"/>
        </w:tabs>
        <w:spacing w:after="0"/>
        <w:jc w:val="left"/>
        <w:rPr>
          <w:sz w:val="20"/>
          <w:szCs w:val="20"/>
          <w:lang w:val="en-US"/>
        </w:rPr>
      </w:pPr>
    </w:p>
    <w:p w14:paraId="02DD5CBF" w14:textId="77777777" w:rsidR="00FB03F5" w:rsidRPr="009F1EC3" w:rsidRDefault="00FB03F5" w:rsidP="00663520">
      <w:pPr>
        <w:pStyle w:val="Rodap"/>
        <w:widowControl w:val="0"/>
        <w:tabs>
          <w:tab w:val="clear" w:pos="8504"/>
          <w:tab w:val="right" w:pos="8478"/>
        </w:tabs>
        <w:spacing w:after="0"/>
        <w:jc w:val="left"/>
        <w:rPr>
          <w:sz w:val="20"/>
          <w:szCs w:val="20"/>
          <w:lang w:val="en-US"/>
        </w:rPr>
      </w:pPr>
    </w:p>
    <w:sectPr w:rsidR="00FB03F5" w:rsidRPr="009F1EC3">
      <w:headerReference w:type="default" r:id="rId13"/>
      <w:footerReference w:type="default" r:id="rId14"/>
      <w:pgSz w:w="11900" w:h="16840"/>
      <w:pgMar w:top="1985" w:right="1701" w:bottom="1702" w:left="1701" w:header="708" w:footer="3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2A163" w14:textId="77777777" w:rsidR="00795926" w:rsidRDefault="00795926">
      <w:r>
        <w:separator/>
      </w:r>
    </w:p>
  </w:endnote>
  <w:endnote w:type="continuationSeparator" w:id="0">
    <w:p w14:paraId="260A62D4" w14:textId="77777777" w:rsidR="00795926" w:rsidRDefault="00795926">
      <w:r>
        <w:continuationSeparator/>
      </w:r>
    </w:p>
  </w:endnote>
  <w:endnote w:type="continuationNotice" w:id="1">
    <w:p w14:paraId="3B337676" w14:textId="77777777" w:rsidR="00795926" w:rsidRDefault="007959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7C2A" w14:textId="47ED75F3" w:rsidR="007568DB" w:rsidRDefault="100EF4CE">
    <w:pPr>
      <w:pStyle w:val="Rodap"/>
      <w:tabs>
        <w:tab w:val="clear" w:pos="8504"/>
        <w:tab w:val="right" w:pos="8478"/>
      </w:tabs>
      <w:jc w:val="right"/>
    </w:pPr>
    <w:r>
      <w:t xml:space="preserve">   </w:t>
    </w:r>
    <w:r>
      <w:rPr>
        <w:noProof/>
      </w:rPr>
      <w:drawing>
        <wp:inline distT="0" distB="0" distL="0" distR="0" wp14:anchorId="28222123" wp14:editId="0C64A771">
          <wp:extent cx="1144270" cy="453507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270" cy="453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92D39" w14:textId="77777777" w:rsidR="00795926" w:rsidRDefault="00795926">
      <w:r>
        <w:separator/>
      </w:r>
    </w:p>
  </w:footnote>
  <w:footnote w:type="continuationSeparator" w:id="0">
    <w:p w14:paraId="68407DEB" w14:textId="77777777" w:rsidR="00795926" w:rsidRDefault="00795926">
      <w:r>
        <w:continuationSeparator/>
      </w:r>
    </w:p>
  </w:footnote>
  <w:footnote w:type="continuationNotice" w:id="1">
    <w:p w14:paraId="5C910686" w14:textId="77777777" w:rsidR="00795926" w:rsidRDefault="007959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901F" w14:textId="3017AA62" w:rsidR="007568DB" w:rsidRDefault="100EF4CE">
    <w:pPr>
      <w:pStyle w:val="Cabealho"/>
      <w:tabs>
        <w:tab w:val="clear" w:pos="8504"/>
        <w:tab w:val="right" w:pos="8478"/>
      </w:tabs>
    </w:pPr>
    <w:r>
      <w:rPr>
        <w:noProof/>
      </w:rPr>
      <w:drawing>
        <wp:inline distT="0" distB="0" distL="0" distR="0" wp14:anchorId="088AC153" wp14:editId="100EF4CE">
          <wp:extent cx="4749023" cy="9735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9023" cy="97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4B97"/>
    <w:multiLevelType w:val="hybridMultilevel"/>
    <w:tmpl w:val="0DC8FFB0"/>
    <w:numStyleLink w:val="ImportedStyle1"/>
  </w:abstractNum>
  <w:abstractNum w:abstractNumId="1" w15:restartNumberingAfterBreak="0">
    <w:nsid w:val="1E9C078D"/>
    <w:multiLevelType w:val="hybridMultilevel"/>
    <w:tmpl w:val="CC161F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73472A"/>
    <w:multiLevelType w:val="hybridMultilevel"/>
    <w:tmpl w:val="D026EE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994B49"/>
    <w:multiLevelType w:val="hybridMultilevel"/>
    <w:tmpl w:val="E838467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76CE9"/>
    <w:multiLevelType w:val="hybridMultilevel"/>
    <w:tmpl w:val="0DC8FFB0"/>
    <w:styleLink w:val="ImportedStyle1"/>
    <w:lvl w:ilvl="0" w:tplc="AF76E922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1" w:tplc="5792174A">
      <w:start w:val="1"/>
      <w:numFmt w:val="bullet"/>
      <w:lvlText w:val="o"/>
      <w:lvlJc w:val="left"/>
      <w:pPr>
        <w:ind w:left="86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2" w:tplc="C188071C">
      <w:start w:val="1"/>
      <w:numFmt w:val="bullet"/>
      <w:lvlText w:val="▪"/>
      <w:lvlJc w:val="left"/>
      <w:pPr>
        <w:ind w:left="158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3" w:tplc="36663C2C">
      <w:start w:val="1"/>
      <w:numFmt w:val="bullet"/>
      <w:lvlText w:val="·"/>
      <w:lvlJc w:val="left"/>
      <w:pPr>
        <w:ind w:left="2302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4" w:tplc="E9BC83A6">
      <w:start w:val="1"/>
      <w:numFmt w:val="bullet"/>
      <w:lvlText w:val="o"/>
      <w:lvlJc w:val="left"/>
      <w:pPr>
        <w:ind w:left="302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5" w:tplc="F404EA16">
      <w:start w:val="1"/>
      <w:numFmt w:val="bullet"/>
      <w:lvlText w:val="▪"/>
      <w:lvlJc w:val="left"/>
      <w:pPr>
        <w:ind w:left="374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6" w:tplc="02BA0FFA">
      <w:start w:val="1"/>
      <w:numFmt w:val="bullet"/>
      <w:lvlText w:val="·"/>
      <w:lvlJc w:val="left"/>
      <w:pPr>
        <w:ind w:left="4462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7" w:tplc="46EE7A20">
      <w:start w:val="1"/>
      <w:numFmt w:val="bullet"/>
      <w:lvlText w:val="o"/>
      <w:lvlJc w:val="left"/>
      <w:pPr>
        <w:ind w:left="518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8" w:tplc="9964374E">
      <w:start w:val="1"/>
      <w:numFmt w:val="bullet"/>
      <w:lvlText w:val="▪"/>
      <w:lvlJc w:val="left"/>
      <w:pPr>
        <w:ind w:left="590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4925E09"/>
    <w:multiLevelType w:val="hybridMultilevel"/>
    <w:tmpl w:val="9F4A61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F043B"/>
    <w:multiLevelType w:val="hybridMultilevel"/>
    <w:tmpl w:val="FDA429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B2E9C"/>
    <w:multiLevelType w:val="hybridMultilevel"/>
    <w:tmpl w:val="ADD4512C"/>
    <w:lvl w:ilvl="0" w:tplc="0816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1992295182">
    <w:abstractNumId w:val="4"/>
  </w:num>
  <w:num w:numId="2" w16cid:durableId="1434470561">
    <w:abstractNumId w:val="0"/>
  </w:num>
  <w:num w:numId="3" w16cid:durableId="1766345597">
    <w:abstractNumId w:val="3"/>
  </w:num>
  <w:num w:numId="4" w16cid:durableId="878708938">
    <w:abstractNumId w:val="2"/>
  </w:num>
  <w:num w:numId="5" w16cid:durableId="143353107">
    <w:abstractNumId w:val="5"/>
  </w:num>
  <w:num w:numId="6" w16cid:durableId="2079086124">
    <w:abstractNumId w:val="1"/>
  </w:num>
  <w:num w:numId="7" w16cid:durableId="43891078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39339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F09"/>
    <w:rsid w:val="00001A27"/>
    <w:rsid w:val="00001D73"/>
    <w:rsid w:val="000021F5"/>
    <w:rsid w:val="00002910"/>
    <w:rsid w:val="00002F68"/>
    <w:rsid w:val="00013FB6"/>
    <w:rsid w:val="00017F3D"/>
    <w:rsid w:val="000205B5"/>
    <w:rsid w:val="00020A0E"/>
    <w:rsid w:val="00022F5C"/>
    <w:rsid w:val="00023A86"/>
    <w:rsid w:val="00030EF4"/>
    <w:rsid w:val="00031886"/>
    <w:rsid w:val="00032126"/>
    <w:rsid w:val="000363A1"/>
    <w:rsid w:val="00037DD6"/>
    <w:rsid w:val="00041FC6"/>
    <w:rsid w:val="00045406"/>
    <w:rsid w:val="00046C14"/>
    <w:rsid w:val="00047DA1"/>
    <w:rsid w:val="0005069C"/>
    <w:rsid w:val="00053EC8"/>
    <w:rsid w:val="00055E01"/>
    <w:rsid w:val="00055EF1"/>
    <w:rsid w:val="000576C9"/>
    <w:rsid w:val="00057DBE"/>
    <w:rsid w:val="0006007E"/>
    <w:rsid w:val="0006111A"/>
    <w:rsid w:val="0006134D"/>
    <w:rsid w:val="000623BA"/>
    <w:rsid w:val="00062576"/>
    <w:rsid w:val="00064795"/>
    <w:rsid w:val="00064ACD"/>
    <w:rsid w:val="00067ECD"/>
    <w:rsid w:val="00070024"/>
    <w:rsid w:val="000743C5"/>
    <w:rsid w:val="00074E40"/>
    <w:rsid w:val="00076518"/>
    <w:rsid w:val="00080ED3"/>
    <w:rsid w:val="00082F84"/>
    <w:rsid w:val="000837FE"/>
    <w:rsid w:val="00085410"/>
    <w:rsid w:val="00086C76"/>
    <w:rsid w:val="00095221"/>
    <w:rsid w:val="00097FE3"/>
    <w:rsid w:val="000A07A0"/>
    <w:rsid w:val="000A283F"/>
    <w:rsid w:val="000B085A"/>
    <w:rsid w:val="000B21D3"/>
    <w:rsid w:val="000B52F4"/>
    <w:rsid w:val="000B643D"/>
    <w:rsid w:val="000B64B9"/>
    <w:rsid w:val="000B7F28"/>
    <w:rsid w:val="000C08DC"/>
    <w:rsid w:val="000C2283"/>
    <w:rsid w:val="000C2D26"/>
    <w:rsid w:val="000C3FD7"/>
    <w:rsid w:val="000D1BDB"/>
    <w:rsid w:val="000D3F2D"/>
    <w:rsid w:val="000D422C"/>
    <w:rsid w:val="000D57AE"/>
    <w:rsid w:val="000D6DEF"/>
    <w:rsid w:val="000D763F"/>
    <w:rsid w:val="000D7FE8"/>
    <w:rsid w:val="000E0564"/>
    <w:rsid w:val="000E075B"/>
    <w:rsid w:val="000E2881"/>
    <w:rsid w:val="000E3706"/>
    <w:rsid w:val="000E4E34"/>
    <w:rsid w:val="000E5A1B"/>
    <w:rsid w:val="000F1477"/>
    <w:rsid w:val="000F22EA"/>
    <w:rsid w:val="000F52C4"/>
    <w:rsid w:val="000F53A1"/>
    <w:rsid w:val="000F6E07"/>
    <w:rsid w:val="000F7C58"/>
    <w:rsid w:val="000F7F64"/>
    <w:rsid w:val="0010128B"/>
    <w:rsid w:val="00103E2E"/>
    <w:rsid w:val="0010467B"/>
    <w:rsid w:val="00104B37"/>
    <w:rsid w:val="00106119"/>
    <w:rsid w:val="00120F37"/>
    <w:rsid w:val="00121014"/>
    <w:rsid w:val="001215B7"/>
    <w:rsid w:val="00124012"/>
    <w:rsid w:val="00126A09"/>
    <w:rsid w:val="0013313F"/>
    <w:rsid w:val="00134437"/>
    <w:rsid w:val="001347A4"/>
    <w:rsid w:val="001349C1"/>
    <w:rsid w:val="00134AD5"/>
    <w:rsid w:val="00134DC8"/>
    <w:rsid w:val="001361C7"/>
    <w:rsid w:val="00136231"/>
    <w:rsid w:val="00141547"/>
    <w:rsid w:val="001426EB"/>
    <w:rsid w:val="001434B0"/>
    <w:rsid w:val="0014525C"/>
    <w:rsid w:val="00146D51"/>
    <w:rsid w:val="001473DD"/>
    <w:rsid w:val="0015045B"/>
    <w:rsid w:val="0015215B"/>
    <w:rsid w:val="0015310E"/>
    <w:rsid w:val="00155B72"/>
    <w:rsid w:val="00157EF5"/>
    <w:rsid w:val="001609F4"/>
    <w:rsid w:val="00161A7A"/>
    <w:rsid w:val="001643AE"/>
    <w:rsid w:val="00165E73"/>
    <w:rsid w:val="00166E29"/>
    <w:rsid w:val="00167117"/>
    <w:rsid w:val="00167AA8"/>
    <w:rsid w:val="00167C06"/>
    <w:rsid w:val="00171DDC"/>
    <w:rsid w:val="00176E2B"/>
    <w:rsid w:val="001802E8"/>
    <w:rsid w:val="0018031A"/>
    <w:rsid w:val="0018045E"/>
    <w:rsid w:val="001834AB"/>
    <w:rsid w:val="00183B60"/>
    <w:rsid w:val="001906A3"/>
    <w:rsid w:val="00194C10"/>
    <w:rsid w:val="001967F2"/>
    <w:rsid w:val="001A249B"/>
    <w:rsid w:val="001A74E6"/>
    <w:rsid w:val="001B1573"/>
    <w:rsid w:val="001B33BD"/>
    <w:rsid w:val="001B6471"/>
    <w:rsid w:val="001C4E66"/>
    <w:rsid w:val="001C4EE6"/>
    <w:rsid w:val="001C65ED"/>
    <w:rsid w:val="001C66B4"/>
    <w:rsid w:val="001D1BED"/>
    <w:rsid w:val="001D21DA"/>
    <w:rsid w:val="001D26B1"/>
    <w:rsid w:val="001D29FC"/>
    <w:rsid w:val="001D3A63"/>
    <w:rsid w:val="001D5137"/>
    <w:rsid w:val="001D54D7"/>
    <w:rsid w:val="001D6C0B"/>
    <w:rsid w:val="001E3DB5"/>
    <w:rsid w:val="001E7572"/>
    <w:rsid w:val="001E781B"/>
    <w:rsid w:val="001E7EEC"/>
    <w:rsid w:val="001F0856"/>
    <w:rsid w:val="001F1C92"/>
    <w:rsid w:val="001F24FC"/>
    <w:rsid w:val="00200E53"/>
    <w:rsid w:val="00202023"/>
    <w:rsid w:val="00202C56"/>
    <w:rsid w:val="00204161"/>
    <w:rsid w:val="00210FA0"/>
    <w:rsid w:val="00211482"/>
    <w:rsid w:val="00211D6D"/>
    <w:rsid w:val="002133BD"/>
    <w:rsid w:val="00214AAF"/>
    <w:rsid w:val="00220FB9"/>
    <w:rsid w:val="0022342B"/>
    <w:rsid w:val="00223A1F"/>
    <w:rsid w:val="00223FF3"/>
    <w:rsid w:val="00227AF9"/>
    <w:rsid w:val="00235354"/>
    <w:rsid w:val="00236464"/>
    <w:rsid w:val="00236AAF"/>
    <w:rsid w:val="00237496"/>
    <w:rsid w:val="00240618"/>
    <w:rsid w:val="0024077C"/>
    <w:rsid w:val="00240B98"/>
    <w:rsid w:val="002413C2"/>
    <w:rsid w:val="00241AD3"/>
    <w:rsid w:val="002425FB"/>
    <w:rsid w:val="00242748"/>
    <w:rsid w:val="002443F9"/>
    <w:rsid w:val="00245082"/>
    <w:rsid w:val="0024614F"/>
    <w:rsid w:val="002463BB"/>
    <w:rsid w:val="00252EC8"/>
    <w:rsid w:val="00253F95"/>
    <w:rsid w:val="00256880"/>
    <w:rsid w:val="002570AD"/>
    <w:rsid w:val="002604AA"/>
    <w:rsid w:val="00262846"/>
    <w:rsid w:val="002630D6"/>
    <w:rsid w:val="002646C9"/>
    <w:rsid w:val="0026523C"/>
    <w:rsid w:val="00267415"/>
    <w:rsid w:val="00270064"/>
    <w:rsid w:val="00273930"/>
    <w:rsid w:val="00275C04"/>
    <w:rsid w:val="00275FAC"/>
    <w:rsid w:val="00280B1A"/>
    <w:rsid w:val="00281C01"/>
    <w:rsid w:val="00285546"/>
    <w:rsid w:val="00285605"/>
    <w:rsid w:val="002857C6"/>
    <w:rsid w:val="002871F3"/>
    <w:rsid w:val="002938AD"/>
    <w:rsid w:val="00293BAA"/>
    <w:rsid w:val="00294FC1"/>
    <w:rsid w:val="0029582E"/>
    <w:rsid w:val="00295A23"/>
    <w:rsid w:val="00295EBC"/>
    <w:rsid w:val="002A0A65"/>
    <w:rsid w:val="002A4B00"/>
    <w:rsid w:val="002B09DF"/>
    <w:rsid w:val="002B0B4F"/>
    <w:rsid w:val="002B151E"/>
    <w:rsid w:val="002B4B89"/>
    <w:rsid w:val="002B7FA5"/>
    <w:rsid w:val="002C28EA"/>
    <w:rsid w:val="002C3BD3"/>
    <w:rsid w:val="002C4460"/>
    <w:rsid w:val="002D2D4D"/>
    <w:rsid w:val="002D449E"/>
    <w:rsid w:val="002D7DE4"/>
    <w:rsid w:val="002E6E08"/>
    <w:rsid w:val="002F12D8"/>
    <w:rsid w:val="002F2746"/>
    <w:rsid w:val="002F2D76"/>
    <w:rsid w:val="002F3EF1"/>
    <w:rsid w:val="003000CF"/>
    <w:rsid w:val="00310421"/>
    <w:rsid w:val="003120C3"/>
    <w:rsid w:val="003138CC"/>
    <w:rsid w:val="003139B7"/>
    <w:rsid w:val="00313F8F"/>
    <w:rsid w:val="00314481"/>
    <w:rsid w:val="003152BF"/>
    <w:rsid w:val="003178E8"/>
    <w:rsid w:val="00326C94"/>
    <w:rsid w:val="003305E2"/>
    <w:rsid w:val="0033152F"/>
    <w:rsid w:val="00334307"/>
    <w:rsid w:val="00335CD3"/>
    <w:rsid w:val="00343F71"/>
    <w:rsid w:val="00345AA9"/>
    <w:rsid w:val="00347601"/>
    <w:rsid w:val="00353972"/>
    <w:rsid w:val="003557AC"/>
    <w:rsid w:val="00356F68"/>
    <w:rsid w:val="003577D2"/>
    <w:rsid w:val="003674A3"/>
    <w:rsid w:val="00367B03"/>
    <w:rsid w:val="0037412F"/>
    <w:rsid w:val="00377502"/>
    <w:rsid w:val="00380D49"/>
    <w:rsid w:val="0038131E"/>
    <w:rsid w:val="00387B09"/>
    <w:rsid w:val="00390269"/>
    <w:rsid w:val="003946FB"/>
    <w:rsid w:val="00396538"/>
    <w:rsid w:val="00397617"/>
    <w:rsid w:val="003A01AE"/>
    <w:rsid w:val="003A114A"/>
    <w:rsid w:val="003A20C6"/>
    <w:rsid w:val="003A3EA2"/>
    <w:rsid w:val="003A6EDC"/>
    <w:rsid w:val="003B0EC7"/>
    <w:rsid w:val="003B51E1"/>
    <w:rsid w:val="003B5238"/>
    <w:rsid w:val="003C0E85"/>
    <w:rsid w:val="003C2694"/>
    <w:rsid w:val="003C3A9F"/>
    <w:rsid w:val="003C3E6E"/>
    <w:rsid w:val="003C56AB"/>
    <w:rsid w:val="003C6003"/>
    <w:rsid w:val="003D06F9"/>
    <w:rsid w:val="003D1580"/>
    <w:rsid w:val="003D5077"/>
    <w:rsid w:val="003D7C32"/>
    <w:rsid w:val="003E05AF"/>
    <w:rsid w:val="003E07BE"/>
    <w:rsid w:val="003E2074"/>
    <w:rsid w:val="003E4C69"/>
    <w:rsid w:val="003F16AF"/>
    <w:rsid w:val="003F3068"/>
    <w:rsid w:val="003F35FB"/>
    <w:rsid w:val="003F477B"/>
    <w:rsid w:val="003F58A3"/>
    <w:rsid w:val="003F7B16"/>
    <w:rsid w:val="0040101C"/>
    <w:rsid w:val="004018FE"/>
    <w:rsid w:val="00406808"/>
    <w:rsid w:val="004075FD"/>
    <w:rsid w:val="00407CC7"/>
    <w:rsid w:val="00410916"/>
    <w:rsid w:val="0041095C"/>
    <w:rsid w:val="00410D8B"/>
    <w:rsid w:val="004129DD"/>
    <w:rsid w:val="00413997"/>
    <w:rsid w:val="00414A33"/>
    <w:rsid w:val="0042202F"/>
    <w:rsid w:val="004222FA"/>
    <w:rsid w:val="00422D5E"/>
    <w:rsid w:val="00423EA2"/>
    <w:rsid w:val="00424DE8"/>
    <w:rsid w:val="00430B50"/>
    <w:rsid w:val="00431173"/>
    <w:rsid w:val="0043509C"/>
    <w:rsid w:val="00436832"/>
    <w:rsid w:val="004368AE"/>
    <w:rsid w:val="004377E2"/>
    <w:rsid w:val="0044208F"/>
    <w:rsid w:val="00446913"/>
    <w:rsid w:val="00447C8A"/>
    <w:rsid w:val="00447E47"/>
    <w:rsid w:val="00451DD2"/>
    <w:rsid w:val="00454DF7"/>
    <w:rsid w:val="00455BE9"/>
    <w:rsid w:val="00456CED"/>
    <w:rsid w:val="00456E51"/>
    <w:rsid w:val="00465130"/>
    <w:rsid w:val="004669AC"/>
    <w:rsid w:val="0046799A"/>
    <w:rsid w:val="00470565"/>
    <w:rsid w:val="00471DC2"/>
    <w:rsid w:val="00472D6D"/>
    <w:rsid w:val="004732CE"/>
    <w:rsid w:val="004751C4"/>
    <w:rsid w:val="00480BEE"/>
    <w:rsid w:val="00481CDC"/>
    <w:rsid w:val="00482F66"/>
    <w:rsid w:val="00483365"/>
    <w:rsid w:val="00484549"/>
    <w:rsid w:val="004847BC"/>
    <w:rsid w:val="00484A3F"/>
    <w:rsid w:val="00485A04"/>
    <w:rsid w:val="004863D8"/>
    <w:rsid w:val="00487AB2"/>
    <w:rsid w:val="00492255"/>
    <w:rsid w:val="00492282"/>
    <w:rsid w:val="004922EA"/>
    <w:rsid w:val="004923C9"/>
    <w:rsid w:val="004926D0"/>
    <w:rsid w:val="00492DE3"/>
    <w:rsid w:val="00495E1A"/>
    <w:rsid w:val="00497087"/>
    <w:rsid w:val="004979F7"/>
    <w:rsid w:val="004A09BB"/>
    <w:rsid w:val="004A4BEC"/>
    <w:rsid w:val="004A6F18"/>
    <w:rsid w:val="004A7F30"/>
    <w:rsid w:val="004B2B1C"/>
    <w:rsid w:val="004B2DE7"/>
    <w:rsid w:val="004B33B2"/>
    <w:rsid w:val="004B52C5"/>
    <w:rsid w:val="004B5FAA"/>
    <w:rsid w:val="004C056A"/>
    <w:rsid w:val="004C19B1"/>
    <w:rsid w:val="004C3651"/>
    <w:rsid w:val="004D7925"/>
    <w:rsid w:val="004F3AE2"/>
    <w:rsid w:val="004F3B0A"/>
    <w:rsid w:val="004F4B7B"/>
    <w:rsid w:val="004F5BE3"/>
    <w:rsid w:val="004F6E83"/>
    <w:rsid w:val="005009E2"/>
    <w:rsid w:val="005036B5"/>
    <w:rsid w:val="00503822"/>
    <w:rsid w:val="00503D8C"/>
    <w:rsid w:val="005046DF"/>
    <w:rsid w:val="005054DA"/>
    <w:rsid w:val="00506254"/>
    <w:rsid w:val="00507396"/>
    <w:rsid w:val="005075C1"/>
    <w:rsid w:val="005115DA"/>
    <w:rsid w:val="0051174B"/>
    <w:rsid w:val="00511FC0"/>
    <w:rsid w:val="00515FD6"/>
    <w:rsid w:val="0051695E"/>
    <w:rsid w:val="0051765C"/>
    <w:rsid w:val="00517D80"/>
    <w:rsid w:val="0052216A"/>
    <w:rsid w:val="005253A1"/>
    <w:rsid w:val="005265FC"/>
    <w:rsid w:val="00527BDA"/>
    <w:rsid w:val="00530146"/>
    <w:rsid w:val="0053346A"/>
    <w:rsid w:val="00533542"/>
    <w:rsid w:val="00533E8E"/>
    <w:rsid w:val="005353F1"/>
    <w:rsid w:val="00547D92"/>
    <w:rsid w:val="005532D3"/>
    <w:rsid w:val="00560715"/>
    <w:rsid w:val="0056131B"/>
    <w:rsid w:val="00565F86"/>
    <w:rsid w:val="00566FC4"/>
    <w:rsid w:val="00574F70"/>
    <w:rsid w:val="00581297"/>
    <w:rsid w:val="00581304"/>
    <w:rsid w:val="0058549D"/>
    <w:rsid w:val="00585886"/>
    <w:rsid w:val="00585D49"/>
    <w:rsid w:val="00587747"/>
    <w:rsid w:val="005923D5"/>
    <w:rsid w:val="0059298B"/>
    <w:rsid w:val="00595880"/>
    <w:rsid w:val="0059617E"/>
    <w:rsid w:val="00596420"/>
    <w:rsid w:val="00597CA0"/>
    <w:rsid w:val="005A36FD"/>
    <w:rsid w:val="005A4AB9"/>
    <w:rsid w:val="005A580B"/>
    <w:rsid w:val="005A6617"/>
    <w:rsid w:val="005A6A2B"/>
    <w:rsid w:val="005A7953"/>
    <w:rsid w:val="005B05D5"/>
    <w:rsid w:val="005B11D7"/>
    <w:rsid w:val="005B15DD"/>
    <w:rsid w:val="005B2F4D"/>
    <w:rsid w:val="005B3B76"/>
    <w:rsid w:val="005B41F7"/>
    <w:rsid w:val="005B4276"/>
    <w:rsid w:val="005B44A0"/>
    <w:rsid w:val="005B47DE"/>
    <w:rsid w:val="005B6FA7"/>
    <w:rsid w:val="005B7497"/>
    <w:rsid w:val="005C137D"/>
    <w:rsid w:val="005C17FC"/>
    <w:rsid w:val="005C546D"/>
    <w:rsid w:val="005C6072"/>
    <w:rsid w:val="005C6833"/>
    <w:rsid w:val="005D0313"/>
    <w:rsid w:val="005D2550"/>
    <w:rsid w:val="005D48F8"/>
    <w:rsid w:val="005D4C45"/>
    <w:rsid w:val="005D4E4E"/>
    <w:rsid w:val="005D7328"/>
    <w:rsid w:val="005E1964"/>
    <w:rsid w:val="005E2D18"/>
    <w:rsid w:val="005E331E"/>
    <w:rsid w:val="005E36F3"/>
    <w:rsid w:val="005E7B40"/>
    <w:rsid w:val="005F5DB1"/>
    <w:rsid w:val="005F75E5"/>
    <w:rsid w:val="005F763A"/>
    <w:rsid w:val="00600768"/>
    <w:rsid w:val="00600CDE"/>
    <w:rsid w:val="006105B8"/>
    <w:rsid w:val="0061085E"/>
    <w:rsid w:val="00613191"/>
    <w:rsid w:val="0061435B"/>
    <w:rsid w:val="00615669"/>
    <w:rsid w:val="00615A2E"/>
    <w:rsid w:val="0061646C"/>
    <w:rsid w:val="00617E39"/>
    <w:rsid w:val="0062020B"/>
    <w:rsid w:val="006203BE"/>
    <w:rsid w:val="00623336"/>
    <w:rsid w:val="00623F0F"/>
    <w:rsid w:val="0062587D"/>
    <w:rsid w:val="00627CAF"/>
    <w:rsid w:val="00630BEA"/>
    <w:rsid w:val="00631545"/>
    <w:rsid w:val="00631D4D"/>
    <w:rsid w:val="0063222A"/>
    <w:rsid w:val="006339E2"/>
    <w:rsid w:val="0063660C"/>
    <w:rsid w:val="00637131"/>
    <w:rsid w:val="006408DC"/>
    <w:rsid w:val="00641AE5"/>
    <w:rsid w:val="00642790"/>
    <w:rsid w:val="00646175"/>
    <w:rsid w:val="00646D20"/>
    <w:rsid w:val="00646D68"/>
    <w:rsid w:val="00646EAC"/>
    <w:rsid w:val="00652BE4"/>
    <w:rsid w:val="006546D2"/>
    <w:rsid w:val="00657248"/>
    <w:rsid w:val="00660159"/>
    <w:rsid w:val="00660912"/>
    <w:rsid w:val="00663520"/>
    <w:rsid w:val="00665969"/>
    <w:rsid w:val="006659C7"/>
    <w:rsid w:val="00670852"/>
    <w:rsid w:val="00671CF2"/>
    <w:rsid w:val="00672447"/>
    <w:rsid w:val="0067351B"/>
    <w:rsid w:val="00674AC4"/>
    <w:rsid w:val="0068115B"/>
    <w:rsid w:val="00686DE8"/>
    <w:rsid w:val="00694652"/>
    <w:rsid w:val="00694C8A"/>
    <w:rsid w:val="00695969"/>
    <w:rsid w:val="006A03D6"/>
    <w:rsid w:val="006A3763"/>
    <w:rsid w:val="006B13B0"/>
    <w:rsid w:val="006B4349"/>
    <w:rsid w:val="006B4559"/>
    <w:rsid w:val="006B4D07"/>
    <w:rsid w:val="006B79D7"/>
    <w:rsid w:val="006C27EE"/>
    <w:rsid w:val="006C2DF1"/>
    <w:rsid w:val="006C5E6F"/>
    <w:rsid w:val="006C6069"/>
    <w:rsid w:val="006C7711"/>
    <w:rsid w:val="006C7E2F"/>
    <w:rsid w:val="006D03B5"/>
    <w:rsid w:val="006D0856"/>
    <w:rsid w:val="006D3C06"/>
    <w:rsid w:val="006D6A69"/>
    <w:rsid w:val="006D6C64"/>
    <w:rsid w:val="006E067E"/>
    <w:rsid w:val="006E0C44"/>
    <w:rsid w:val="006E1D9D"/>
    <w:rsid w:val="006E2343"/>
    <w:rsid w:val="006E52EE"/>
    <w:rsid w:val="006E643D"/>
    <w:rsid w:val="006F17DA"/>
    <w:rsid w:val="006F197A"/>
    <w:rsid w:val="006F39A4"/>
    <w:rsid w:val="006F6244"/>
    <w:rsid w:val="00701CF2"/>
    <w:rsid w:val="007024F6"/>
    <w:rsid w:val="0070379E"/>
    <w:rsid w:val="007041FE"/>
    <w:rsid w:val="007050D9"/>
    <w:rsid w:val="00706400"/>
    <w:rsid w:val="00706A10"/>
    <w:rsid w:val="00707072"/>
    <w:rsid w:val="007072BA"/>
    <w:rsid w:val="00707752"/>
    <w:rsid w:val="00711F57"/>
    <w:rsid w:val="00712928"/>
    <w:rsid w:val="00712AC7"/>
    <w:rsid w:val="00712B2F"/>
    <w:rsid w:val="007139E2"/>
    <w:rsid w:val="00716226"/>
    <w:rsid w:val="007211D7"/>
    <w:rsid w:val="00724085"/>
    <w:rsid w:val="00726F65"/>
    <w:rsid w:val="00732043"/>
    <w:rsid w:val="00735E86"/>
    <w:rsid w:val="00736AE4"/>
    <w:rsid w:val="00742B34"/>
    <w:rsid w:val="00743E95"/>
    <w:rsid w:val="00743EE0"/>
    <w:rsid w:val="00744B4D"/>
    <w:rsid w:val="00750D4E"/>
    <w:rsid w:val="00750F06"/>
    <w:rsid w:val="00753779"/>
    <w:rsid w:val="00754481"/>
    <w:rsid w:val="0075501C"/>
    <w:rsid w:val="00755509"/>
    <w:rsid w:val="007568DB"/>
    <w:rsid w:val="00762F48"/>
    <w:rsid w:val="00764788"/>
    <w:rsid w:val="00771221"/>
    <w:rsid w:val="00772085"/>
    <w:rsid w:val="007731F4"/>
    <w:rsid w:val="00773FC2"/>
    <w:rsid w:val="00781C87"/>
    <w:rsid w:val="00782CC1"/>
    <w:rsid w:val="007859C7"/>
    <w:rsid w:val="00786057"/>
    <w:rsid w:val="00786F93"/>
    <w:rsid w:val="00795926"/>
    <w:rsid w:val="007A2332"/>
    <w:rsid w:val="007A30E5"/>
    <w:rsid w:val="007A3387"/>
    <w:rsid w:val="007A353C"/>
    <w:rsid w:val="007A610B"/>
    <w:rsid w:val="007B1964"/>
    <w:rsid w:val="007B5DE8"/>
    <w:rsid w:val="007C0697"/>
    <w:rsid w:val="007C1B23"/>
    <w:rsid w:val="007C243A"/>
    <w:rsid w:val="007C47CA"/>
    <w:rsid w:val="007C5B71"/>
    <w:rsid w:val="007C6AB1"/>
    <w:rsid w:val="007D1D7F"/>
    <w:rsid w:val="007D22C6"/>
    <w:rsid w:val="007D33FB"/>
    <w:rsid w:val="007D3D39"/>
    <w:rsid w:val="007D5A01"/>
    <w:rsid w:val="007D7098"/>
    <w:rsid w:val="007D759E"/>
    <w:rsid w:val="007E2907"/>
    <w:rsid w:val="007E5FF6"/>
    <w:rsid w:val="007F0613"/>
    <w:rsid w:val="007F10B8"/>
    <w:rsid w:val="007F31D2"/>
    <w:rsid w:val="007F36B5"/>
    <w:rsid w:val="007F66C1"/>
    <w:rsid w:val="007F7840"/>
    <w:rsid w:val="008004E2"/>
    <w:rsid w:val="008017B8"/>
    <w:rsid w:val="00801AF4"/>
    <w:rsid w:val="0080290A"/>
    <w:rsid w:val="008045B1"/>
    <w:rsid w:val="00804C38"/>
    <w:rsid w:val="00804C79"/>
    <w:rsid w:val="00804F0D"/>
    <w:rsid w:val="00805F09"/>
    <w:rsid w:val="00807CFC"/>
    <w:rsid w:val="0081146A"/>
    <w:rsid w:val="00812750"/>
    <w:rsid w:val="00812C12"/>
    <w:rsid w:val="00812EF8"/>
    <w:rsid w:val="008139F1"/>
    <w:rsid w:val="008150FA"/>
    <w:rsid w:val="0082237F"/>
    <w:rsid w:val="0082324C"/>
    <w:rsid w:val="0082455B"/>
    <w:rsid w:val="00825E8B"/>
    <w:rsid w:val="008271EA"/>
    <w:rsid w:val="00830F91"/>
    <w:rsid w:val="008330F5"/>
    <w:rsid w:val="00833654"/>
    <w:rsid w:val="0083479C"/>
    <w:rsid w:val="00834B19"/>
    <w:rsid w:val="00835F3C"/>
    <w:rsid w:val="00836C0E"/>
    <w:rsid w:val="00836E9D"/>
    <w:rsid w:val="00842D7B"/>
    <w:rsid w:val="00846D9F"/>
    <w:rsid w:val="00850DEE"/>
    <w:rsid w:val="0085123F"/>
    <w:rsid w:val="008513E1"/>
    <w:rsid w:val="0085609D"/>
    <w:rsid w:val="00860180"/>
    <w:rsid w:val="008623B4"/>
    <w:rsid w:val="00864092"/>
    <w:rsid w:val="008646BD"/>
    <w:rsid w:val="00864B24"/>
    <w:rsid w:val="008675D4"/>
    <w:rsid w:val="00873AF4"/>
    <w:rsid w:val="00876447"/>
    <w:rsid w:val="00876841"/>
    <w:rsid w:val="00877959"/>
    <w:rsid w:val="00880EA3"/>
    <w:rsid w:val="00885A9C"/>
    <w:rsid w:val="00885E26"/>
    <w:rsid w:val="00890F8D"/>
    <w:rsid w:val="008915BC"/>
    <w:rsid w:val="00891FC1"/>
    <w:rsid w:val="00892043"/>
    <w:rsid w:val="0089374C"/>
    <w:rsid w:val="008942CC"/>
    <w:rsid w:val="00896050"/>
    <w:rsid w:val="008977B1"/>
    <w:rsid w:val="008A3EF0"/>
    <w:rsid w:val="008A5165"/>
    <w:rsid w:val="008A6B49"/>
    <w:rsid w:val="008B0123"/>
    <w:rsid w:val="008B196B"/>
    <w:rsid w:val="008B1E28"/>
    <w:rsid w:val="008B22DB"/>
    <w:rsid w:val="008B3304"/>
    <w:rsid w:val="008B3DEA"/>
    <w:rsid w:val="008B6AD7"/>
    <w:rsid w:val="008C1059"/>
    <w:rsid w:val="008C1933"/>
    <w:rsid w:val="008C27A5"/>
    <w:rsid w:val="008C2E2D"/>
    <w:rsid w:val="008C62BD"/>
    <w:rsid w:val="008C6A86"/>
    <w:rsid w:val="008C71DE"/>
    <w:rsid w:val="008C75F6"/>
    <w:rsid w:val="008D0E57"/>
    <w:rsid w:val="008D1A8A"/>
    <w:rsid w:val="008D1EBA"/>
    <w:rsid w:val="008D3917"/>
    <w:rsid w:val="008D40B3"/>
    <w:rsid w:val="008D468E"/>
    <w:rsid w:val="008D5DC0"/>
    <w:rsid w:val="008E277E"/>
    <w:rsid w:val="008E5E53"/>
    <w:rsid w:val="008E6D70"/>
    <w:rsid w:val="008E799E"/>
    <w:rsid w:val="008F019E"/>
    <w:rsid w:val="008F1A13"/>
    <w:rsid w:val="008F2358"/>
    <w:rsid w:val="008F3AB0"/>
    <w:rsid w:val="008F4929"/>
    <w:rsid w:val="008F6F3C"/>
    <w:rsid w:val="009046E8"/>
    <w:rsid w:val="009102D8"/>
    <w:rsid w:val="00911237"/>
    <w:rsid w:val="00911320"/>
    <w:rsid w:val="00913EB7"/>
    <w:rsid w:val="009149D6"/>
    <w:rsid w:val="00914D2F"/>
    <w:rsid w:val="00916A21"/>
    <w:rsid w:val="009266DF"/>
    <w:rsid w:val="00926D69"/>
    <w:rsid w:val="00927A3B"/>
    <w:rsid w:val="009357EC"/>
    <w:rsid w:val="00935967"/>
    <w:rsid w:val="00940015"/>
    <w:rsid w:val="00945515"/>
    <w:rsid w:val="009457E4"/>
    <w:rsid w:val="00945826"/>
    <w:rsid w:val="0094767F"/>
    <w:rsid w:val="00950044"/>
    <w:rsid w:val="00953720"/>
    <w:rsid w:val="00955033"/>
    <w:rsid w:val="00956A80"/>
    <w:rsid w:val="00961EB7"/>
    <w:rsid w:val="00962C8E"/>
    <w:rsid w:val="009631EC"/>
    <w:rsid w:val="009650BB"/>
    <w:rsid w:val="00965593"/>
    <w:rsid w:val="00965B7F"/>
    <w:rsid w:val="00970B69"/>
    <w:rsid w:val="00972857"/>
    <w:rsid w:val="009772DB"/>
    <w:rsid w:val="00977FA1"/>
    <w:rsid w:val="009802BC"/>
    <w:rsid w:val="0098130D"/>
    <w:rsid w:val="009815BB"/>
    <w:rsid w:val="00984EF9"/>
    <w:rsid w:val="009874C2"/>
    <w:rsid w:val="00991B0C"/>
    <w:rsid w:val="0099292E"/>
    <w:rsid w:val="00994E40"/>
    <w:rsid w:val="00996108"/>
    <w:rsid w:val="00997014"/>
    <w:rsid w:val="00997A76"/>
    <w:rsid w:val="009A4E72"/>
    <w:rsid w:val="009A7039"/>
    <w:rsid w:val="009B0377"/>
    <w:rsid w:val="009B1106"/>
    <w:rsid w:val="009B45CD"/>
    <w:rsid w:val="009B51B1"/>
    <w:rsid w:val="009B652B"/>
    <w:rsid w:val="009B66A2"/>
    <w:rsid w:val="009B736F"/>
    <w:rsid w:val="009B7642"/>
    <w:rsid w:val="009B797D"/>
    <w:rsid w:val="009C1815"/>
    <w:rsid w:val="009C1DD4"/>
    <w:rsid w:val="009C2CAE"/>
    <w:rsid w:val="009C3985"/>
    <w:rsid w:val="009C4826"/>
    <w:rsid w:val="009C5BBB"/>
    <w:rsid w:val="009C7F87"/>
    <w:rsid w:val="009D4FD5"/>
    <w:rsid w:val="009D5903"/>
    <w:rsid w:val="009E166E"/>
    <w:rsid w:val="009F0AE8"/>
    <w:rsid w:val="009F1598"/>
    <w:rsid w:val="009F1EC3"/>
    <w:rsid w:val="009F383E"/>
    <w:rsid w:val="009F3993"/>
    <w:rsid w:val="009F4FD3"/>
    <w:rsid w:val="00A001E0"/>
    <w:rsid w:val="00A03E9C"/>
    <w:rsid w:val="00A05614"/>
    <w:rsid w:val="00A05DD1"/>
    <w:rsid w:val="00A07750"/>
    <w:rsid w:val="00A10B69"/>
    <w:rsid w:val="00A115B2"/>
    <w:rsid w:val="00A121EB"/>
    <w:rsid w:val="00A14394"/>
    <w:rsid w:val="00A15641"/>
    <w:rsid w:val="00A158F0"/>
    <w:rsid w:val="00A179EE"/>
    <w:rsid w:val="00A20E2B"/>
    <w:rsid w:val="00A20E70"/>
    <w:rsid w:val="00A250E9"/>
    <w:rsid w:val="00A25F2B"/>
    <w:rsid w:val="00A267C9"/>
    <w:rsid w:val="00A27021"/>
    <w:rsid w:val="00A27CBB"/>
    <w:rsid w:val="00A35D14"/>
    <w:rsid w:val="00A36A63"/>
    <w:rsid w:val="00A40957"/>
    <w:rsid w:val="00A43098"/>
    <w:rsid w:val="00A434A5"/>
    <w:rsid w:val="00A43D68"/>
    <w:rsid w:val="00A453FD"/>
    <w:rsid w:val="00A45BC6"/>
    <w:rsid w:val="00A4642D"/>
    <w:rsid w:val="00A47A25"/>
    <w:rsid w:val="00A53BBD"/>
    <w:rsid w:val="00A545FD"/>
    <w:rsid w:val="00A55A63"/>
    <w:rsid w:val="00A60770"/>
    <w:rsid w:val="00A63F18"/>
    <w:rsid w:val="00A677D5"/>
    <w:rsid w:val="00A67E4C"/>
    <w:rsid w:val="00A72DAD"/>
    <w:rsid w:val="00A74C83"/>
    <w:rsid w:val="00A83BD4"/>
    <w:rsid w:val="00A85CDD"/>
    <w:rsid w:val="00A868EA"/>
    <w:rsid w:val="00A9099C"/>
    <w:rsid w:val="00A914EB"/>
    <w:rsid w:val="00A91594"/>
    <w:rsid w:val="00A9257B"/>
    <w:rsid w:val="00A9295D"/>
    <w:rsid w:val="00A93363"/>
    <w:rsid w:val="00A94752"/>
    <w:rsid w:val="00A94F0E"/>
    <w:rsid w:val="00A951DE"/>
    <w:rsid w:val="00A95379"/>
    <w:rsid w:val="00A9764E"/>
    <w:rsid w:val="00AA24D3"/>
    <w:rsid w:val="00AA3E07"/>
    <w:rsid w:val="00AA404B"/>
    <w:rsid w:val="00AA45CB"/>
    <w:rsid w:val="00AA497A"/>
    <w:rsid w:val="00AA4C5B"/>
    <w:rsid w:val="00AA54E0"/>
    <w:rsid w:val="00AB07D3"/>
    <w:rsid w:val="00AB0BDF"/>
    <w:rsid w:val="00AB1214"/>
    <w:rsid w:val="00AB3244"/>
    <w:rsid w:val="00AB5510"/>
    <w:rsid w:val="00AB56A3"/>
    <w:rsid w:val="00AB5EE4"/>
    <w:rsid w:val="00AB6055"/>
    <w:rsid w:val="00AC1302"/>
    <w:rsid w:val="00AD34A2"/>
    <w:rsid w:val="00AD5F5F"/>
    <w:rsid w:val="00AD7804"/>
    <w:rsid w:val="00AE008D"/>
    <w:rsid w:val="00AE5244"/>
    <w:rsid w:val="00AF01E2"/>
    <w:rsid w:val="00AF0659"/>
    <w:rsid w:val="00AF4986"/>
    <w:rsid w:val="00B04AF7"/>
    <w:rsid w:val="00B04C14"/>
    <w:rsid w:val="00B052AA"/>
    <w:rsid w:val="00B072EA"/>
    <w:rsid w:val="00B07DD2"/>
    <w:rsid w:val="00B1039E"/>
    <w:rsid w:val="00B10E70"/>
    <w:rsid w:val="00B10F02"/>
    <w:rsid w:val="00B11175"/>
    <w:rsid w:val="00B14519"/>
    <w:rsid w:val="00B17C3D"/>
    <w:rsid w:val="00B308DE"/>
    <w:rsid w:val="00B317EB"/>
    <w:rsid w:val="00B32BB7"/>
    <w:rsid w:val="00B3345E"/>
    <w:rsid w:val="00B34837"/>
    <w:rsid w:val="00B34A24"/>
    <w:rsid w:val="00B372CD"/>
    <w:rsid w:val="00B404BC"/>
    <w:rsid w:val="00B40E20"/>
    <w:rsid w:val="00B41851"/>
    <w:rsid w:val="00B43048"/>
    <w:rsid w:val="00B460FE"/>
    <w:rsid w:val="00B516FA"/>
    <w:rsid w:val="00B517E8"/>
    <w:rsid w:val="00B57F4F"/>
    <w:rsid w:val="00B653EE"/>
    <w:rsid w:val="00B66ECE"/>
    <w:rsid w:val="00B710B2"/>
    <w:rsid w:val="00B718C1"/>
    <w:rsid w:val="00B72636"/>
    <w:rsid w:val="00B72D46"/>
    <w:rsid w:val="00B74A2B"/>
    <w:rsid w:val="00B764C3"/>
    <w:rsid w:val="00B77B0E"/>
    <w:rsid w:val="00B803BA"/>
    <w:rsid w:val="00B818B6"/>
    <w:rsid w:val="00B820A9"/>
    <w:rsid w:val="00B83660"/>
    <w:rsid w:val="00B84898"/>
    <w:rsid w:val="00B8559F"/>
    <w:rsid w:val="00B85AEF"/>
    <w:rsid w:val="00B86832"/>
    <w:rsid w:val="00B92BDB"/>
    <w:rsid w:val="00B93431"/>
    <w:rsid w:val="00B93EC7"/>
    <w:rsid w:val="00B9464C"/>
    <w:rsid w:val="00B95DF3"/>
    <w:rsid w:val="00B96EC9"/>
    <w:rsid w:val="00B978BC"/>
    <w:rsid w:val="00B978F6"/>
    <w:rsid w:val="00BA102B"/>
    <w:rsid w:val="00BA13A0"/>
    <w:rsid w:val="00BB0C5F"/>
    <w:rsid w:val="00BB0D53"/>
    <w:rsid w:val="00BB3AD0"/>
    <w:rsid w:val="00BB55FE"/>
    <w:rsid w:val="00BC1299"/>
    <w:rsid w:val="00BC135A"/>
    <w:rsid w:val="00BC1504"/>
    <w:rsid w:val="00BC27BA"/>
    <w:rsid w:val="00BC402E"/>
    <w:rsid w:val="00BC4FDA"/>
    <w:rsid w:val="00BC591F"/>
    <w:rsid w:val="00BC6855"/>
    <w:rsid w:val="00BC698D"/>
    <w:rsid w:val="00BD13D1"/>
    <w:rsid w:val="00BD1877"/>
    <w:rsid w:val="00BE050C"/>
    <w:rsid w:val="00BE1056"/>
    <w:rsid w:val="00BE6CC6"/>
    <w:rsid w:val="00BE7443"/>
    <w:rsid w:val="00BF559D"/>
    <w:rsid w:val="00BF59EF"/>
    <w:rsid w:val="00BF67CF"/>
    <w:rsid w:val="00BF7044"/>
    <w:rsid w:val="00C010E2"/>
    <w:rsid w:val="00C0255D"/>
    <w:rsid w:val="00C02CB9"/>
    <w:rsid w:val="00C043D0"/>
    <w:rsid w:val="00C04CEE"/>
    <w:rsid w:val="00C05179"/>
    <w:rsid w:val="00C05A88"/>
    <w:rsid w:val="00C05FB1"/>
    <w:rsid w:val="00C06E06"/>
    <w:rsid w:val="00C07720"/>
    <w:rsid w:val="00C12B31"/>
    <w:rsid w:val="00C130FB"/>
    <w:rsid w:val="00C15987"/>
    <w:rsid w:val="00C1687E"/>
    <w:rsid w:val="00C16C6B"/>
    <w:rsid w:val="00C20B5B"/>
    <w:rsid w:val="00C22B52"/>
    <w:rsid w:val="00C25508"/>
    <w:rsid w:val="00C2655D"/>
    <w:rsid w:val="00C26926"/>
    <w:rsid w:val="00C272CC"/>
    <w:rsid w:val="00C27F64"/>
    <w:rsid w:val="00C31DE4"/>
    <w:rsid w:val="00C32E93"/>
    <w:rsid w:val="00C34D18"/>
    <w:rsid w:val="00C34F69"/>
    <w:rsid w:val="00C3529A"/>
    <w:rsid w:val="00C371CC"/>
    <w:rsid w:val="00C40583"/>
    <w:rsid w:val="00C41B45"/>
    <w:rsid w:val="00C44CA5"/>
    <w:rsid w:val="00C4607D"/>
    <w:rsid w:val="00C46159"/>
    <w:rsid w:val="00C471BC"/>
    <w:rsid w:val="00C50017"/>
    <w:rsid w:val="00C51023"/>
    <w:rsid w:val="00C52325"/>
    <w:rsid w:val="00C55DC9"/>
    <w:rsid w:val="00C57D11"/>
    <w:rsid w:val="00C57DF3"/>
    <w:rsid w:val="00C61763"/>
    <w:rsid w:val="00C61BAA"/>
    <w:rsid w:val="00C62054"/>
    <w:rsid w:val="00C622A5"/>
    <w:rsid w:val="00C6551C"/>
    <w:rsid w:val="00C66BF2"/>
    <w:rsid w:val="00C6759C"/>
    <w:rsid w:val="00C676B9"/>
    <w:rsid w:val="00C71C9F"/>
    <w:rsid w:val="00C734EA"/>
    <w:rsid w:val="00C75AC0"/>
    <w:rsid w:val="00C77595"/>
    <w:rsid w:val="00C85A4E"/>
    <w:rsid w:val="00C866D8"/>
    <w:rsid w:val="00C921B9"/>
    <w:rsid w:val="00C94519"/>
    <w:rsid w:val="00C951C3"/>
    <w:rsid w:val="00C9653D"/>
    <w:rsid w:val="00C96E0B"/>
    <w:rsid w:val="00CA23B9"/>
    <w:rsid w:val="00CA3B83"/>
    <w:rsid w:val="00CA698E"/>
    <w:rsid w:val="00CA6CD2"/>
    <w:rsid w:val="00CB2C68"/>
    <w:rsid w:val="00CB5BE3"/>
    <w:rsid w:val="00CB622D"/>
    <w:rsid w:val="00CB652A"/>
    <w:rsid w:val="00CC0BCB"/>
    <w:rsid w:val="00CC28C7"/>
    <w:rsid w:val="00CD173B"/>
    <w:rsid w:val="00CD2074"/>
    <w:rsid w:val="00CD31C4"/>
    <w:rsid w:val="00CD3BB1"/>
    <w:rsid w:val="00CD53D0"/>
    <w:rsid w:val="00CD629B"/>
    <w:rsid w:val="00CD6725"/>
    <w:rsid w:val="00CD7E6E"/>
    <w:rsid w:val="00CE2BB2"/>
    <w:rsid w:val="00CE5E87"/>
    <w:rsid w:val="00CE618E"/>
    <w:rsid w:val="00CF1DCA"/>
    <w:rsid w:val="00CF2233"/>
    <w:rsid w:val="00CF2A94"/>
    <w:rsid w:val="00CF72E0"/>
    <w:rsid w:val="00D00CDB"/>
    <w:rsid w:val="00D011A3"/>
    <w:rsid w:val="00D026AE"/>
    <w:rsid w:val="00D05932"/>
    <w:rsid w:val="00D0599F"/>
    <w:rsid w:val="00D066E7"/>
    <w:rsid w:val="00D06E6D"/>
    <w:rsid w:val="00D11F44"/>
    <w:rsid w:val="00D146B1"/>
    <w:rsid w:val="00D15491"/>
    <w:rsid w:val="00D179DB"/>
    <w:rsid w:val="00D217A4"/>
    <w:rsid w:val="00D23E13"/>
    <w:rsid w:val="00D241C9"/>
    <w:rsid w:val="00D25090"/>
    <w:rsid w:val="00D27EE7"/>
    <w:rsid w:val="00D30FC9"/>
    <w:rsid w:val="00D3148C"/>
    <w:rsid w:val="00D31EE2"/>
    <w:rsid w:val="00D3431A"/>
    <w:rsid w:val="00D34D42"/>
    <w:rsid w:val="00D37DE4"/>
    <w:rsid w:val="00D402EB"/>
    <w:rsid w:val="00D43BD0"/>
    <w:rsid w:val="00D45F66"/>
    <w:rsid w:val="00D4656E"/>
    <w:rsid w:val="00D521C4"/>
    <w:rsid w:val="00D53BD7"/>
    <w:rsid w:val="00D54E42"/>
    <w:rsid w:val="00D55C9C"/>
    <w:rsid w:val="00D60C83"/>
    <w:rsid w:val="00D62EAA"/>
    <w:rsid w:val="00D64A5D"/>
    <w:rsid w:val="00D65289"/>
    <w:rsid w:val="00D66576"/>
    <w:rsid w:val="00D67BF5"/>
    <w:rsid w:val="00D70232"/>
    <w:rsid w:val="00D718E8"/>
    <w:rsid w:val="00D732F2"/>
    <w:rsid w:val="00D7354D"/>
    <w:rsid w:val="00D739DC"/>
    <w:rsid w:val="00D73B28"/>
    <w:rsid w:val="00D8129C"/>
    <w:rsid w:val="00D82307"/>
    <w:rsid w:val="00D8284A"/>
    <w:rsid w:val="00D872C3"/>
    <w:rsid w:val="00D929D7"/>
    <w:rsid w:val="00D94EBF"/>
    <w:rsid w:val="00D96822"/>
    <w:rsid w:val="00DA01D3"/>
    <w:rsid w:val="00DA0E36"/>
    <w:rsid w:val="00DA1493"/>
    <w:rsid w:val="00DA172F"/>
    <w:rsid w:val="00DA6EF9"/>
    <w:rsid w:val="00DB7312"/>
    <w:rsid w:val="00DB73AF"/>
    <w:rsid w:val="00DC0273"/>
    <w:rsid w:val="00DC5A41"/>
    <w:rsid w:val="00DC7929"/>
    <w:rsid w:val="00DD04F7"/>
    <w:rsid w:val="00DD1C4B"/>
    <w:rsid w:val="00DD2F40"/>
    <w:rsid w:val="00DD2F58"/>
    <w:rsid w:val="00DD30EB"/>
    <w:rsid w:val="00DD5200"/>
    <w:rsid w:val="00DD5CD4"/>
    <w:rsid w:val="00DD672A"/>
    <w:rsid w:val="00DE49D4"/>
    <w:rsid w:val="00DE557D"/>
    <w:rsid w:val="00DE726E"/>
    <w:rsid w:val="00DE7A1C"/>
    <w:rsid w:val="00DE7DAE"/>
    <w:rsid w:val="00DF04B1"/>
    <w:rsid w:val="00DF0601"/>
    <w:rsid w:val="00DF3EE8"/>
    <w:rsid w:val="00DF5512"/>
    <w:rsid w:val="00E007A8"/>
    <w:rsid w:val="00E00A54"/>
    <w:rsid w:val="00E00B0A"/>
    <w:rsid w:val="00E01285"/>
    <w:rsid w:val="00E01EC6"/>
    <w:rsid w:val="00E0239D"/>
    <w:rsid w:val="00E03192"/>
    <w:rsid w:val="00E04A0B"/>
    <w:rsid w:val="00E05AFA"/>
    <w:rsid w:val="00E060E9"/>
    <w:rsid w:val="00E069C7"/>
    <w:rsid w:val="00E06DA4"/>
    <w:rsid w:val="00E06DF5"/>
    <w:rsid w:val="00E0700D"/>
    <w:rsid w:val="00E07A99"/>
    <w:rsid w:val="00E11CD5"/>
    <w:rsid w:val="00E16F5C"/>
    <w:rsid w:val="00E17E5F"/>
    <w:rsid w:val="00E210EE"/>
    <w:rsid w:val="00E22BA1"/>
    <w:rsid w:val="00E22C95"/>
    <w:rsid w:val="00E236E0"/>
    <w:rsid w:val="00E23F53"/>
    <w:rsid w:val="00E25D22"/>
    <w:rsid w:val="00E313B5"/>
    <w:rsid w:val="00E31E03"/>
    <w:rsid w:val="00E33B0D"/>
    <w:rsid w:val="00E3616E"/>
    <w:rsid w:val="00E37120"/>
    <w:rsid w:val="00E41001"/>
    <w:rsid w:val="00E4136D"/>
    <w:rsid w:val="00E432B2"/>
    <w:rsid w:val="00E434DB"/>
    <w:rsid w:val="00E51DFD"/>
    <w:rsid w:val="00E529D8"/>
    <w:rsid w:val="00E537C9"/>
    <w:rsid w:val="00E559FC"/>
    <w:rsid w:val="00E562B1"/>
    <w:rsid w:val="00E57DD1"/>
    <w:rsid w:val="00E63DDA"/>
    <w:rsid w:val="00E65B34"/>
    <w:rsid w:val="00E665D8"/>
    <w:rsid w:val="00E67E26"/>
    <w:rsid w:val="00E721CC"/>
    <w:rsid w:val="00E77557"/>
    <w:rsid w:val="00E8183A"/>
    <w:rsid w:val="00E83935"/>
    <w:rsid w:val="00E841EB"/>
    <w:rsid w:val="00E90AF0"/>
    <w:rsid w:val="00E90BD1"/>
    <w:rsid w:val="00E91DD2"/>
    <w:rsid w:val="00E9566F"/>
    <w:rsid w:val="00E979A8"/>
    <w:rsid w:val="00EA0BEE"/>
    <w:rsid w:val="00EA22B1"/>
    <w:rsid w:val="00EA64C4"/>
    <w:rsid w:val="00EA6C6B"/>
    <w:rsid w:val="00EA7F6C"/>
    <w:rsid w:val="00EB511B"/>
    <w:rsid w:val="00EB679C"/>
    <w:rsid w:val="00EC006B"/>
    <w:rsid w:val="00EC0D22"/>
    <w:rsid w:val="00EC6525"/>
    <w:rsid w:val="00EC6B78"/>
    <w:rsid w:val="00ED065E"/>
    <w:rsid w:val="00ED4F11"/>
    <w:rsid w:val="00ED6094"/>
    <w:rsid w:val="00EE110D"/>
    <w:rsid w:val="00EE17B0"/>
    <w:rsid w:val="00EE693E"/>
    <w:rsid w:val="00EF1A10"/>
    <w:rsid w:val="00EF2570"/>
    <w:rsid w:val="00EF272E"/>
    <w:rsid w:val="00EF27E3"/>
    <w:rsid w:val="00EF3A16"/>
    <w:rsid w:val="00EF6006"/>
    <w:rsid w:val="00EF6182"/>
    <w:rsid w:val="00EF623E"/>
    <w:rsid w:val="00EF6968"/>
    <w:rsid w:val="00F00D33"/>
    <w:rsid w:val="00F01B87"/>
    <w:rsid w:val="00F02A85"/>
    <w:rsid w:val="00F0323E"/>
    <w:rsid w:val="00F05850"/>
    <w:rsid w:val="00F07810"/>
    <w:rsid w:val="00F07FDC"/>
    <w:rsid w:val="00F1181F"/>
    <w:rsid w:val="00F12A12"/>
    <w:rsid w:val="00F13DCC"/>
    <w:rsid w:val="00F14355"/>
    <w:rsid w:val="00F17608"/>
    <w:rsid w:val="00F2241F"/>
    <w:rsid w:val="00F233BA"/>
    <w:rsid w:val="00F24997"/>
    <w:rsid w:val="00F257EC"/>
    <w:rsid w:val="00F258EA"/>
    <w:rsid w:val="00F25DE4"/>
    <w:rsid w:val="00F26AD1"/>
    <w:rsid w:val="00F273C6"/>
    <w:rsid w:val="00F30264"/>
    <w:rsid w:val="00F3269B"/>
    <w:rsid w:val="00F331BD"/>
    <w:rsid w:val="00F36291"/>
    <w:rsid w:val="00F36F3B"/>
    <w:rsid w:val="00F422BF"/>
    <w:rsid w:val="00F43993"/>
    <w:rsid w:val="00F45E53"/>
    <w:rsid w:val="00F51FE4"/>
    <w:rsid w:val="00F55E06"/>
    <w:rsid w:val="00F64877"/>
    <w:rsid w:val="00F64CEB"/>
    <w:rsid w:val="00F66F44"/>
    <w:rsid w:val="00F673CC"/>
    <w:rsid w:val="00F7797F"/>
    <w:rsid w:val="00F77CB5"/>
    <w:rsid w:val="00F81690"/>
    <w:rsid w:val="00F81E47"/>
    <w:rsid w:val="00F83E66"/>
    <w:rsid w:val="00F84ADC"/>
    <w:rsid w:val="00F926FE"/>
    <w:rsid w:val="00F947DD"/>
    <w:rsid w:val="00F94BAC"/>
    <w:rsid w:val="00F94C81"/>
    <w:rsid w:val="00F97FBC"/>
    <w:rsid w:val="00FA1830"/>
    <w:rsid w:val="00FA26C9"/>
    <w:rsid w:val="00FA28E9"/>
    <w:rsid w:val="00FA51DE"/>
    <w:rsid w:val="00FA6E83"/>
    <w:rsid w:val="00FB03F5"/>
    <w:rsid w:val="00FB2420"/>
    <w:rsid w:val="00FB25F1"/>
    <w:rsid w:val="00FB500E"/>
    <w:rsid w:val="00FC1CAF"/>
    <w:rsid w:val="00FC2E1B"/>
    <w:rsid w:val="00FC74A9"/>
    <w:rsid w:val="00FD040A"/>
    <w:rsid w:val="00FD3498"/>
    <w:rsid w:val="00FD369A"/>
    <w:rsid w:val="00FD4CCB"/>
    <w:rsid w:val="00FD6FF3"/>
    <w:rsid w:val="00FD7B70"/>
    <w:rsid w:val="00FE07B4"/>
    <w:rsid w:val="00FE334C"/>
    <w:rsid w:val="00FE4FA6"/>
    <w:rsid w:val="00FE6078"/>
    <w:rsid w:val="00FF4305"/>
    <w:rsid w:val="00FF4BD5"/>
    <w:rsid w:val="00FF6D86"/>
    <w:rsid w:val="00FF7294"/>
    <w:rsid w:val="0247ECC7"/>
    <w:rsid w:val="031E5978"/>
    <w:rsid w:val="03AFCF3A"/>
    <w:rsid w:val="100EF4CE"/>
    <w:rsid w:val="11DC1039"/>
    <w:rsid w:val="1262D5EE"/>
    <w:rsid w:val="12A7CCDD"/>
    <w:rsid w:val="14A12512"/>
    <w:rsid w:val="155F9856"/>
    <w:rsid w:val="161683B6"/>
    <w:rsid w:val="16DC4C0D"/>
    <w:rsid w:val="16E9C83E"/>
    <w:rsid w:val="1A2B8195"/>
    <w:rsid w:val="1A50F733"/>
    <w:rsid w:val="1C47273F"/>
    <w:rsid w:val="1FAB2E0B"/>
    <w:rsid w:val="1FFEAF58"/>
    <w:rsid w:val="20CE198F"/>
    <w:rsid w:val="22ECE762"/>
    <w:rsid w:val="23F05195"/>
    <w:rsid w:val="2424A42A"/>
    <w:rsid w:val="2432205B"/>
    <w:rsid w:val="2496989B"/>
    <w:rsid w:val="25BF786C"/>
    <w:rsid w:val="2773D9B2"/>
    <w:rsid w:val="286C93D8"/>
    <w:rsid w:val="298F7F5C"/>
    <w:rsid w:val="29F3F79C"/>
    <w:rsid w:val="2A5BE586"/>
    <w:rsid w:val="2CE609F7"/>
    <w:rsid w:val="2CF38628"/>
    <w:rsid w:val="2FA3C9BD"/>
    <w:rsid w:val="30A733F0"/>
    <w:rsid w:val="31FA2887"/>
    <w:rsid w:val="3250E529"/>
    <w:rsid w:val="342ABC0D"/>
    <w:rsid w:val="35F9E2E4"/>
    <w:rsid w:val="37F33B19"/>
    <w:rsid w:val="39FA0F7F"/>
    <w:rsid w:val="3C15B529"/>
    <w:rsid w:val="3E97E075"/>
    <w:rsid w:val="3F555FFB"/>
    <w:rsid w:val="3F993D46"/>
    <w:rsid w:val="4173142A"/>
    <w:rsid w:val="424980DB"/>
    <w:rsid w:val="42FD4412"/>
    <w:rsid w:val="463EFD69"/>
    <w:rsid w:val="48EC18D5"/>
    <w:rsid w:val="49118E73"/>
    <w:rsid w:val="49509115"/>
    <w:rsid w:val="49C28586"/>
    <w:rsid w:val="4AC5EFB9"/>
    <w:rsid w:val="4B74BBBD"/>
    <w:rsid w:val="4EE0E1E5"/>
    <w:rsid w:val="4F7257A7"/>
    <w:rsid w:val="4F91D8F8"/>
    <w:rsid w:val="4FD3A7BE"/>
    <w:rsid w:val="50459C2F"/>
    <w:rsid w:val="52646A02"/>
    <w:rsid w:val="533AD6B3"/>
    <w:rsid w:val="5549002C"/>
    <w:rsid w:val="55A2FB30"/>
    <w:rsid w:val="563470F2"/>
    <w:rsid w:val="569EDD7F"/>
    <w:rsid w:val="58533EC5"/>
    <w:rsid w:val="58F985CB"/>
    <w:rsid w:val="590701FC"/>
    <w:rsid w:val="5A29ED80"/>
    <w:rsid w:val="5D4C2586"/>
    <w:rsid w:val="5F67CB30"/>
    <w:rsid w:val="600D4C0C"/>
    <w:rsid w:val="60F52341"/>
    <w:rsid w:val="61206108"/>
    <w:rsid w:val="634FCB8D"/>
    <w:rsid w:val="664F5A19"/>
    <w:rsid w:val="681BB4CC"/>
    <w:rsid w:val="6AD64C69"/>
    <w:rsid w:val="6D149B8D"/>
    <w:rsid w:val="720D824E"/>
    <w:rsid w:val="7571891A"/>
    <w:rsid w:val="75A903D8"/>
    <w:rsid w:val="767C4860"/>
    <w:rsid w:val="769EA7C5"/>
    <w:rsid w:val="77ACB015"/>
    <w:rsid w:val="77F1A704"/>
    <w:rsid w:val="78831CC6"/>
    <w:rsid w:val="78F51137"/>
    <w:rsid w:val="797EFF15"/>
    <w:rsid w:val="7B33605B"/>
    <w:rsid w:val="7C591803"/>
    <w:rsid w:val="7C9E0EF2"/>
    <w:rsid w:val="7D7C0387"/>
    <w:rsid w:val="7E77E5D6"/>
    <w:rsid w:val="7E976727"/>
    <w:rsid w:val="7F9AD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7609"/>
  <w15:docId w15:val="{B68F5613-7CC7-470E-8523-2A736F29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argrafodaLista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  <w:lang w:val="pt-PT"/>
    </w:rPr>
  </w:style>
  <w:style w:type="character" w:customStyle="1" w:styleId="Hyperlink1">
    <w:name w:val="Hyperlink.1"/>
    <w:basedOn w:val="None"/>
    <w:rPr>
      <w:outline w:val="0"/>
      <w:color w:val="0563C1"/>
      <w:u w:val="single" w:color="0563C1"/>
      <w:lang w:val="fr-FR"/>
    </w:rPr>
  </w:style>
  <w:style w:type="character" w:customStyle="1" w:styleId="Hyperlink2">
    <w:name w:val="Hyperlink.2"/>
    <w:basedOn w:val="None"/>
    <w:rPr>
      <w:outline w:val="0"/>
      <w:color w:val="0563C1"/>
      <w:u w:val="single" w:color="0563C1"/>
      <w:lang w:val="de-DE"/>
    </w:rPr>
  </w:style>
  <w:style w:type="paragraph" w:styleId="Textodecomentrio">
    <w:name w:val="annotation text"/>
    <w:basedOn w:val="Normal"/>
    <w:link w:val="TextodecomentrioCarter"/>
    <w:uiPriority w:val="99"/>
    <w:unhideWhenUsed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Pr>
      <w:lang w:val="en-US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009E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09E2"/>
    <w:rPr>
      <w:rFonts w:ascii="Segoe UI" w:hAnsi="Segoe UI" w:cs="Segoe UI"/>
      <w:sz w:val="18"/>
      <w:szCs w:val="18"/>
      <w:lang w:val="en-US"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C2E2D"/>
    <w:rPr>
      <w:color w:val="605E5C"/>
      <w:shd w:val="clear" w:color="auto" w:fill="E1DFDD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94FC1"/>
    <w:pPr>
      <w:spacing w:line="240" w:lineRule="auto"/>
    </w:pPr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94FC1"/>
    <w:rPr>
      <w:b/>
      <w:bCs/>
      <w:lang w:val="en-US" w:eastAsia="en-US"/>
    </w:rPr>
  </w:style>
  <w:style w:type="paragraph" w:customStyle="1" w:styleId="default0">
    <w:name w:val="default"/>
    <w:basedOn w:val="Normal"/>
    <w:rsid w:val="00764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jc w:val="left"/>
    </w:pPr>
    <w:rPr>
      <w:rFonts w:ascii="Arial Nova" w:eastAsiaTheme="minorHAnsi" w:hAnsi="Arial Nova" w:cs="Calibri"/>
      <w:color w:val="000000"/>
      <w:bdr w:val="none" w:sz="0" w:space="0" w:color="auto"/>
      <w:lang w:eastAsia="pt-PT"/>
    </w:rPr>
  </w:style>
  <w:style w:type="paragraph" w:styleId="NormalWeb">
    <w:name w:val="Normal (Web)"/>
    <w:basedOn w:val="Normal"/>
    <w:uiPriority w:val="99"/>
    <w:unhideWhenUsed/>
    <w:rsid w:val="00C405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eastAsia="Times New Roman"/>
      <w:bdr w:val="none" w:sz="0" w:space="0" w:color="auto"/>
      <w:lang w:eastAsia="pt-PT"/>
    </w:rPr>
  </w:style>
  <w:style w:type="paragraph" w:styleId="Reviso">
    <w:name w:val="Revision"/>
    <w:hidden/>
    <w:uiPriority w:val="99"/>
    <w:semiHidden/>
    <w:rsid w:val="003D06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left"/>
    </w:pPr>
    <w:rPr>
      <w:sz w:val="24"/>
      <w:szCs w:val="24"/>
      <w:lang w:val="en-US" w:eastAsia="en-US"/>
    </w:rPr>
  </w:style>
  <w:style w:type="character" w:styleId="nfase">
    <w:name w:val="Emphasis"/>
    <w:basedOn w:val="Tipodeletrapredefinidodopargrafo"/>
    <w:uiPriority w:val="20"/>
    <w:qFormat/>
    <w:rsid w:val="00DD04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duniq.p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duniq.pt/reduniq-insight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E6746E973874CAA612E5115A99669" ma:contentTypeVersion="0" ma:contentTypeDescription="Create a new document." ma:contentTypeScope="" ma:versionID="6a8b6aaa2731f92d2c38b03c111340e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3392D-CCF1-4F40-885C-29871C1B6D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EB3CF3-68B0-42CB-A7A5-80FDBCD4E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E934FFC-436A-4625-9FF8-6AFA435804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15FA2A-6952-49FF-BA63-CCF8F021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5371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6353</CharactersWithSpaces>
  <SharedDoc>false</SharedDoc>
  <HLinks>
    <vt:vector size="12" baseType="variant">
      <vt:variant>
        <vt:i4>4456542</vt:i4>
      </vt:variant>
      <vt:variant>
        <vt:i4>3</vt:i4>
      </vt:variant>
      <vt:variant>
        <vt:i4>0</vt:i4>
      </vt:variant>
      <vt:variant>
        <vt:i4>5</vt:i4>
      </vt:variant>
      <vt:variant>
        <vt:lpwstr>https://www.reduniq.pt/reduniq-insights/</vt:lpwstr>
      </vt:variant>
      <vt:variant>
        <vt:lpwstr/>
      </vt:variant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https://www.reduniq.pt/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 Saltão</dc:creator>
  <cp:keywords/>
  <cp:lastModifiedBy>Inês Filipe</cp:lastModifiedBy>
  <cp:revision>3</cp:revision>
  <dcterms:created xsi:type="dcterms:W3CDTF">2022-09-20T11:57:00Z</dcterms:created>
  <dcterms:modified xsi:type="dcterms:W3CDTF">2022-09-22T14:53:00Z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0x010100FEAE6746E973874CAA612E5115A99669</vt:lpwstr>
  </property>
</Properties>
</file>