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2329" w14:textId="77777777" w:rsidR="00D43BCA" w:rsidRDefault="00D43BCA" w:rsidP="00D43BCA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3744ADF7">
        <w:rPr>
          <w:rFonts w:ascii="Times New Roman" w:eastAsia="Times New Roman" w:hAnsi="Times New Roman"/>
          <w:b/>
          <w:bCs/>
          <w:sz w:val="32"/>
          <w:szCs w:val="32"/>
        </w:rPr>
        <w:t>Wysoka tolerancja dla skóry tłustej i trądzikowej</w:t>
      </w:r>
    </w:p>
    <w:p w14:paraId="22809C43" w14:textId="77777777" w:rsidR="00D43BCA" w:rsidRDefault="00D43BCA" w:rsidP="00D43BCA">
      <w:pPr>
        <w:jc w:val="both"/>
        <w:rPr>
          <w:rFonts w:ascii="Times New Roman" w:eastAsia="Times New Roman" w:hAnsi="Times New Roman"/>
          <w:b/>
          <w:bCs/>
        </w:rPr>
      </w:pPr>
    </w:p>
    <w:p w14:paraId="3AF76AF1" w14:textId="161E6738" w:rsidR="00D43BCA" w:rsidRDefault="00D43BCA" w:rsidP="00D43BCA">
      <w:pPr>
        <w:jc w:val="both"/>
        <w:rPr>
          <w:rFonts w:ascii="Times New Roman" w:eastAsia="Times New Roman" w:hAnsi="Times New Roman"/>
          <w:b/>
          <w:bCs/>
        </w:rPr>
      </w:pPr>
      <w:r w:rsidRPr="6C556233">
        <w:rPr>
          <w:rFonts w:ascii="Times New Roman" w:eastAsia="Times New Roman" w:hAnsi="Times New Roman"/>
          <w:b/>
          <w:bCs/>
        </w:rPr>
        <w:t xml:space="preserve">Skłonność do trądziku jest powszechną dolegliwością skóry. Jeszcze do niedawna kojarzył się z hormonalną burzą wieku dojrzewania. Jak się jednak okazuje, coraz częściej to dorośli trafiają na fotele dermatologów. Trądzik przybiera formę zaskórników i wyprysków, a do najczęstszych przyczyn zalicza się: czynniki genetyczne, zwiększona produkcja łoju, reakcje zapalne i immunologiczne czy niezdrowa dieta. </w:t>
      </w:r>
      <w:r w:rsidR="00710D00" w:rsidRPr="6C556233">
        <w:rPr>
          <w:rFonts w:ascii="Times New Roman" w:eastAsia="Times New Roman" w:hAnsi="Times New Roman"/>
          <w:b/>
          <w:bCs/>
        </w:rPr>
        <w:t>To z czym dodatkowo przy trądziku borykają się zarówno ci młodzi, jak i ci starsi jest podrażnienie skóry. Produkty stosowane do zwalczenia zmian trądzikowych bardzo często ma</w:t>
      </w:r>
      <w:r w:rsidR="00BC7EEB">
        <w:rPr>
          <w:rFonts w:ascii="Times New Roman" w:eastAsia="Times New Roman" w:hAnsi="Times New Roman"/>
          <w:b/>
          <w:bCs/>
        </w:rPr>
        <w:t>ją</w:t>
      </w:r>
      <w:r w:rsidR="00710D00" w:rsidRPr="6C556233">
        <w:rPr>
          <w:rFonts w:ascii="Times New Roman" w:eastAsia="Times New Roman" w:hAnsi="Times New Roman"/>
          <w:b/>
          <w:bCs/>
        </w:rPr>
        <w:t xml:space="preserve"> tak silne działanie, że podrażniają skórę. </w:t>
      </w:r>
      <w:r w:rsidR="00E40AEF" w:rsidRPr="6C556233">
        <w:rPr>
          <w:rFonts w:ascii="Times New Roman" w:eastAsia="Times New Roman" w:hAnsi="Times New Roman"/>
          <w:b/>
          <w:bCs/>
        </w:rPr>
        <w:t xml:space="preserve">Rozwiązują więc jeden problem, ale w zamian generują kolejny. </w:t>
      </w:r>
    </w:p>
    <w:p w14:paraId="40CE66A8" w14:textId="2C6CE20E" w:rsidR="00D43BCA" w:rsidRDefault="00D43BCA" w:rsidP="00D43BCA">
      <w:pPr>
        <w:jc w:val="both"/>
        <w:rPr>
          <w:rFonts w:ascii="Times New Roman" w:eastAsia="Times New Roman" w:hAnsi="Times New Roman"/>
        </w:rPr>
      </w:pPr>
      <w:r w:rsidRPr="678B722D">
        <w:rPr>
          <w:rFonts w:ascii="Times New Roman" w:eastAsia="Times New Roman" w:hAnsi="Times New Roman"/>
        </w:rPr>
        <w:t xml:space="preserve">Odpowiednie rozwiązanie </w:t>
      </w:r>
      <w:r w:rsidR="00E40AEF" w:rsidRPr="678B722D">
        <w:rPr>
          <w:rFonts w:ascii="Times New Roman" w:eastAsia="Times New Roman" w:hAnsi="Times New Roman"/>
        </w:rPr>
        <w:t xml:space="preserve">jest jednak już dostępne i </w:t>
      </w:r>
      <w:r w:rsidR="3E910577" w:rsidRPr="678B722D">
        <w:rPr>
          <w:rFonts w:ascii="Times New Roman" w:eastAsia="Times New Roman" w:hAnsi="Times New Roman"/>
        </w:rPr>
        <w:t>g</w:t>
      </w:r>
      <w:r w:rsidRPr="678B722D">
        <w:rPr>
          <w:rFonts w:ascii="Times New Roman" w:eastAsia="Times New Roman" w:hAnsi="Times New Roman"/>
        </w:rPr>
        <w:t xml:space="preserve">warantuje wysoką skuteczność. BIODERMA opracowała </w:t>
      </w:r>
      <w:proofErr w:type="spellStart"/>
      <w:r w:rsidRPr="678B722D">
        <w:rPr>
          <w:rFonts w:ascii="Times New Roman" w:eastAsia="Times New Roman" w:hAnsi="Times New Roman"/>
        </w:rPr>
        <w:t>Sebium</w:t>
      </w:r>
      <w:proofErr w:type="spellEnd"/>
      <w:r w:rsidRPr="678B722D">
        <w:rPr>
          <w:rFonts w:ascii="Times New Roman" w:eastAsia="Times New Roman" w:hAnsi="Times New Roman"/>
        </w:rPr>
        <w:t xml:space="preserve"> </w:t>
      </w:r>
      <w:proofErr w:type="spellStart"/>
      <w:r w:rsidRPr="678B722D">
        <w:rPr>
          <w:rFonts w:ascii="Times New Roman" w:eastAsia="Times New Roman" w:hAnsi="Times New Roman"/>
        </w:rPr>
        <w:t>Kerato</w:t>
      </w:r>
      <w:proofErr w:type="spellEnd"/>
      <w:r w:rsidRPr="678B722D">
        <w:rPr>
          <w:rFonts w:ascii="Times New Roman" w:eastAsia="Times New Roman" w:hAnsi="Times New Roman"/>
        </w:rPr>
        <w:t xml:space="preserve">+, po to, aby właściwie wspierać skórę skłonną do trądziku zarówno przed i jak i po leczeniu, zapewniając doskonałą tolerancję, bez podrażnień. </w:t>
      </w:r>
    </w:p>
    <w:p w14:paraId="49452355" w14:textId="77777777" w:rsidR="00D43BCA" w:rsidRDefault="006F2106" w:rsidP="00D43BCA">
      <w:pPr>
        <w:jc w:val="center"/>
        <w:rPr>
          <w:rFonts w:ascii="Times New Roman" w:eastAsia="Times New Roman" w:hAnsi="Times New Roman"/>
        </w:rPr>
      </w:pPr>
      <w:r w:rsidRPr="002650FE">
        <w:rPr>
          <w:noProof/>
        </w:rPr>
        <w:drawing>
          <wp:inline distT="0" distB="0" distL="0" distR="0" wp14:anchorId="0416A8D6" wp14:editId="7457D89B">
            <wp:extent cx="1435100" cy="2921000"/>
            <wp:effectExtent l="0" t="0" r="0" b="0"/>
            <wp:docPr id="1" name="Obraz 2674710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747103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947B8" w14:textId="77777777" w:rsidR="00D43BCA" w:rsidRDefault="00D43BCA" w:rsidP="00D43BCA">
      <w:pPr>
        <w:jc w:val="both"/>
        <w:rPr>
          <w:rFonts w:ascii="Times New Roman" w:eastAsia="Times New Roman" w:hAnsi="Times New Roman"/>
        </w:rPr>
      </w:pPr>
      <w:proofErr w:type="spellStart"/>
      <w:r w:rsidRPr="3744ADF7">
        <w:rPr>
          <w:rFonts w:ascii="Times New Roman" w:eastAsia="Times New Roman" w:hAnsi="Times New Roman"/>
        </w:rPr>
        <w:t>Sebium</w:t>
      </w:r>
      <w:proofErr w:type="spellEnd"/>
      <w:r w:rsidRPr="3744ADF7">
        <w:rPr>
          <w:rFonts w:ascii="Times New Roman" w:eastAsia="Times New Roman" w:hAnsi="Times New Roman"/>
        </w:rPr>
        <w:t xml:space="preserve"> </w:t>
      </w:r>
      <w:proofErr w:type="spellStart"/>
      <w:r w:rsidRPr="3744ADF7">
        <w:rPr>
          <w:rFonts w:ascii="Times New Roman" w:eastAsia="Times New Roman" w:hAnsi="Times New Roman"/>
        </w:rPr>
        <w:t>Kerato</w:t>
      </w:r>
      <w:proofErr w:type="spellEnd"/>
      <w:r w:rsidRPr="3744ADF7">
        <w:rPr>
          <w:rFonts w:ascii="Times New Roman" w:eastAsia="Times New Roman" w:hAnsi="Times New Roman"/>
        </w:rPr>
        <w:t xml:space="preserve">+ opracowano na podstawie kwasów AHA (ester kwasu jabłkowego), który w połączeniu z BHA (kwas salicylowy) gwarantuje wysoką skuteczność i tolerancję dla </w:t>
      </w:r>
      <w:proofErr w:type="spellStart"/>
      <w:r w:rsidRPr="3744ADF7">
        <w:rPr>
          <w:rFonts w:ascii="Times New Roman" w:eastAsia="Times New Roman" w:hAnsi="Times New Roman"/>
        </w:rPr>
        <w:t>pH</w:t>
      </w:r>
      <w:proofErr w:type="spellEnd"/>
      <w:r w:rsidRPr="3744ADF7">
        <w:rPr>
          <w:rFonts w:ascii="Times New Roman" w:eastAsia="Times New Roman" w:hAnsi="Times New Roman"/>
        </w:rPr>
        <w:t xml:space="preserve"> skóry. Ten wyjątkowy duet o działaniu </w:t>
      </w:r>
      <w:proofErr w:type="spellStart"/>
      <w:r w:rsidRPr="3744ADF7">
        <w:rPr>
          <w:rFonts w:ascii="Times New Roman" w:eastAsia="Times New Roman" w:hAnsi="Times New Roman"/>
        </w:rPr>
        <w:t>keratolitycznym</w:t>
      </w:r>
      <w:proofErr w:type="spellEnd"/>
      <w:r w:rsidRPr="3744ADF7">
        <w:rPr>
          <w:rFonts w:ascii="Times New Roman" w:eastAsia="Times New Roman" w:hAnsi="Times New Roman"/>
        </w:rPr>
        <w:t xml:space="preserve"> działa na przyczyny i efekty trądziku - odblokowuje kanały łojowe na powierzchni i w głębi skóry, co uwalnia przepływ </w:t>
      </w:r>
      <w:proofErr w:type="spellStart"/>
      <w:r w:rsidRPr="3744ADF7">
        <w:rPr>
          <w:rFonts w:ascii="Times New Roman" w:eastAsia="Times New Roman" w:hAnsi="Times New Roman"/>
        </w:rPr>
        <w:t>sebum</w:t>
      </w:r>
      <w:proofErr w:type="spellEnd"/>
      <w:r w:rsidRPr="3744ADF7">
        <w:rPr>
          <w:rFonts w:ascii="Times New Roman" w:eastAsia="Times New Roman" w:hAnsi="Times New Roman"/>
        </w:rPr>
        <w:t xml:space="preserve"> i ogranicza tworzenie się zaskórników. Dodatkowo kwas AHA pomaga regulować nadmiar </w:t>
      </w:r>
      <w:proofErr w:type="spellStart"/>
      <w:r w:rsidRPr="3744ADF7">
        <w:rPr>
          <w:rFonts w:ascii="Times New Roman" w:eastAsia="Times New Roman" w:hAnsi="Times New Roman"/>
        </w:rPr>
        <w:t>sebum</w:t>
      </w:r>
      <w:proofErr w:type="spellEnd"/>
      <w:r w:rsidRPr="3744ADF7">
        <w:rPr>
          <w:rFonts w:ascii="Times New Roman" w:eastAsia="Times New Roman" w:hAnsi="Times New Roman"/>
        </w:rPr>
        <w:t xml:space="preserve">. </w:t>
      </w:r>
    </w:p>
    <w:p w14:paraId="6DF167DC" w14:textId="77777777" w:rsidR="00D43BCA" w:rsidRDefault="00D43BCA" w:rsidP="00D43BCA">
      <w:pPr>
        <w:jc w:val="both"/>
        <w:rPr>
          <w:rFonts w:ascii="Times New Roman" w:eastAsia="Times New Roman" w:hAnsi="Times New Roman"/>
          <w:b/>
          <w:bCs/>
        </w:rPr>
      </w:pPr>
      <w:r w:rsidRPr="3744ADF7">
        <w:rPr>
          <w:rFonts w:ascii="Times New Roman" w:eastAsia="Times New Roman" w:hAnsi="Times New Roman"/>
          <w:b/>
          <w:bCs/>
        </w:rPr>
        <w:t xml:space="preserve">Jak stosować </w:t>
      </w:r>
      <w:proofErr w:type="spellStart"/>
      <w:r w:rsidRPr="3744ADF7">
        <w:rPr>
          <w:rFonts w:ascii="Times New Roman" w:eastAsia="Times New Roman" w:hAnsi="Times New Roman"/>
          <w:b/>
          <w:bCs/>
        </w:rPr>
        <w:t>Sebium</w:t>
      </w:r>
      <w:proofErr w:type="spellEnd"/>
      <w:r w:rsidRPr="3744ADF7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3744ADF7">
        <w:rPr>
          <w:rFonts w:ascii="Times New Roman" w:eastAsia="Times New Roman" w:hAnsi="Times New Roman"/>
          <w:b/>
          <w:bCs/>
        </w:rPr>
        <w:t>Kerato</w:t>
      </w:r>
      <w:proofErr w:type="spellEnd"/>
      <w:r w:rsidRPr="3744ADF7">
        <w:rPr>
          <w:rFonts w:ascii="Times New Roman" w:eastAsia="Times New Roman" w:hAnsi="Times New Roman"/>
          <w:b/>
          <w:bCs/>
        </w:rPr>
        <w:t>+?</w:t>
      </w:r>
    </w:p>
    <w:p w14:paraId="612A533D" w14:textId="77777777" w:rsidR="00D43BCA" w:rsidRDefault="00D43BCA" w:rsidP="00D43BCA">
      <w:pPr>
        <w:jc w:val="both"/>
        <w:rPr>
          <w:rFonts w:ascii="Times New Roman" w:eastAsia="Times New Roman" w:hAnsi="Times New Roman"/>
        </w:rPr>
      </w:pPr>
      <w:r w:rsidRPr="3744ADF7">
        <w:rPr>
          <w:rFonts w:ascii="Times New Roman" w:eastAsia="Times New Roman" w:hAnsi="Times New Roman"/>
        </w:rPr>
        <w:t xml:space="preserve">Zaleca się stosowanie </w:t>
      </w:r>
      <w:proofErr w:type="spellStart"/>
      <w:r w:rsidRPr="3744ADF7">
        <w:rPr>
          <w:rFonts w:ascii="Times New Roman" w:eastAsia="Times New Roman" w:hAnsi="Times New Roman"/>
        </w:rPr>
        <w:t>Sebium</w:t>
      </w:r>
      <w:proofErr w:type="spellEnd"/>
      <w:r w:rsidRPr="3744ADF7">
        <w:rPr>
          <w:rFonts w:ascii="Times New Roman" w:eastAsia="Times New Roman" w:hAnsi="Times New Roman"/>
        </w:rPr>
        <w:t xml:space="preserve"> </w:t>
      </w:r>
      <w:proofErr w:type="spellStart"/>
      <w:r w:rsidRPr="3744ADF7">
        <w:rPr>
          <w:rFonts w:ascii="Times New Roman" w:eastAsia="Times New Roman" w:hAnsi="Times New Roman"/>
        </w:rPr>
        <w:t>Kerato</w:t>
      </w:r>
      <w:proofErr w:type="spellEnd"/>
      <w:r w:rsidRPr="3744ADF7">
        <w:rPr>
          <w:rFonts w:ascii="Times New Roman" w:eastAsia="Times New Roman" w:hAnsi="Times New Roman"/>
        </w:rPr>
        <w:t xml:space="preserve">+ rano i/lub wieczorem na oczyszczoną i suchą skórę. W zależności od potrzeb produkt można nałożyć na całą twarz lub tylko na obszary problematyczne. Należy pamiętać, aby w przypadku ekspozycji na słońce, stosować odpowiednią ochronę przeciwsłoneczną. </w:t>
      </w:r>
    </w:p>
    <w:p w14:paraId="2FC82FCA" w14:textId="77777777" w:rsidR="00D43BCA" w:rsidRDefault="00D43BCA" w:rsidP="00D43BCA">
      <w:pPr>
        <w:jc w:val="both"/>
        <w:rPr>
          <w:rFonts w:ascii="Times New Roman" w:eastAsia="Times New Roman" w:hAnsi="Times New Roman"/>
          <w:b/>
          <w:bCs/>
        </w:rPr>
      </w:pPr>
      <w:r w:rsidRPr="3744ADF7">
        <w:rPr>
          <w:rFonts w:ascii="Times New Roman" w:eastAsia="Times New Roman" w:hAnsi="Times New Roman"/>
          <w:b/>
          <w:bCs/>
        </w:rPr>
        <w:t>Skuteczność już po 2 dniach</w:t>
      </w:r>
    </w:p>
    <w:p w14:paraId="3FE62A21" w14:textId="395014B2" w:rsidR="00D43BCA" w:rsidRDefault="00D43BCA" w:rsidP="00D43BCA">
      <w:pPr>
        <w:jc w:val="both"/>
        <w:rPr>
          <w:rFonts w:ascii="Times New Roman" w:eastAsia="Times New Roman" w:hAnsi="Times New Roman"/>
        </w:rPr>
      </w:pPr>
      <w:r w:rsidRPr="3744ADF7">
        <w:rPr>
          <w:rFonts w:ascii="Times New Roman" w:eastAsia="Times New Roman" w:hAnsi="Times New Roman"/>
        </w:rPr>
        <w:t xml:space="preserve">Badania kliniczne potwierdziły, że działanie </w:t>
      </w:r>
      <w:proofErr w:type="spellStart"/>
      <w:r w:rsidRPr="3744ADF7">
        <w:rPr>
          <w:rFonts w:ascii="Times New Roman" w:eastAsia="Times New Roman" w:hAnsi="Times New Roman"/>
        </w:rPr>
        <w:t>Sebium</w:t>
      </w:r>
      <w:proofErr w:type="spellEnd"/>
      <w:r w:rsidRPr="3744ADF7">
        <w:rPr>
          <w:rFonts w:ascii="Times New Roman" w:eastAsia="Times New Roman" w:hAnsi="Times New Roman"/>
        </w:rPr>
        <w:t xml:space="preserve"> </w:t>
      </w:r>
      <w:proofErr w:type="spellStart"/>
      <w:r w:rsidRPr="3744ADF7">
        <w:rPr>
          <w:rFonts w:ascii="Times New Roman" w:eastAsia="Times New Roman" w:hAnsi="Times New Roman"/>
        </w:rPr>
        <w:t>Kerato</w:t>
      </w:r>
      <w:proofErr w:type="spellEnd"/>
      <w:r w:rsidRPr="3744ADF7">
        <w:rPr>
          <w:rFonts w:ascii="Times New Roman" w:eastAsia="Times New Roman" w:hAnsi="Times New Roman"/>
        </w:rPr>
        <w:t xml:space="preserve">+ staje się widoczne już po 2 dniach. Respondenci zauważyli mniej wyprysków i przebarwień, a także większą jednolitość skóry. Regularne stosowanie produktu nawilży i zmatowi skórę, pozwoli zredukować wypryski i zaskórniki, jednocześnie stymulując odnowę naskórka. </w:t>
      </w:r>
    </w:p>
    <w:p w14:paraId="7BEB11CC" w14:textId="77777777" w:rsidR="00ED0FA2" w:rsidRPr="006F6D61" w:rsidRDefault="00ED0FA2" w:rsidP="006F6D61"/>
    <w:sectPr w:rsidR="00ED0FA2" w:rsidRPr="006F6D61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CB81" w14:textId="77777777" w:rsidR="000D6C84" w:rsidRDefault="000D6C84" w:rsidP="001C79BD">
      <w:pPr>
        <w:spacing w:after="0" w:line="240" w:lineRule="auto"/>
      </w:pPr>
      <w:r>
        <w:separator/>
      </w:r>
    </w:p>
  </w:endnote>
  <w:endnote w:type="continuationSeparator" w:id="0">
    <w:p w14:paraId="0715DFEE" w14:textId="77777777" w:rsidR="000D6C84" w:rsidRDefault="000D6C84" w:rsidP="001C79BD">
      <w:pPr>
        <w:spacing w:after="0" w:line="240" w:lineRule="auto"/>
      </w:pPr>
      <w:r>
        <w:continuationSeparator/>
      </w:r>
    </w:p>
  </w:endnote>
  <w:endnote w:type="continuationNotice" w:id="1">
    <w:p w14:paraId="3DCA869B" w14:textId="77777777" w:rsidR="000D6C84" w:rsidRDefault="000D6C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17C4" w14:textId="77777777" w:rsidR="000D6C84" w:rsidRDefault="000D6C84" w:rsidP="001C79BD">
      <w:pPr>
        <w:spacing w:after="0" w:line="240" w:lineRule="auto"/>
      </w:pPr>
      <w:r>
        <w:separator/>
      </w:r>
    </w:p>
  </w:footnote>
  <w:footnote w:type="continuationSeparator" w:id="0">
    <w:p w14:paraId="59BFF957" w14:textId="77777777" w:rsidR="000D6C84" w:rsidRDefault="000D6C84" w:rsidP="001C79BD">
      <w:pPr>
        <w:spacing w:after="0" w:line="240" w:lineRule="auto"/>
      </w:pPr>
      <w:r>
        <w:continuationSeparator/>
      </w:r>
    </w:p>
  </w:footnote>
  <w:footnote w:type="continuationNotice" w:id="1">
    <w:p w14:paraId="45175B77" w14:textId="77777777" w:rsidR="000D6C84" w:rsidRDefault="000D6C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863F" w14:textId="77777777" w:rsidR="001C79BD" w:rsidRDefault="00E52EE1">
    <w:pPr>
      <w:pStyle w:val="Nagwek"/>
    </w:pPr>
    <w:r>
      <w:rPr>
        <w:noProof/>
        <w:lang w:eastAsia="pl-PL"/>
      </w:rPr>
    </w:r>
    <w:r w:rsidR="00E52EE1">
      <w:rPr>
        <w:noProof/>
        <w:lang w:eastAsia="pl-PL"/>
      </w:rPr>
      <w:pict w14:anchorId="3CA26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4594" o:spid="_x0000_s1027" type="#_x0000_t75" alt="" style="position:absolute;margin-left:0;margin-top:0;width:595.2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212F" w14:textId="77777777" w:rsidR="001C79BD" w:rsidRDefault="00E52EE1">
    <w:pPr>
      <w:pStyle w:val="Nagwek"/>
    </w:pPr>
    <w:r>
      <w:rPr>
        <w:noProof/>
        <w:lang w:eastAsia="pl-PL"/>
      </w:rPr>
    </w:r>
    <w:r w:rsidR="00E52EE1">
      <w:rPr>
        <w:noProof/>
        <w:lang w:eastAsia="pl-PL"/>
      </w:rPr>
      <w:pict w14:anchorId="317E6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4595" o:spid="_x0000_s1026" type="#_x0000_t75" alt="" style="position:absolute;margin-left:0;margin-top:0;width:595.2pt;height:841.9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5D59" w14:textId="77777777" w:rsidR="001C79BD" w:rsidRDefault="00E52EE1">
    <w:pPr>
      <w:pStyle w:val="Nagwek"/>
    </w:pPr>
    <w:r>
      <w:rPr>
        <w:noProof/>
        <w:lang w:eastAsia="pl-PL"/>
      </w:rPr>
    </w:r>
    <w:r w:rsidR="00E52EE1">
      <w:rPr>
        <w:noProof/>
        <w:lang w:eastAsia="pl-PL"/>
      </w:rPr>
      <w:pict w14:anchorId="736B1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4593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429"/>
    <w:multiLevelType w:val="hybridMultilevel"/>
    <w:tmpl w:val="788C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3AD0"/>
    <w:multiLevelType w:val="hybridMultilevel"/>
    <w:tmpl w:val="0D027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F34"/>
    <w:multiLevelType w:val="multilevel"/>
    <w:tmpl w:val="597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97B19"/>
    <w:multiLevelType w:val="hybridMultilevel"/>
    <w:tmpl w:val="8952A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E0F48"/>
    <w:multiLevelType w:val="hybridMultilevel"/>
    <w:tmpl w:val="04FC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62B8"/>
    <w:multiLevelType w:val="hybridMultilevel"/>
    <w:tmpl w:val="D9EC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53EF0"/>
    <w:multiLevelType w:val="hybridMultilevel"/>
    <w:tmpl w:val="95241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13EEC"/>
    <w:multiLevelType w:val="hybridMultilevel"/>
    <w:tmpl w:val="2F7E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B4D23"/>
    <w:multiLevelType w:val="hybridMultilevel"/>
    <w:tmpl w:val="DFD6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51A2E"/>
    <w:multiLevelType w:val="hybridMultilevel"/>
    <w:tmpl w:val="3BD85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202D9"/>
    <w:multiLevelType w:val="hybridMultilevel"/>
    <w:tmpl w:val="B582C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D523F"/>
    <w:multiLevelType w:val="hybridMultilevel"/>
    <w:tmpl w:val="08F0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51F45"/>
    <w:multiLevelType w:val="hybridMultilevel"/>
    <w:tmpl w:val="9DDC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35763"/>
    <w:multiLevelType w:val="hybridMultilevel"/>
    <w:tmpl w:val="5C22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F3E15"/>
    <w:multiLevelType w:val="hybridMultilevel"/>
    <w:tmpl w:val="F982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4603D"/>
    <w:multiLevelType w:val="hybridMultilevel"/>
    <w:tmpl w:val="9CE8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44860">
    <w:abstractNumId w:val="8"/>
  </w:num>
  <w:num w:numId="2" w16cid:durableId="1748838246">
    <w:abstractNumId w:val="12"/>
  </w:num>
  <w:num w:numId="3" w16cid:durableId="785349640">
    <w:abstractNumId w:val="14"/>
  </w:num>
  <w:num w:numId="4" w16cid:durableId="236979181">
    <w:abstractNumId w:val="1"/>
  </w:num>
  <w:num w:numId="5" w16cid:durableId="1548252580">
    <w:abstractNumId w:val="0"/>
  </w:num>
  <w:num w:numId="6" w16cid:durableId="1399087290">
    <w:abstractNumId w:val="9"/>
  </w:num>
  <w:num w:numId="7" w16cid:durableId="309480126">
    <w:abstractNumId w:val="11"/>
  </w:num>
  <w:num w:numId="8" w16cid:durableId="674189338">
    <w:abstractNumId w:val="6"/>
  </w:num>
  <w:num w:numId="9" w16cid:durableId="1172064898">
    <w:abstractNumId w:val="2"/>
  </w:num>
  <w:num w:numId="10" w16cid:durableId="631135019">
    <w:abstractNumId w:val="7"/>
  </w:num>
  <w:num w:numId="11" w16cid:durableId="1328560424">
    <w:abstractNumId w:val="4"/>
  </w:num>
  <w:num w:numId="12" w16cid:durableId="2101560282">
    <w:abstractNumId w:val="3"/>
  </w:num>
  <w:num w:numId="13" w16cid:durableId="1094663409">
    <w:abstractNumId w:val="15"/>
  </w:num>
  <w:num w:numId="14" w16cid:durableId="682126982">
    <w:abstractNumId w:val="10"/>
  </w:num>
  <w:num w:numId="15" w16cid:durableId="1312833842">
    <w:abstractNumId w:val="5"/>
  </w:num>
  <w:num w:numId="16" w16cid:durableId="14269217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D"/>
    <w:rsid w:val="000012D7"/>
    <w:rsid w:val="00001D53"/>
    <w:rsid w:val="000C4CBC"/>
    <w:rsid w:val="000D6C84"/>
    <w:rsid w:val="00100E10"/>
    <w:rsid w:val="00104B6F"/>
    <w:rsid w:val="001154DD"/>
    <w:rsid w:val="0012497B"/>
    <w:rsid w:val="0013423F"/>
    <w:rsid w:val="0013681C"/>
    <w:rsid w:val="00141396"/>
    <w:rsid w:val="00151672"/>
    <w:rsid w:val="001C79BD"/>
    <w:rsid w:val="0023161A"/>
    <w:rsid w:val="002E247C"/>
    <w:rsid w:val="00325B4E"/>
    <w:rsid w:val="00344EC5"/>
    <w:rsid w:val="003A47EC"/>
    <w:rsid w:val="00444272"/>
    <w:rsid w:val="00457CAA"/>
    <w:rsid w:val="004D6983"/>
    <w:rsid w:val="00512D19"/>
    <w:rsid w:val="00584B34"/>
    <w:rsid w:val="0059304F"/>
    <w:rsid w:val="005C3D9A"/>
    <w:rsid w:val="00642250"/>
    <w:rsid w:val="006448D3"/>
    <w:rsid w:val="00657B98"/>
    <w:rsid w:val="006924C7"/>
    <w:rsid w:val="006B759D"/>
    <w:rsid w:val="006F1CDF"/>
    <w:rsid w:val="006F2106"/>
    <w:rsid w:val="006F2C68"/>
    <w:rsid w:val="006F6D61"/>
    <w:rsid w:val="00710D00"/>
    <w:rsid w:val="00721403"/>
    <w:rsid w:val="00752525"/>
    <w:rsid w:val="00782218"/>
    <w:rsid w:val="007E4B7B"/>
    <w:rsid w:val="008114CD"/>
    <w:rsid w:val="00887969"/>
    <w:rsid w:val="008A3E87"/>
    <w:rsid w:val="00910A3D"/>
    <w:rsid w:val="009161FC"/>
    <w:rsid w:val="00922ADA"/>
    <w:rsid w:val="00975C73"/>
    <w:rsid w:val="009F7E36"/>
    <w:rsid w:val="00A3413E"/>
    <w:rsid w:val="00A87DF4"/>
    <w:rsid w:val="00AA2250"/>
    <w:rsid w:val="00AB09B3"/>
    <w:rsid w:val="00B239B8"/>
    <w:rsid w:val="00BC7EEB"/>
    <w:rsid w:val="00C66C4B"/>
    <w:rsid w:val="00CA6558"/>
    <w:rsid w:val="00CF6D5F"/>
    <w:rsid w:val="00D43BCA"/>
    <w:rsid w:val="00D920C9"/>
    <w:rsid w:val="00DA6D60"/>
    <w:rsid w:val="00DB2CDE"/>
    <w:rsid w:val="00DB74C8"/>
    <w:rsid w:val="00DC5B7A"/>
    <w:rsid w:val="00DF083C"/>
    <w:rsid w:val="00E25D63"/>
    <w:rsid w:val="00E40AEF"/>
    <w:rsid w:val="00E52EE1"/>
    <w:rsid w:val="00E6505E"/>
    <w:rsid w:val="00E75F76"/>
    <w:rsid w:val="00ED0FA2"/>
    <w:rsid w:val="00F05FC0"/>
    <w:rsid w:val="00F110AA"/>
    <w:rsid w:val="00F618D3"/>
    <w:rsid w:val="00F65F12"/>
    <w:rsid w:val="00F9380F"/>
    <w:rsid w:val="00FE5F60"/>
    <w:rsid w:val="3E910577"/>
    <w:rsid w:val="678B722D"/>
    <w:rsid w:val="6C5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855AE"/>
  <w15:chartTrackingRefBased/>
  <w15:docId w15:val="{57A5DA52-03D4-4A97-B05C-74C73A23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BD"/>
  </w:style>
  <w:style w:type="paragraph" w:styleId="Stopka">
    <w:name w:val="footer"/>
    <w:basedOn w:val="Normalny"/>
    <w:link w:val="StopkaZnak"/>
    <w:uiPriority w:val="99"/>
    <w:unhideWhenUsed/>
    <w:rsid w:val="001C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9BD"/>
  </w:style>
  <w:style w:type="paragraph" w:styleId="Bezodstpw">
    <w:name w:val="No Spacing"/>
    <w:uiPriority w:val="1"/>
    <w:qFormat/>
    <w:rsid w:val="0013423F"/>
    <w:rPr>
      <w:rFonts w:eastAsia="Times New Roman"/>
      <w:sz w:val="22"/>
      <w:szCs w:val="22"/>
      <w:lang w:val="en-US" w:eastAsia="en-US" w:bidi="en-US"/>
    </w:rPr>
  </w:style>
  <w:style w:type="paragraph" w:styleId="Poprawka">
    <w:name w:val="Revision"/>
    <w:hidden/>
    <w:uiPriority w:val="99"/>
    <w:semiHidden/>
    <w:rsid w:val="00710D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1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5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7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8FE52-35A3-4FF6-AF24-88540FE58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28060-7071-40EA-BE2D-09D199830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C738E-F1BC-4278-8A80-781344564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MM'S SOCHA</dc:creator>
  <cp:keywords/>
  <dc:description/>
  <cp:lastModifiedBy>Gabriela Pliszczyńska</cp:lastModifiedBy>
  <cp:revision>3</cp:revision>
  <dcterms:created xsi:type="dcterms:W3CDTF">2022-09-23T08:45:00Z</dcterms:created>
  <dcterms:modified xsi:type="dcterms:W3CDTF">2022-09-23T09:06:00Z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