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74DA" w14:textId="600ABAA2" w:rsidR="00997D22" w:rsidRDefault="620EA211" w:rsidP="000F2D3A">
      <w:pPr>
        <w:spacing w:line="276" w:lineRule="auto"/>
        <w:jc w:val="center"/>
        <w:rPr>
          <w:rFonts w:ascii="Calibri" w:eastAsia="Calibri" w:hAnsi="Calibri" w:cs="Calibri"/>
          <w:b/>
          <w:bCs/>
          <w:sz w:val="32"/>
          <w:szCs w:val="32"/>
        </w:rPr>
      </w:pPr>
      <w:r>
        <w:rPr>
          <w:rFonts w:ascii="Calibri" w:hAnsi="Calibri"/>
          <w:b/>
          <w:bCs/>
          <w:sz w:val="32"/>
          <w:szCs w:val="32"/>
        </w:rPr>
        <w:t>Jeden milion eur pro startupy v soutěži myEUspace</w:t>
      </w:r>
    </w:p>
    <w:p w14:paraId="53EA7DDA" w14:textId="77777777" w:rsidR="004B196B" w:rsidRPr="00A104B9" w:rsidRDefault="004B196B" w:rsidP="004B196B">
      <w:pPr>
        <w:spacing w:line="276" w:lineRule="auto"/>
        <w:jc w:val="both"/>
        <w:rPr>
          <w:rFonts w:ascii="Calibri" w:eastAsia="Calibri" w:hAnsi="Calibri" w:cs="Calibri"/>
          <w:b/>
          <w:bCs/>
        </w:rPr>
      </w:pPr>
      <w:r>
        <w:rPr>
          <w:rFonts w:ascii="Calibri" w:hAnsi="Calibri"/>
          <w:b/>
          <w:bCs/>
        </w:rPr>
        <w:t>Byla zahájena druhá edice iniciativy EU, v jejímž rámci lze vyhrát celkem až 1 000 000 eur. Soutěž myEUspace, kterou pořádá EUSPA (Agentura Evropské unie pro vesmírný program), je určena startupům a podnikatelům, kteří mají nápad nebo hotové řešení, jako jsou například mobilní aplikace, nositelné zařízení nebo robotický výrobek využívající satelitní data. Pro účast v soutěži se nemusíte specializovat na vesmírný průmysl.</w:t>
      </w:r>
      <w:r>
        <w:rPr>
          <w:rFonts w:ascii="Calibri" w:hAnsi="Calibri"/>
        </w:rPr>
        <w:t xml:space="preserve"> </w:t>
      </w:r>
      <w:r>
        <w:rPr>
          <w:rFonts w:ascii="Calibri" w:hAnsi="Calibri"/>
          <w:b/>
          <w:bCs/>
        </w:rPr>
        <w:t xml:space="preserve">Žádosti se přijímají ve třech různých soutěžních cestách, které jsou přizpůsobeny stupni pokročilosti projektu. </w:t>
      </w:r>
    </w:p>
    <w:p w14:paraId="492B1821" w14:textId="40203170" w:rsidR="00321EEA" w:rsidRDefault="00E95ECB" w:rsidP="000F2D3A">
      <w:pPr>
        <w:spacing w:line="276" w:lineRule="auto"/>
        <w:jc w:val="both"/>
        <w:rPr>
          <w:rFonts w:ascii="Calibri" w:eastAsia="Calibri" w:hAnsi="Calibri" w:cs="Calibri"/>
        </w:rPr>
      </w:pPr>
      <w:r>
        <w:rPr>
          <w:rFonts w:ascii="Calibri" w:hAnsi="Calibri"/>
        </w:rPr>
        <w:t>V rámci vesmírné politiky EU vyvíjí Evropská unie dva hlavní vesmírné programy: globální satelitní navigační systém Galileo a systém pozorování Země Copernicus. Satelitní data z těchto programů jsou široce dostupná pro volné použití a seznam oblastí, ve kterých se produkty na nich založené uplatňují, pokrývá prakticky všechna odvětví ekonomiky. To prokázali účastníci předchozího ročníku soutěže. Mezi vítězné projekty patří mj. aplikace pro udržitelné precizní zemědělství, platforma zvyšující bezpečnost silničního provozu využívající navigační data i pozorování Země a řešení pro automatické sledování sesedání půdy na staveništích.</w:t>
      </w:r>
    </w:p>
    <w:p w14:paraId="3549941C" w14:textId="57596307" w:rsidR="003E54FC" w:rsidRDefault="000C526A" w:rsidP="000F2D3A">
      <w:pPr>
        <w:spacing w:line="276" w:lineRule="auto"/>
        <w:jc w:val="both"/>
        <w:rPr>
          <w:rFonts w:ascii="Calibri" w:eastAsia="Calibri" w:hAnsi="Calibri" w:cs="Calibri"/>
        </w:rPr>
      </w:pPr>
      <w:r>
        <w:rPr>
          <w:rFonts w:ascii="Calibri" w:hAnsi="Calibri"/>
        </w:rPr>
        <w:t>Cílem soutěže myEUspace je podpořit průlomová řešení, která kombinují pokročilé technologie, inovativní nápady a obrovský potenciál dat pocházejících z vesmíru. Navrhované projekty by měly spadat do jedné ze tří tematických oblastí:</w:t>
      </w:r>
    </w:p>
    <w:p w14:paraId="0D353315" w14:textId="1C42ADF7" w:rsidR="003E54FC" w:rsidRPr="005714EE" w:rsidRDefault="00302103" w:rsidP="000F2D3A">
      <w:pPr>
        <w:pStyle w:val="Akapitzlist"/>
        <w:numPr>
          <w:ilvl w:val="0"/>
          <w:numId w:val="1"/>
        </w:numPr>
        <w:spacing w:line="276" w:lineRule="auto"/>
        <w:jc w:val="both"/>
        <w:rPr>
          <w:rFonts w:eastAsiaTheme="minorEastAsia"/>
        </w:rPr>
      </w:pPr>
      <w:r>
        <w:rPr>
          <w:rFonts w:ascii="Calibri" w:hAnsi="Calibri"/>
          <w:b/>
          <w:bCs/>
        </w:rPr>
        <w:t xml:space="preserve">Space My Life </w:t>
      </w:r>
      <w:r>
        <w:rPr>
          <w:rFonts w:ascii="Calibri" w:hAnsi="Calibri"/>
        </w:rPr>
        <w:t>– spotřebitelská řešení, jako jsou mobilní aplikace, nositelná zařízení (chytré hodinky, chytré brýle, fitness trackery atd.), drony nebo robotická zařízení, která reagují na hlavní společenské výzvy v tematických oblastech, jako jsou zdraví, bezpečnost a ochrana občanů, hry a zábava, sport a fitness a turistika</w:t>
      </w:r>
    </w:p>
    <w:p w14:paraId="4CF576CF" w14:textId="52636A89" w:rsidR="003E54FC" w:rsidRDefault="003E54FC" w:rsidP="000F2D3A">
      <w:pPr>
        <w:pStyle w:val="Akapitzlist"/>
        <w:numPr>
          <w:ilvl w:val="0"/>
          <w:numId w:val="1"/>
        </w:numPr>
        <w:spacing w:line="276" w:lineRule="auto"/>
        <w:jc w:val="both"/>
        <w:rPr>
          <w:rFonts w:eastAsiaTheme="minorEastAsia"/>
        </w:rPr>
      </w:pPr>
      <w:r>
        <w:rPr>
          <w:rFonts w:ascii="Calibri" w:hAnsi="Calibri"/>
          <w:b/>
          <w:bCs/>
        </w:rPr>
        <w:t>Our Green Planet</w:t>
      </w:r>
      <w:r>
        <w:rPr>
          <w:rFonts w:ascii="Calibri" w:hAnsi="Calibri"/>
        </w:rPr>
        <w:t xml:space="preserve"> – inovativní řešení výzev v oblasti ochrany životního prostředí a udržitelného života, která přispívají k realizaci Zelené dohody pro Evropu, a také nástroje podporující zelenou transformaci podniků</w:t>
      </w:r>
    </w:p>
    <w:p w14:paraId="6BA12190" w14:textId="2EDF3D19" w:rsidR="003E54FC" w:rsidRPr="0074089C" w:rsidRDefault="003E54FC" w:rsidP="000F2D3A">
      <w:pPr>
        <w:pStyle w:val="Akapitzlist"/>
        <w:numPr>
          <w:ilvl w:val="0"/>
          <w:numId w:val="1"/>
        </w:numPr>
        <w:spacing w:line="276" w:lineRule="auto"/>
        <w:jc w:val="both"/>
        <w:rPr>
          <w:rFonts w:eastAsiaTheme="minorEastAsia"/>
        </w:rPr>
      </w:pPr>
      <w:r>
        <w:rPr>
          <w:rFonts w:ascii="Calibri" w:hAnsi="Calibri"/>
          <w:b/>
          <w:bCs/>
        </w:rPr>
        <w:t>Dive In Deep Tech</w:t>
      </w:r>
      <w:r>
        <w:rPr>
          <w:rFonts w:ascii="Calibri" w:hAnsi="Calibri"/>
        </w:rPr>
        <w:t xml:space="preserve"> – inovativní řešení kombinující data z vesmírných programů EU se špičkovými technologiemi, jako jsou umělá inteligence (AI), kvantové technologie (výpočetní, senzorické, simulační, šifrovací atd.), blockchain, metaverse a rozšířená realita (Augmented Reality (AR) / Mixed Reality (MR) / Virtual Reality (VR). </w:t>
      </w:r>
    </w:p>
    <w:p w14:paraId="219178E4" w14:textId="137F9CE3" w:rsidR="0004685E" w:rsidRDefault="000C526A" w:rsidP="000F2D3A">
      <w:pPr>
        <w:spacing w:line="276" w:lineRule="auto"/>
        <w:jc w:val="both"/>
        <w:rPr>
          <w:rFonts w:ascii="Calibri" w:eastAsia="Calibri" w:hAnsi="Calibri" w:cs="Calibri"/>
        </w:rPr>
      </w:pPr>
      <w:r>
        <w:rPr>
          <w:rFonts w:ascii="Calibri" w:hAnsi="Calibri"/>
        </w:rPr>
        <w:t xml:space="preserve">Výherní fond ve výši 1 000 000 EUR pro nejlepší aplikace má povzbudit inovátory k podávání přihlášek, ale podle organizátorů je finanční injekce pouze jednou z mnoha výhod účasti v soutěži. </w:t>
      </w:r>
    </w:p>
    <w:p w14:paraId="6774B616" w14:textId="77777777" w:rsidR="004B196B" w:rsidRPr="00A104B9" w:rsidRDefault="004B196B" w:rsidP="004B196B">
      <w:pPr>
        <w:spacing w:line="276" w:lineRule="auto"/>
        <w:jc w:val="both"/>
        <w:rPr>
          <w:rFonts w:ascii="Calibri" w:eastAsia="Calibri" w:hAnsi="Calibri" w:cs="Calibri"/>
        </w:rPr>
      </w:pPr>
      <w:r>
        <w:rPr>
          <w:rFonts w:ascii="Calibri" w:hAnsi="Calibri"/>
          <w:i/>
          <w:iCs/>
        </w:rPr>
        <w:t>- Kromě financování nejlepších nápadů nabízíme také technickou a obchodní podporu našich odborníků</w:t>
      </w:r>
      <w:r>
        <w:rPr>
          <w:rFonts w:ascii="Calibri" w:hAnsi="Calibri"/>
        </w:rPr>
        <w:t xml:space="preserve"> – říká Justyna Redełkiewicz, vedoucí Sekce Consumer Solutions, Market and Technology v EUSPA. </w:t>
      </w:r>
      <w:r>
        <w:rPr>
          <w:rFonts w:ascii="Calibri" w:hAnsi="Calibri"/>
          <w:i/>
          <w:iCs/>
        </w:rPr>
        <w:t>V průběhu posledních let vytvořila EUSPA působivý ekosystém startupů a organizací, které každodenně využívají satelitní data. Budujeme komunitu, která se kromě průkopnických nápadů s vysokým tržním potenciálem dělí o své zkušenosti a vzájemně se inspiruje. Od samotných účastníků prvního ročníku myEUspace víme, že je to pro ně velká hodnota</w:t>
      </w:r>
      <w:r>
        <w:rPr>
          <w:rFonts w:ascii="Calibri" w:hAnsi="Calibri"/>
        </w:rPr>
        <w:t xml:space="preserve"> – dodává.</w:t>
      </w:r>
    </w:p>
    <w:p w14:paraId="037A4748" w14:textId="77777777" w:rsidR="004B196B" w:rsidRPr="00A104B9" w:rsidRDefault="004B196B" w:rsidP="004B196B">
      <w:pPr>
        <w:spacing w:line="276" w:lineRule="auto"/>
        <w:jc w:val="both"/>
        <w:rPr>
          <w:rFonts w:ascii="Calibri" w:eastAsia="Calibri" w:hAnsi="Calibri" w:cs="Calibri"/>
        </w:rPr>
      </w:pPr>
      <w:r>
        <w:rPr>
          <w:rFonts w:ascii="Calibri" w:hAnsi="Calibri"/>
        </w:rPr>
        <w:t xml:space="preserve">V závislosti na pokročilosti projektu se lze do soutěže přihlásit třemi způsoby. V rámci </w:t>
      </w:r>
      <w:r>
        <w:rPr>
          <w:rFonts w:ascii="Calibri" w:hAnsi="Calibri"/>
          <w:b/>
          <w:bCs/>
        </w:rPr>
        <w:t>Cesty „přihlášení nápadu“</w:t>
      </w:r>
      <w:r>
        <w:rPr>
          <w:rFonts w:ascii="Calibri" w:hAnsi="Calibri"/>
        </w:rPr>
        <w:t xml:space="preserve"> se přijímají prezentace návrhů v teoretické fázi spolu s popisem praktického využití nápadu s přihlédnutím k potřebám klienta a problémům, které daný nápad řeší. Nápady v rámci této cesty se mohou předkládat do </w:t>
      </w:r>
      <w:r>
        <w:rPr>
          <w:rFonts w:ascii="Calibri" w:hAnsi="Calibri"/>
          <w:b/>
          <w:bCs/>
        </w:rPr>
        <w:t>30. listopadu 2022</w:t>
      </w:r>
      <w:r>
        <w:rPr>
          <w:rFonts w:ascii="Calibri" w:hAnsi="Calibri"/>
        </w:rPr>
        <w:t>.</w:t>
      </w:r>
    </w:p>
    <w:p w14:paraId="050D4E1B" w14:textId="77777777" w:rsidR="004B196B" w:rsidRPr="00A104B9" w:rsidRDefault="004B196B" w:rsidP="004B196B">
      <w:pPr>
        <w:spacing w:line="276" w:lineRule="auto"/>
        <w:jc w:val="both"/>
        <w:rPr>
          <w:rFonts w:ascii="Calibri" w:eastAsia="Calibri" w:hAnsi="Calibri" w:cs="Calibri"/>
        </w:rPr>
      </w:pPr>
      <w:r>
        <w:rPr>
          <w:rFonts w:ascii="Calibri" w:hAnsi="Calibri"/>
          <w:b/>
          <w:bCs/>
        </w:rPr>
        <w:lastRenderedPageBreak/>
        <w:t>Cesta „přihlášení prototypu“</w:t>
      </w:r>
      <w:r>
        <w:rPr>
          <w:rFonts w:ascii="Calibri" w:hAnsi="Calibri"/>
        </w:rPr>
        <w:t xml:space="preserve"> zahrnuje projekty ve fázi prototypu nebo beta verze, které již byly otestovány ve vhodném prostředí. Při aplikaci v rámci této cesty je nutné připravit popis praktického využití řešení, potřeb klienta a hodnotové nabídky (</w:t>
      </w:r>
      <w:r>
        <w:rPr>
          <w:rFonts w:ascii="Calibri" w:hAnsi="Calibri"/>
          <w:i/>
          <w:iCs/>
        </w:rPr>
        <w:t>value proposition</w:t>
      </w:r>
      <w:r>
        <w:rPr>
          <w:rFonts w:ascii="Calibri" w:hAnsi="Calibri"/>
        </w:rPr>
        <w:t xml:space="preserve">). Lhůta pro podání přihlášek v rámci této cesty končí </w:t>
      </w:r>
      <w:r>
        <w:rPr>
          <w:rFonts w:ascii="Calibri" w:hAnsi="Calibri"/>
          <w:b/>
          <w:bCs/>
        </w:rPr>
        <w:t>10. února 2023</w:t>
      </w:r>
      <w:r>
        <w:rPr>
          <w:rFonts w:ascii="Calibri" w:hAnsi="Calibri"/>
        </w:rPr>
        <w:t>.</w:t>
      </w:r>
    </w:p>
    <w:p w14:paraId="6A7A1715" w14:textId="77777777" w:rsidR="004B196B" w:rsidRPr="00A104B9" w:rsidRDefault="004B196B" w:rsidP="004B196B">
      <w:pPr>
        <w:spacing w:line="276" w:lineRule="auto"/>
        <w:jc w:val="both"/>
        <w:rPr>
          <w:rFonts w:ascii="Calibri" w:eastAsia="Calibri" w:hAnsi="Calibri" w:cs="Calibri"/>
        </w:rPr>
      </w:pPr>
      <w:r>
        <w:rPr>
          <w:rFonts w:ascii="Calibri" w:hAnsi="Calibri"/>
          <w:b/>
          <w:bCs/>
        </w:rPr>
        <w:t>Cesta „přihlášení výrobku“</w:t>
      </w:r>
      <w:r>
        <w:rPr>
          <w:rFonts w:ascii="Calibri" w:hAnsi="Calibri"/>
        </w:rPr>
        <w:t xml:space="preserve"> se vztahuje na řešení, která jsou připravena ke komercializaci nebo již fungují na trhu. Stejně jako ve výše uvedeném případě by měl návrh obsahovat příklad praktického využití výrobku, popis potřeb klienta a hodnotovou nabídku. Přihlášky v rámci této cesty se budou přijímat do </w:t>
      </w:r>
      <w:r>
        <w:rPr>
          <w:rFonts w:ascii="Calibri" w:hAnsi="Calibri"/>
          <w:b/>
          <w:bCs/>
        </w:rPr>
        <w:t>25. dubna 2023</w:t>
      </w:r>
      <w:r>
        <w:rPr>
          <w:rFonts w:ascii="Calibri" w:hAnsi="Calibri"/>
        </w:rPr>
        <w:t>.</w:t>
      </w:r>
    </w:p>
    <w:p w14:paraId="2AB8A86F" w14:textId="2C921484" w:rsidR="00F220B1" w:rsidRPr="004B196B" w:rsidRDefault="004B196B" w:rsidP="004B196B">
      <w:pPr>
        <w:spacing w:line="276" w:lineRule="auto"/>
        <w:jc w:val="both"/>
        <w:rPr>
          <w:rFonts w:ascii="Calibri" w:eastAsia="Calibri" w:hAnsi="Calibri" w:cs="Calibri"/>
          <w:color w:val="0563C1" w:themeColor="hyperlink"/>
          <w:u w:val="single"/>
        </w:rPr>
      </w:pPr>
      <w:r>
        <w:rPr>
          <w:rFonts w:ascii="Calibri" w:hAnsi="Calibri"/>
        </w:rPr>
        <w:t>Všechny projekty budou hodnoceny z hlediska inovační a technologické úrovně, tržního potenciálu, proveditelnosti a provozní kapacity a využití dat získaných z vesmíru. Vítězové všech cest budou pozváni na Den podnikání EUSPA 1. června 2023, kde budou mít příležitost prezentovat svá řešení před soutěžní porotou a pozvanými hosty</w:t>
      </w:r>
      <w:r>
        <w:rPr>
          <w:rFonts w:ascii="Calibri" w:hAnsi="Calibri"/>
        </w:rPr>
        <w:t xml:space="preserve"> </w:t>
      </w:r>
      <w:r w:rsidR="002B6158">
        <w:rPr>
          <w:rFonts w:ascii="Calibri" w:hAnsi="Calibri"/>
        </w:rPr>
        <w:t>Podrobné podmínky účasti, termíny pro podání přihlášek a přihlašovací formuláře jsou k dispozici na internetových stránkách pořadatele:</w:t>
      </w:r>
      <w:r>
        <w:rPr>
          <w:rFonts w:ascii="Calibri" w:hAnsi="Calibri"/>
        </w:rPr>
        <w:t xml:space="preserve"> </w:t>
      </w:r>
      <w:hyperlink r:id="rId8" w:history="1">
        <w:r w:rsidRPr="00C652F9">
          <w:rPr>
            <w:rStyle w:val="Hipercze"/>
          </w:rPr>
          <w:t>https://www.euspa.europa.eu/myeuspacecompetition</w:t>
        </w:r>
      </w:hyperlink>
      <w:r w:rsidR="000338EF">
        <w:rPr>
          <w:rFonts w:ascii="Calibri" w:hAnsi="Calibri"/>
        </w:rPr>
        <w:t>.</w:t>
      </w:r>
    </w:p>
    <w:p w14:paraId="10BA16F3" w14:textId="1A816CFD" w:rsidR="00A6099B" w:rsidRDefault="002B6158" w:rsidP="000F2D3A">
      <w:pPr>
        <w:spacing w:line="276" w:lineRule="auto"/>
        <w:jc w:val="both"/>
        <w:rPr>
          <w:rFonts w:ascii="Calibri" w:eastAsia="Calibri" w:hAnsi="Calibri" w:cs="Calibri"/>
        </w:rPr>
      </w:pPr>
      <w:r>
        <w:rPr>
          <w:rFonts w:ascii="Calibri" w:hAnsi="Calibri"/>
        </w:rPr>
        <w:t xml:space="preserve">- - - </w:t>
      </w:r>
    </w:p>
    <w:p w14:paraId="45331AAE" w14:textId="180486A3" w:rsidR="002B6158" w:rsidRPr="002B6158" w:rsidRDefault="002B6158" w:rsidP="000F2D3A">
      <w:pPr>
        <w:spacing w:line="276" w:lineRule="auto"/>
        <w:jc w:val="both"/>
        <w:rPr>
          <w:b/>
          <w:bCs/>
          <w:sz w:val="20"/>
          <w:szCs w:val="20"/>
        </w:rPr>
      </w:pPr>
      <w:r>
        <w:rPr>
          <w:b/>
          <w:bCs/>
          <w:sz w:val="20"/>
          <w:szCs w:val="20"/>
        </w:rPr>
        <w:t>O EUSPA</w:t>
      </w:r>
    </w:p>
    <w:p w14:paraId="6C50163C" w14:textId="77777777" w:rsidR="00591EB3" w:rsidRDefault="002B6158" w:rsidP="000F2D3A">
      <w:pPr>
        <w:spacing w:line="276" w:lineRule="auto"/>
        <w:jc w:val="both"/>
        <w:rPr>
          <w:sz w:val="20"/>
          <w:szCs w:val="20"/>
        </w:rPr>
      </w:pPr>
      <w:r>
        <w:rPr>
          <w:sz w:val="20"/>
          <w:szCs w:val="20"/>
        </w:rPr>
        <w:t xml:space="preserve">Agentura Evropské unie pro vesmírný program (EUSPA) poskytuje bezpečné evropské satelitní navigační služby, podporuje komercializaci dat a služeb Galileo, EGNOS a Copernicus a koordinuje budoucí vládní satelitní komunikační program GOVSATCOM. EUSPA odpovídá za bezpečnostní akreditaci všech složek kosmického programu EU. Podporou rozvoje inovativního a konkurenceschopného vesmírného sektoru a spoluprací s celým vesmírným společenstvím EU přispívá EUSPA k realizaci Zelené dohody pro Evropu a digitální transformaci, jakož i k bezpečnosti a ochraně Unie a jejích občanů a zároveň posiluje její autonomii a odolnost. </w:t>
      </w:r>
    </w:p>
    <w:p w14:paraId="4DC0B8A6" w14:textId="64CCA324" w:rsidR="00B234D6" w:rsidRPr="006F7207" w:rsidRDefault="00A16A26" w:rsidP="000F2D3A">
      <w:pPr>
        <w:spacing w:line="276" w:lineRule="auto"/>
        <w:jc w:val="both"/>
        <w:rPr>
          <w:sz w:val="20"/>
          <w:szCs w:val="20"/>
        </w:rPr>
      </w:pPr>
      <w:r>
        <w:rPr>
          <w:rFonts w:ascii="Calibri" w:hAnsi="Calibri"/>
          <w:sz w:val="20"/>
          <w:szCs w:val="20"/>
        </w:rPr>
        <w:t xml:space="preserve">Soutěž myEUspace, kterou pořádá EUSPA, je jedním z hlavních projektů iniciativy Evropské komise s názvem </w:t>
      </w:r>
      <w:hyperlink r:id="rId9" w:history="1">
        <w:r w:rsidRPr="004B196B">
          <w:rPr>
            <w:rStyle w:val="Hipercze"/>
            <w:rFonts w:ascii="Calibri" w:hAnsi="Calibri"/>
            <w:sz w:val="20"/>
            <w:szCs w:val="20"/>
          </w:rPr>
          <w:t>CASSINI</w:t>
        </w:r>
      </w:hyperlink>
      <w:r>
        <w:rPr>
          <w:rFonts w:ascii="Calibri" w:hAnsi="Calibri"/>
          <w:sz w:val="20"/>
          <w:szCs w:val="20"/>
        </w:rPr>
        <w:t xml:space="preserve"> zaměřené na startupy, podnikatele a organizace a společnosti z řad malých a středních podniků. </w:t>
      </w:r>
    </w:p>
    <w:sectPr w:rsidR="00B234D6" w:rsidRPr="006F7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700CC"/>
    <w:multiLevelType w:val="hybridMultilevel"/>
    <w:tmpl w:val="FD6E1A7C"/>
    <w:lvl w:ilvl="0" w:tplc="5B36A5D8">
      <w:start w:val="1"/>
      <w:numFmt w:val="bullet"/>
      <w:lvlText w:val="·"/>
      <w:lvlJc w:val="left"/>
      <w:pPr>
        <w:ind w:left="720" w:hanging="360"/>
      </w:pPr>
      <w:rPr>
        <w:rFonts w:ascii="Symbol" w:hAnsi="Symbol" w:hint="default"/>
      </w:rPr>
    </w:lvl>
    <w:lvl w:ilvl="1" w:tplc="C5D8706C">
      <w:start w:val="1"/>
      <w:numFmt w:val="bullet"/>
      <w:lvlText w:val="o"/>
      <w:lvlJc w:val="left"/>
      <w:pPr>
        <w:ind w:left="1440" w:hanging="360"/>
      </w:pPr>
      <w:rPr>
        <w:rFonts w:ascii="Courier New" w:hAnsi="Courier New" w:hint="default"/>
      </w:rPr>
    </w:lvl>
    <w:lvl w:ilvl="2" w:tplc="81ECD354">
      <w:start w:val="1"/>
      <w:numFmt w:val="bullet"/>
      <w:lvlText w:val=""/>
      <w:lvlJc w:val="left"/>
      <w:pPr>
        <w:ind w:left="2160" w:hanging="360"/>
      </w:pPr>
      <w:rPr>
        <w:rFonts w:ascii="Wingdings" w:hAnsi="Wingdings" w:hint="default"/>
      </w:rPr>
    </w:lvl>
    <w:lvl w:ilvl="3" w:tplc="FCCCC980">
      <w:start w:val="1"/>
      <w:numFmt w:val="bullet"/>
      <w:lvlText w:val=""/>
      <w:lvlJc w:val="left"/>
      <w:pPr>
        <w:ind w:left="2880" w:hanging="360"/>
      </w:pPr>
      <w:rPr>
        <w:rFonts w:ascii="Symbol" w:hAnsi="Symbol" w:hint="default"/>
      </w:rPr>
    </w:lvl>
    <w:lvl w:ilvl="4" w:tplc="B436F9F6">
      <w:start w:val="1"/>
      <w:numFmt w:val="bullet"/>
      <w:lvlText w:val="o"/>
      <w:lvlJc w:val="left"/>
      <w:pPr>
        <w:ind w:left="3600" w:hanging="360"/>
      </w:pPr>
      <w:rPr>
        <w:rFonts w:ascii="Courier New" w:hAnsi="Courier New" w:hint="default"/>
      </w:rPr>
    </w:lvl>
    <w:lvl w:ilvl="5" w:tplc="E702D40A">
      <w:start w:val="1"/>
      <w:numFmt w:val="bullet"/>
      <w:lvlText w:val=""/>
      <w:lvlJc w:val="left"/>
      <w:pPr>
        <w:ind w:left="4320" w:hanging="360"/>
      </w:pPr>
      <w:rPr>
        <w:rFonts w:ascii="Wingdings" w:hAnsi="Wingdings" w:hint="default"/>
      </w:rPr>
    </w:lvl>
    <w:lvl w:ilvl="6" w:tplc="1D0A8644">
      <w:start w:val="1"/>
      <w:numFmt w:val="bullet"/>
      <w:lvlText w:val=""/>
      <w:lvlJc w:val="left"/>
      <w:pPr>
        <w:ind w:left="5040" w:hanging="360"/>
      </w:pPr>
      <w:rPr>
        <w:rFonts w:ascii="Symbol" w:hAnsi="Symbol" w:hint="default"/>
      </w:rPr>
    </w:lvl>
    <w:lvl w:ilvl="7" w:tplc="6B46F886">
      <w:start w:val="1"/>
      <w:numFmt w:val="bullet"/>
      <w:lvlText w:val="o"/>
      <w:lvlJc w:val="left"/>
      <w:pPr>
        <w:ind w:left="5760" w:hanging="360"/>
      </w:pPr>
      <w:rPr>
        <w:rFonts w:ascii="Courier New" w:hAnsi="Courier New" w:hint="default"/>
      </w:rPr>
    </w:lvl>
    <w:lvl w:ilvl="8" w:tplc="AFAAC0A0">
      <w:start w:val="1"/>
      <w:numFmt w:val="bullet"/>
      <w:lvlText w:val=""/>
      <w:lvlJc w:val="left"/>
      <w:pPr>
        <w:ind w:left="6480" w:hanging="360"/>
      </w:pPr>
      <w:rPr>
        <w:rFonts w:ascii="Wingdings" w:hAnsi="Wingdings" w:hint="default"/>
      </w:rPr>
    </w:lvl>
  </w:abstractNum>
  <w:num w:numId="1" w16cid:durableId="1512447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224CC80"/>
    <w:rsid w:val="0000585A"/>
    <w:rsid w:val="000338EF"/>
    <w:rsid w:val="00037494"/>
    <w:rsid w:val="0004685E"/>
    <w:rsid w:val="000516ED"/>
    <w:rsid w:val="00060F31"/>
    <w:rsid w:val="000677C4"/>
    <w:rsid w:val="000C1D37"/>
    <w:rsid w:val="000C283A"/>
    <w:rsid w:val="000C526A"/>
    <w:rsid w:val="000D38DC"/>
    <w:rsid w:val="000E18D7"/>
    <w:rsid w:val="000E3442"/>
    <w:rsid w:val="000F2D3A"/>
    <w:rsid w:val="00105DDF"/>
    <w:rsid w:val="0011574F"/>
    <w:rsid w:val="001245F0"/>
    <w:rsid w:val="001426CE"/>
    <w:rsid w:val="00153858"/>
    <w:rsid w:val="0016198C"/>
    <w:rsid w:val="00165DA6"/>
    <w:rsid w:val="00190D86"/>
    <w:rsid w:val="001960DF"/>
    <w:rsid w:val="001A5C0D"/>
    <w:rsid w:val="001B3568"/>
    <w:rsid w:val="001E276F"/>
    <w:rsid w:val="001F00C5"/>
    <w:rsid w:val="00202128"/>
    <w:rsid w:val="0020557D"/>
    <w:rsid w:val="0021204E"/>
    <w:rsid w:val="00222DFF"/>
    <w:rsid w:val="00230A1D"/>
    <w:rsid w:val="002753A3"/>
    <w:rsid w:val="0029494E"/>
    <w:rsid w:val="002A5CBA"/>
    <w:rsid w:val="002B4181"/>
    <w:rsid w:val="002B6158"/>
    <w:rsid w:val="002C4278"/>
    <w:rsid w:val="002D57B9"/>
    <w:rsid w:val="002F24E7"/>
    <w:rsid w:val="00302103"/>
    <w:rsid w:val="00321EEA"/>
    <w:rsid w:val="00327D81"/>
    <w:rsid w:val="00331F43"/>
    <w:rsid w:val="00343A55"/>
    <w:rsid w:val="00344D20"/>
    <w:rsid w:val="00345472"/>
    <w:rsid w:val="00362900"/>
    <w:rsid w:val="00362C7C"/>
    <w:rsid w:val="00363037"/>
    <w:rsid w:val="00370761"/>
    <w:rsid w:val="00370BD2"/>
    <w:rsid w:val="00380EDA"/>
    <w:rsid w:val="0038718C"/>
    <w:rsid w:val="003A10E0"/>
    <w:rsid w:val="003C3B4B"/>
    <w:rsid w:val="003C705B"/>
    <w:rsid w:val="003E54FC"/>
    <w:rsid w:val="00417865"/>
    <w:rsid w:val="0042423C"/>
    <w:rsid w:val="004B149E"/>
    <w:rsid w:val="004B196B"/>
    <w:rsid w:val="005142C6"/>
    <w:rsid w:val="00531E3C"/>
    <w:rsid w:val="0054056D"/>
    <w:rsid w:val="005714EE"/>
    <w:rsid w:val="00577220"/>
    <w:rsid w:val="00591EB3"/>
    <w:rsid w:val="005D0BB7"/>
    <w:rsid w:val="005F3B3A"/>
    <w:rsid w:val="00621832"/>
    <w:rsid w:val="00642467"/>
    <w:rsid w:val="00675789"/>
    <w:rsid w:val="006851A7"/>
    <w:rsid w:val="00685900"/>
    <w:rsid w:val="00697DF3"/>
    <w:rsid w:val="006A6C62"/>
    <w:rsid w:val="006B7975"/>
    <w:rsid w:val="006E3E4A"/>
    <w:rsid w:val="006E78E7"/>
    <w:rsid w:val="006F0F97"/>
    <w:rsid w:val="006F19B4"/>
    <w:rsid w:val="006F7207"/>
    <w:rsid w:val="00714EB7"/>
    <w:rsid w:val="0074089C"/>
    <w:rsid w:val="00746875"/>
    <w:rsid w:val="00755D1D"/>
    <w:rsid w:val="00756C5D"/>
    <w:rsid w:val="00785AD8"/>
    <w:rsid w:val="0079327D"/>
    <w:rsid w:val="00796DCE"/>
    <w:rsid w:val="007C07ED"/>
    <w:rsid w:val="007D55E3"/>
    <w:rsid w:val="007F2AC8"/>
    <w:rsid w:val="007F5252"/>
    <w:rsid w:val="00801015"/>
    <w:rsid w:val="00802FF3"/>
    <w:rsid w:val="0081469A"/>
    <w:rsid w:val="00817580"/>
    <w:rsid w:val="00841E96"/>
    <w:rsid w:val="00863B28"/>
    <w:rsid w:val="00870124"/>
    <w:rsid w:val="008839A2"/>
    <w:rsid w:val="008A4220"/>
    <w:rsid w:val="008B3D4C"/>
    <w:rsid w:val="008E5143"/>
    <w:rsid w:val="00903A2F"/>
    <w:rsid w:val="00946F66"/>
    <w:rsid w:val="00955FE8"/>
    <w:rsid w:val="00956176"/>
    <w:rsid w:val="00990102"/>
    <w:rsid w:val="00997D22"/>
    <w:rsid w:val="009A1928"/>
    <w:rsid w:val="009A65BF"/>
    <w:rsid w:val="00A16A26"/>
    <w:rsid w:val="00A5018E"/>
    <w:rsid w:val="00A51B89"/>
    <w:rsid w:val="00A548E0"/>
    <w:rsid w:val="00A6099B"/>
    <w:rsid w:val="00A67759"/>
    <w:rsid w:val="00A85612"/>
    <w:rsid w:val="00A87D54"/>
    <w:rsid w:val="00A97C61"/>
    <w:rsid w:val="00AA572F"/>
    <w:rsid w:val="00AB2990"/>
    <w:rsid w:val="00AE2E4B"/>
    <w:rsid w:val="00B027FE"/>
    <w:rsid w:val="00B16C87"/>
    <w:rsid w:val="00B234D6"/>
    <w:rsid w:val="00B446CF"/>
    <w:rsid w:val="00B868A3"/>
    <w:rsid w:val="00B96269"/>
    <w:rsid w:val="00BA122F"/>
    <w:rsid w:val="00BC7C8F"/>
    <w:rsid w:val="00BE45F5"/>
    <w:rsid w:val="00C0777A"/>
    <w:rsid w:val="00C11BB3"/>
    <w:rsid w:val="00C70EB1"/>
    <w:rsid w:val="00C73CCB"/>
    <w:rsid w:val="00C74638"/>
    <w:rsid w:val="00C807F2"/>
    <w:rsid w:val="00C85638"/>
    <w:rsid w:val="00C917ED"/>
    <w:rsid w:val="00CA14AD"/>
    <w:rsid w:val="00CB4B8E"/>
    <w:rsid w:val="00CC23FE"/>
    <w:rsid w:val="00CF1EA4"/>
    <w:rsid w:val="00CF3C38"/>
    <w:rsid w:val="00D205B9"/>
    <w:rsid w:val="00D27383"/>
    <w:rsid w:val="00D42ECB"/>
    <w:rsid w:val="00D52375"/>
    <w:rsid w:val="00D71856"/>
    <w:rsid w:val="00D72705"/>
    <w:rsid w:val="00DA7A41"/>
    <w:rsid w:val="00DD233F"/>
    <w:rsid w:val="00DE21D4"/>
    <w:rsid w:val="00DE5C52"/>
    <w:rsid w:val="00DF4C70"/>
    <w:rsid w:val="00E13C89"/>
    <w:rsid w:val="00E2196B"/>
    <w:rsid w:val="00E343E4"/>
    <w:rsid w:val="00E403E6"/>
    <w:rsid w:val="00E861AA"/>
    <w:rsid w:val="00E95ECB"/>
    <w:rsid w:val="00EF314C"/>
    <w:rsid w:val="00F220B1"/>
    <w:rsid w:val="00F34A9F"/>
    <w:rsid w:val="00F34D52"/>
    <w:rsid w:val="00F717A1"/>
    <w:rsid w:val="00F85C6D"/>
    <w:rsid w:val="00FB40AA"/>
    <w:rsid w:val="00FB74A5"/>
    <w:rsid w:val="00FF71EA"/>
    <w:rsid w:val="135647A8"/>
    <w:rsid w:val="168DE86A"/>
    <w:rsid w:val="18A30CEF"/>
    <w:rsid w:val="1C115481"/>
    <w:rsid w:val="1D989C25"/>
    <w:rsid w:val="25102959"/>
    <w:rsid w:val="338276E2"/>
    <w:rsid w:val="3844C588"/>
    <w:rsid w:val="3B72EFCD"/>
    <w:rsid w:val="3F1B0D46"/>
    <w:rsid w:val="4769E72A"/>
    <w:rsid w:val="620EA211"/>
    <w:rsid w:val="6224CC80"/>
    <w:rsid w:val="6A1F42A1"/>
    <w:rsid w:val="6DD47285"/>
    <w:rsid w:val="78BEA701"/>
    <w:rsid w:val="7CA64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CC80"/>
  <w15:docId w15:val="{B1829DA5-F111-4887-895D-161ACE46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01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character" w:customStyle="1" w:styleId="normaltextrun">
    <w:name w:val="normaltextrun"/>
    <w:basedOn w:val="Domylnaczcionkaakapitu"/>
    <w:rsid w:val="000677C4"/>
  </w:style>
  <w:style w:type="character" w:customStyle="1" w:styleId="eop">
    <w:name w:val="eop"/>
    <w:basedOn w:val="Domylnaczcionkaakapitu"/>
    <w:rsid w:val="000677C4"/>
  </w:style>
  <w:style w:type="character" w:customStyle="1" w:styleId="Nierozpoznanawzmianka1">
    <w:name w:val="Nierozpoznana wzmianka1"/>
    <w:basedOn w:val="Domylnaczcionkaakapitu"/>
    <w:uiPriority w:val="99"/>
    <w:semiHidden/>
    <w:unhideWhenUsed/>
    <w:rsid w:val="00A6099B"/>
    <w:rPr>
      <w:color w:val="605E5C"/>
      <w:shd w:val="clear" w:color="auto" w:fill="E1DFDD"/>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F34A9F"/>
    <w:rPr>
      <w:b/>
      <w:bCs/>
    </w:rPr>
  </w:style>
  <w:style w:type="character" w:customStyle="1" w:styleId="TematkomentarzaZnak">
    <w:name w:val="Temat komentarza Znak"/>
    <w:basedOn w:val="TekstkomentarzaZnak"/>
    <w:link w:val="Tematkomentarza"/>
    <w:uiPriority w:val="99"/>
    <w:semiHidden/>
    <w:rsid w:val="00F34A9F"/>
    <w:rPr>
      <w:b/>
      <w:bCs/>
      <w:sz w:val="20"/>
      <w:szCs w:val="20"/>
    </w:rPr>
  </w:style>
  <w:style w:type="paragraph" w:styleId="Poprawka">
    <w:name w:val="Revision"/>
    <w:hidden/>
    <w:uiPriority w:val="99"/>
    <w:semiHidden/>
    <w:rsid w:val="00105DDF"/>
    <w:pPr>
      <w:spacing w:after="0" w:line="240" w:lineRule="auto"/>
    </w:pPr>
  </w:style>
  <w:style w:type="character" w:styleId="Nierozpoznanawzmianka">
    <w:name w:val="Unresolved Mention"/>
    <w:basedOn w:val="Domylnaczcionkaakapitu"/>
    <w:uiPriority w:val="99"/>
    <w:semiHidden/>
    <w:unhideWhenUsed/>
    <w:rsid w:val="004B1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spa.europa.eu/myeuspacecompeti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ssini.eu/cassini-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C11B77FCA06C14986D8BFAE74E0D354" ma:contentTypeVersion="16" ma:contentTypeDescription="Utwórz nowy dokument." ma:contentTypeScope="" ma:versionID="98f75371dc2731d3a298b90d17bf6181">
  <xsd:schema xmlns:xsd="http://www.w3.org/2001/XMLSchema" xmlns:xs="http://www.w3.org/2001/XMLSchema" xmlns:p="http://schemas.microsoft.com/office/2006/metadata/properties" xmlns:ns2="d418be5b-f3d6-46fb-b9c0-cc8c6893e0f9" xmlns:ns3="48530dfd-aa0d-4cab-aa96-d7ef72e47f71" targetNamespace="http://schemas.microsoft.com/office/2006/metadata/properties" ma:root="true" ma:fieldsID="98161df355e47b1d10355e4a8aeee6b3" ns2:_="" ns3:_="">
    <xsd:import namespace="d418be5b-f3d6-46fb-b9c0-cc8c6893e0f9"/>
    <xsd:import namespace="48530dfd-aa0d-4cab-aa96-d7ef72e47f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8be5b-f3d6-46fb-b9c0-cc8c6893e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21bfcbd9-f08e-4a2a-bcec-3d69c06c5c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530dfd-aa0d-4cab-aa96-d7ef72e47f71"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f3a28d09-fabe-4450-9222-9ba1244390da}" ma:internalName="TaxCatchAll" ma:showField="CatchAllData" ma:web="48530dfd-aa0d-4cab-aa96-d7ef72e47f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18be5b-f3d6-46fb-b9c0-cc8c6893e0f9">
      <Terms xmlns="http://schemas.microsoft.com/office/infopath/2007/PartnerControls"/>
    </lcf76f155ced4ddcb4097134ff3c332f>
    <TaxCatchAll xmlns="48530dfd-aa0d-4cab-aa96-d7ef72e47f71" xsi:nil="true"/>
  </documentManagement>
</p:properties>
</file>

<file path=customXml/itemProps1.xml><?xml version="1.0" encoding="utf-8"?>
<ds:datastoreItem xmlns:ds="http://schemas.openxmlformats.org/officeDocument/2006/customXml" ds:itemID="{23D2F61D-8324-43C8-9466-A8AFED3D9EB9}">
  <ds:schemaRefs>
    <ds:schemaRef ds:uri="http://schemas.microsoft.com/sharepoint/v3/contenttype/forms"/>
  </ds:schemaRefs>
</ds:datastoreItem>
</file>

<file path=customXml/itemProps2.xml><?xml version="1.0" encoding="utf-8"?>
<ds:datastoreItem xmlns:ds="http://schemas.openxmlformats.org/officeDocument/2006/customXml" ds:itemID="{6F6D76E2-7696-4FBD-B4EA-1DAACC4F1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8be5b-f3d6-46fb-b9c0-cc8c6893e0f9"/>
    <ds:schemaRef ds:uri="48530dfd-aa0d-4cab-aa96-d7ef72e47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ED9D90-4012-41B1-81EA-57A33C81E3B7}">
  <ds:schemaRefs>
    <ds:schemaRef ds:uri="http://schemas.microsoft.com/office/2006/metadata/properties"/>
    <ds:schemaRef ds:uri="http://schemas.microsoft.com/office/infopath/2007/PartnerControls"/>
    <ds:schemaRef ds:uri="d418be5b-f3d6-46fb-b9c0-cc8c6893e0f9"/>
    <ds:schemaRef ds:uri="48530dfd-aa0d-4cab-aa96-d7ef72e47f71"/>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793</Words>
  <Characters>4764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Agnieszka Mrozowska</cp:lastModifiedBy>
  <cp:revision>10</cp:revision>
  <dcterms:created xsi:type="dcterms:W3CDTF">2022-09-07T14:25:00Z</dcterms:created>
  <dcterms:modified xsi:type="dcterms:W3CDTF">2022-10-20T06:31:00Z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0x010100EC11B77FCA06C14986D8BFAE74E0D354</vt:lpwstr>
  </property>
  <property fmtid="{D5CDD505-2E9C-101B-9397-08002B2CF9AE}" pid="3" name="MediaServiceImageTags">
    <vt:lpwstr/>
  </property>
</Properties>
</file>