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4C1027AA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11" w:history="1">
        <w:r w:rsidR="00F96A64" w:rsidRPr="007612C7">
          <w:rPr>
            <w:rStyle w:val="Hipercze"/>
            <w:i/>
            <w:sz w:val="16"/>
            <w:szCs w:val="16"/>
            <w:lang w:val="de-DE"/>
          </w:rPr>
          <w:t>agnieszka.juraszczyk@capgemini.com</w:t>
        </w:r>
      </w:hyperlink>
      <w:r w:rsidR="00F96A64">
        <w:rPr>
          <w:i/>
          <w:color w:val="000000"/>
          <w:sz w:val="16"/>
          <w:szCs w:val="16"/>
          <w:lang w:val="de-DE"/>
        </w:rPr>
        <w:t xml:space="preserve"> </w:t>
      </w:r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96757E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96757E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96757E">
        <w:rPr>
          <w:i/>
          <w:color w:val="000000"/>
          <w:sz w:val="16"/>
          <w:szCs w:val="16"/>
          <w:lang w:val="de-DE"/>
        </w:rPr>
        <w:t xml:space="preserve">: </w:t>
      </w:r>
      <w:hyperlink r:id="rId12" w:history="1">
        <w:r w:rsidRPr="0096757E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96757E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0F8A744D" w14:textId="77777777" w:rsidR="00B24241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003BE2B" w14:textId="44BB4BCB" w:rsidR="00857579" w:rsidRDefault="002A611B" w:rsidP="008F5DB6">
      <w:pPr>
        <w:spacing w:line="266" w:lineRule="auto"/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>T</w:t>
      </w:r>
      <w:r w:rsidR="00857579" w:rsidRPr="00857579"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>echnologi</w:t>
      </w:r>
      <w:r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 xml:space="preserve">e </w:t>
      </w:r>
      <w:r w:rsidR="00857579" w:rsidRPr="00857579"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>i dan</w:t>
      </w:r>
      <w:r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>e</w:t>
      </w:r>
      <w:r w:rsidR="00857579" w:rsidRPr="00857579"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>zbudują</w:t>
      </w:r>
      <w:r w:rsidR="00857579" w:rsidRPr="00857579"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 xml:space="preserve"> zaangażowani</w:t>
      </w:r>
      <w:r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>e</w:t>
      </w:r>
      <w:r w:rsidR="008F5DB6">
        <w:rPr>
          <w:rFonts w:asciiTheme="majorHAnsi" w:eastAsia="Times New Roman" w:hAnsiTheme="majorHAnsi" w:cstheme="majorHAnsi"/>
          <w:b/>
          <w:bCs/>
          <w:sz w:val="28"/>
          <w:szCs w:val="24"/>
          <w:lang w:val="pl-PL"/>
        </w:rPr>
        <w:t xml:space="preserve"> – czyli jak banki konkurują o małe i średnie firmy</w:t>
      </w:r>
    </w:p>
    <w:p w14:paraId="0F09F29E" w14:textId="0BAD434F" w:rsidR="005B067B" w:rsidRPr="005B067B" w:rsidRDefault="005B067B" w:rsidP="008F5DB6">
      <w:pPr>
        <w:spacing w:line="266" w:lineRule="auto"/>
        <w:rPr>
          <w:rFonts w:asciiTheme="majorHAnsi" w:eastAsia="Times New Roman" w:hAnsiTheme="majorHAnsi" w:cstheme="majorHAnsi"/>
          <w:bCs/>
          <w:sz w:val="24"/>
          <w:szCs w:val="24"/>
          <w:lang w:val="pl-PL"/>
        </w:rPr>
      </w:pPr>
      <w:r w:rsidRPr="005B067B">
        <w:rPr>
          <w:rFonts w:asciiTheme="majorHAnsi" w:eastAsia="Times New Roman" w:hAnsiTheme="majorHAnsi" w:cstheme="majorHAnsi"/>
          <w:bCs/>
          <w:sz w:val="24"/>
          <w:szCs w:val="24"/>
          <w:lang w:val="pl-PL"/>
        </w:rPr>
        <w:t xml:space="preserve">Światowy Raport Płatności 2022 </w:t>
      </w:r>
    </w:p>
    <w:p w14:paraId="101219FC" w14:textId="217B83DC" w:rsidR="002C287D" w:rsidRPr="00857579" w:rsidRDefault="002C287D" w:rsidP="006326E1">
      <w:pPr>
        <w:spacing w:line="266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4D967649" w14:textId="7CBB0C90" w:rsidR="00857579" w:rsidRPr="00857579" w:rsidRDefault="00096139" w:rsidP="00857579">
      <w:pPr>
        <w:spacing w:line="26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B</w:t>
      </w:r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an</w:t>
      </w:r>
      <w:r w:rsidR="005B067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ki i dostawcy usług płatniczych </w:t>
      </w:r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starają się dostarczać innowacyjnych rozwiązań małym i średnim firmom – segmentowi o wartości prawie 850 milia</w:t>
      </w:r>
      <w:r w:rsidR="005B067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rdów dolarów na całym świecie. Wielu tradycyjnym organizacjom przychodzi to jednak z trudem. Z uwagi na wyzwania, z jakimi zmagają się banki, </w:t>
      </w:r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prawie 90</w:t>
      </w:r>
      <w:r w:rsidR="00506B41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 proc.</w:t>
      </w:r>
      <w:r w:rsidR="005B067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 przedstawicieli</w:t>
      </w:r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 małych i średnich firm </w:t>
      </w:r>
      <w:r w:rsidR="005B067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deklaruje</w:t>
      </w:r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, że rozważa rezygnację z usług przestarzałych dostawców, pozostawiając otwartą przestrzeń dla </w:t>
      </w:r>
      <w:proofErr w:type="spellStart"/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FinTechów</w:t>
      </w:r>
      <w:proofErr w:type="spellEnd"/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 i innych firm, </w:t>
      </w:r>
      <w:r w:rsid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które mogą pomóc</w:t>
      </w:r>
      <w:r w:rsidR="00857579" w:rsidRPr="00857579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 uzyskać przewagę konkurencyjną.</w:t>
      </w:r>
    </w:p>
    <w:p w14:paraId="2044B83F" w14:textId="77777777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159FBE5D" w14:textId="43CAE1D0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Pomimo globalnych problemów, </w:t>
      </w:r>
      <w:r w:rsidR="005B067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z którymi zmagają się obecnie światowe gospodarki, 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najnowszy </w:t>
      </w:r>
      <w:r w:rsidR="004E75A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„</w:t>
      </w:r>
      <w:hyperlink r:id="rId13" w:history="1">
        <w:r w:rsidR="005B067B">
          <w:rPr>
            <w:rStyle w:val="Hipercze"/>
            <w:rFonts w:asciiTheme="majorHAnsi" w:eastAsia="Times New Roman" w:hAnsiTheme="majorHAnsi" w:cstheme="majorHAnsi"/>
            <w:bCs/>
            <w:sz w:val="20"/>
            <w:szCs w:val="24"/>
            <w:lang w:val="pl-PL"/>
          </w:rPr>
          <w:t>Światowy Raport Płatności 2022</w:t>
        </w:r>
      </w:hyperlink>
      <w:r w:rsidR="004E75A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"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Capgemini</w:t>
      </w:r>
      <w:r w:rsidR="006B312A"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4E75A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wykazał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że nowe metody płatności wzrosną z około 17</w:t>
      </w:r>
      <w:r w:rsidR="005B067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proc.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wszystkich transakcji bezgotówkowych w 2021 r. do około 24</w:t>
      </w:r>
      <w:r w:rsidR="005B067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proc.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do 2026 r.</w:t>
      </w:r>
    </w:p>
    <w:p w14:paraId="2C56C12A" w14:textId="77777777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4D6D61CD" w14:textId="63C9E064" w:rsidR="005B067B" w:rsidRDefault="005B067B" w:rsidP="005B067B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Branża płatności pozostaje odporna na wstrząsy rynkowe i b</w:t>
      </w:r>
      <w:r w:rsid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ezprecedensowe zmiany na rynku. 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 jej przypadku </w:t>
      </w:r>
      <w:r w:rsid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mamy wręcz do czynienia z przyspieszeniem 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wdrażania </w:t>
      </w:r>
      <w:r w:rsid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innowacyjnych cyfrowych metod płatności, zarówno przez firmy, jak i konsumentów. Jednak 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mimo to </w:t>
      </w:r>
      <w:r w:rsid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wiele banków wciąż nie jest w stanie zapewnić takiego wsparcia, jakiego oczekują dziś małe i średnie firmy.</w:t>
      </w:r>
    </w:p>
    <w:p w14:paraId="2290DC9A" w14:textId="77777777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53DB3B30" w14:textId="63240013" w:rsidR="00857579" w:rsidRPr="00352FD2" w:rsidRDefault="00352FD2" w:rsidP="00AB64AC">
      <w:pPr>
        <w:pStyle w:val="Akapitzlist"/>
        <w:numPr>
          <w:ilvl w:val="0"/>
          <w:numId w:val="16"/>
        </w:num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M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imo obiecujących poziomów ożywienia po pandemii, 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firmy z sektora </w:t>
      </w:r>
      <w:r w:rsidR="003E379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MŚP </w:t>
      </w:r>
      <w:r w:rsidR="003E379B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nadal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borykają się z problemami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m.in.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z przepływami pieniężnymi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czy cyberbezpieczeństwem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co dla wielu 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z nich 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hamuje kolejną fazę 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rozwoju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Wobec tego dostawcy usług płatniczych muszą dostosować swoje priorytety i zgromadzić odpowiednie narzędzia, dzięki którym będą mogli pomóc 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im 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 odkrywaniu nowych możliwości rynkowych. 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Sektor 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ten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jest 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podstawą globalnego wzrostu gospodarczego, przyczyniając się do połowy globalnego PKB i globalnego zatrudnienia. A jednak 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MŚP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są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jednymi z najbardziej dotkniętych 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ostatnimi wydarzeniami na</w:t>
      </w:r>
      <w:r w:rsidR="00AB64AC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rynku</w:t>
      </w:r>
      <w:r w:rsidR="004E75A1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Banki i dostawcy usług płatniczych muszą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dziś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dostosować swoje </w:t>
      </w:r>
      <w:r w:rsidR="00AB64A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strategie w taki sposób</w:t>
      </w:r>
      <w:r w:rsidR="00857579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aby uchwycić tę niewykorzystaną wartość dzięki innowacyjnym </w:t>
      </w:r>
      <w:r w:rsidR="004E75A1" w:rsidRPr="00352FD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usługom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– mówi </w:t>
      </w:r>
      <w:r w:rsidR="00D61F50" w:rsidRPr="00D61F50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Ireneusz Wieczorek, Szef Obszaru Cards &amp; </w:t>
      </w:r>
      <w:proofErr w:type="spellStart"/>
      <w:r w:rsidR="00D61F50" w:rsidRPr="00D61F50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Payments</w:t>
      </w:r>
      <w:proofErr w:type="spellEnd"/>
      <w:r w:rsidR="00D61F50" w:rsidRPr="00D61F50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 w Cap</w:t>
      </w:r>
      <w:r w:rsidR="00D61F50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gemini Polska.</w:t>
      </w:r>
    </w:p>
    <w:p w14:paraId="7CE3DD66" w14:textId="77777777" w:rsidR="004E75A1" w:rsidRPr="00857579" w:rsidRDefault="004E75A1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1C7A7110" w14:textId="4F7E1D00" w:rsidR="00857579" w:rsidRPr="006B312A" w:rsidRDefault="006B312A" w:rsidP="00857579">
      <w:pPr>
        <w:spacing w:line="26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</w:pPr>
      <w:r w:rsidRPr="006B312A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Kluczowe usprawnienia dla małych i średnich firm</w:t>
      </w:r>
    </w:p>
    <w:p w14:paraId="20503760" w14:textId="77777777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0C9D3948" w14:textId="6E55DB32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Podczas gdy segment małych i średnich firm </w:t>
      </w:r>
      <w:r w:rsidR="004E75A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na całym świecie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6B312A"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jest obecnie wart ponad 850 mili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ardów dolarów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te organizacje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są nadal często pomijane </w:t>
      </w:r>
      <w:r w:rsidR="006B312A"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przez sektor bankowy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na 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rzecz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większych kont korporacyjnych i większego rynku detalicznego.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 rezultacie 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przedstawiciele sektora MŚP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często borykają się z problemami z przepływami pieniężnymi, zagrożeniami cyberbezpieczeństwa, słabą płynnością i nieefektywnością operacyjną, które podsycają istniejące niezadowolenie z 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tradycyjnych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dostawców usług płatniczych. W rzeczywistości 89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proc.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ankietowanych małych i średnich firm czuje się niedostatecznie obsługiwany przez swoje banki i rozważa przejście do bardziej przyjaznego alternatywnego konkurenta </w:t>
      </w:r>
      <w:r w:rsid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typu </w:t>
      </w:r>
      <w:proofErr w:type="spellStart"/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PayTech</w:t>
      </w:r>
      <w:proofErr w:type="spellEnd"/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</w:p>
    <w:p w14:paraId="06AB273F" w14:textId="77777777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62CA02DC" w14:textId="07F16050" w:rsidR="006B312A" w:rsidRDefault="00857579" w:rsidP="006B312A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Przejście na dostawcę płatności cyfrowych pozwoliłoby małym i średnim firmom na odzwierciedlenie trendu, który już trwa na rynkach konsumenckich. </w:t>
      </w:r>
      <w:r w:rsidR="006B312A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Dla przykładu,</w:t>
      </w:r>
      <w:r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raport wykazał, że oczekuje się, że światowe transakcje bezgotówkowe B2B wzrosną o </w:t>
      </w:r>
      <w:r w:rsidR="0009613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ok. </w:t>
      </w:r>
      <w:r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10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proc.</w:t>
      </w:r>
      <w:r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 latach 2021-2026.</w:t>
      </w:r>
      <w:r w:rsidR="006B312A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</w:p>
    <w:p w14:paraId="593AD2D0" w14:textId="77777777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7639CDF4" w14:textId="6B7C38E1" w:rsidR="00857579" w:rsidRDefault="006B312A" w:rsidP="00857579">
      <w:pPr>
        <w:pStyle w:val="Akapitzlist"/>
        <w:numPr>
          <w:ilvl w:val="0"/>
          <w:numId w:val="16"/>
        </w:num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Jak wskazuje tegoroczny </w:t>
      </w:r>
      <w:r w:rsidRPr="006B312A">
        <w:rPr>
          <w:rFonts w:asciiTheme="majorHAnsi" w:eastAsia="Times New Roman" w:hAnsiTheme="majorHAnsi" w:cstheme="majorHAnsi"/>
          <w:bCs/>
          <w:i/>
          <w:sz w:val="20"/>
          <w:szCs w:val="24"/>
          <w:lang w:val="pl-PL"/>
        </w:rPr>
        <w:t>Światowy Raport Płatności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ponad jedna czwarta banków zmaga się z monolityczną i nieelastyczną infrastrukturą, a 75</w:t>
      </w:r>
      <w:r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proc. 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kadry kierowniczej priorytetowo traktuje koszty utrzymania obecnych systemów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a nie 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now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e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innowacyjn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e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propozycj</w:t>
      </w:r>
      <w:r w:rsidR="0036164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e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wartości – to wyraźna bariera dla potrzebnych inwestycji w innowacje i elastyczność, których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oczekują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małe i średnie firmy.</w:t>
      </w:r>
      <w:r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413704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F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irmy płatnicze powinny przyjąć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nowoczesne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platformy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któr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e 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pozwala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ją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wybierać i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łączyć 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bloki </w:t>
      </w:r>
      <w:r w:rsidR="00506B41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usług 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 różnych kombinacjach, aby spełnić wymagania klientów. W ten sposób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możliwe jest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skon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figurowanie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oferty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tak, aby jak najlepiej odpowiadała potrzebom MŚP, korzystając ze zharmonizowanych danych,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dostarczając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uj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ednoliconą propozycję wartości i </w:t>
      </w:r>
      <w:r w:rsidR="00857579" w:rsidRPr="006B312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umożliwiając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bankom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tworzenie rynków B2B dla MŚP – dodaje </w:t>
      </w:r>
      <w:r w:rsidR="00EE248A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Ireneusz Wieczorek. </w:t>
      </w:r>
    </w:p>
    <w:p w14:paraId="5AAC996B" w14:textId="77777777" w:rsidR="006B312A" w:rsidRPr="006B312A" w:rsidRDefault="006B312A" w:rsidP="006B312A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229EF551" w14:textId="043E7DAC" w:rsidR="00857579" w:rsidRPr="00E95099" w:rsidRDefault="00CB39AA" w:rsidP="00857579">
      <w:pPr>
        <w:spacing w:line="26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Technologia rozproszonego rejestru zrewolucjonizuje rynek</w:t>
      </w:r>
    </w:p>
    <w:p w14:paraId="6685637B" w14:textId="77777777" w:rsidR="00CB39AA" w:rsidRPr="00096139" w:rsidRDefault="00CB39AA" w:rsidP="00CB39AA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33470D37" w14:textId="11452B6F" w:rsidR="00857579" w:rsidRPr="00857579" w:rsidRDefault="00857579" w:rsidP="00CB39AA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Wśród bogactwa innowacyjnych technologii stosowanych przez banki, </w:t>
      </w:r>
      <w:r w:rsidR="00E95099"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technologia </w:t>
      </w:r>
      <w:r w:rsidR="00E9509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rozproszonego rejestru (ang. </w:t>
      </w:r>
      <w:r w:rsidR="00E95099" w:rsidRPr="00E95099">
        <w:rPr>
          <w:rFonts w:asciiTheme="majorHAnsi" w:eastAsia="Times New Roman" w:hAnsiTheme="majorHAnsi" w:cstheme="majorHAnsi"/>
          <w:bCs/>
          <w:i/>
          <w:sz w:val="20"/>
          <w:szCs w:val="24"/>
          <w:lang w:val="pl-PL"/>
        </w:rPr>
        <w:t xml:space="preserve">DLT, </w:t>
      </w:r>
      <w:r w:rsidRPr="00E95099">
        <w:rPr>
          <w:rFonts w:asciiTheme="majorHAnsi" w:eastAsia="Times New Roman" w:hAnsiTheme="majorHAnsi" w:cstheme="majorHAnsi"/>
          <w:bCs/>
          <w:i/>
          <w:sz w:val="20"/>
          <w:szCs w:val="24"/>
          <w:lang w:val="pl-PL"/>
        </w:rPr>
        <w:t xml:space="preserve">Distributed </w:t>
      </w:r>
      <w:proofErr w:type="spellStart"/>
      <w:r w:rsidRPr="00E95099">
        <w:rPr>
          <w:rFonts w:asciiTheme="majorHAnsi" w:eastAsia="Times New Roman" w:hAnsiTheme="majorHAnsi" w:cstheme="majorHAnsi"/>
          <w:bCs/>
          <w:i/>
          <w:sz w:val="20"/>
          <w:szCs w:val="24"/>
          <w:lang w:val="pl-PL"/>
        </w:rPr>
        <w:t>Ledger</w:t>
      </w:r>
      <w:proofErr w:type="spellEnd"/>
      <w:r w:rsidRPr="00E95099">
        <w:rPr>
          <w:rFonts w:asciiTheme="majorHAnsi" w:eastAsia="Times New Roman" w:hAnsiTheme="majorHAnsi" w:cstheme="majorHAnsi"/>
          <w:bCs/>
          <w:i/>
          <w:sz w:val="20"/>
          <w:szCs w:val="24"/>
          <w:lang w:val="pl-PL"/>
        </w:rPr>
        <w:t xml:space="preserve"> Technology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) staje się kluczow</w:t>
      </w:r>
      <w:r w:rsidR="00E9509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ym rozwiązaniem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dla prosp</w:t>
      </w:r>
      <w:r w:rsidR="00902B9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erowania w dobie zmian i innowacji.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Podczas gdy wiele banków</w:t>
      </w:r>
      <w:r w:rsidR="00902B9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i dostawców usług płatniczych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zgadza się co do je</w:t>
      </w:r>
      <w:r w:rsidR="00E9509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j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potencjału do przekształcenia branży, </w:t>
      </w:r>
      <w:r w:rsidR="00413704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wdrażanie </w:t>
      </w:r>
      <w:r w:rsidR="00902B9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technologii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pozostanie ostrożne</w:t>
      </w:r>
      <w:r w:rsidR="00902B9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i stosunkowo powolne z uwagi na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ogranicz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one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możliwości inwestycyjne.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R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ynek ewoluuje, a dostawcy usług </w:t>
      </w:r>
      <w:r w:rsidR="00902B9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płatniczych zaczynają odkrywać nowe technologie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– aż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64</w:t>
      </w:r>
      <w:r w:rsidR="00902B9C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proc.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badanych przedstawicieli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małych i średnich firm uważa, że ​​DLT może stać się realną, uzupełniającą opcją dla istniejących sieci płatniczych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 rezultacie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tę nową technologię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można uznać za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podstawę do budowy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wielotorowej strategii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służącej lepszemu wsparciu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globaln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ych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i regionaln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ych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sieci płatnicz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ych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</w:p>
    <w:p w14:paraId="47D2CCD9" w14:textId="77777777" w:rsidR="00857579" w:rsidRP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270B62D5" w14:textId="0822843F" w:rsidR="00857579" w:rsidRDefault="00857579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Podobnie szybki wzrost liczby bardziej nieuregulowanych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krypto-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aktywów doprowadził wiele banków do badania możliwości wynikających z cyfrowej waluty banku centralnego (CBDC).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R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aport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wskazuje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że ​​ci, którzy chcą zostać liderami w branży, już skalują przypadki użycia DLT, aby </w:t>
      </w:r>
      <w:r w:rsidR="00973EC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wejść w kolejną, możliwą fazę </w:t>
      </w:r>
      <w:r w:rsidRPr="0085757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rozwoju.</w:t>
      </w:r>
    </w:p>
    <w:p w14:paraId="647B926A" w14:textId="77777777" w:rsidR="006B312A" w:rsidRDefault="006B312A" w:rsidP="00857579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73ACD960" w14:textId="2AC1A86B" w:rsidR="006B312A" w:rsidRPr="00857579" w:rsidRDefault="00F014D5" w:rsidP="00F014D5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yrektorzy banków i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dostawcy usług płatniczych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mapują przyszłość płatności, pytając: „Jak możemy lepiej służyć naszym klientom – zwłaszcza niedostatecznie obsłużonym MŚP o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dużym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potencjale rynkowym?”.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Dziś firmy muszą wykorzystać swoje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mocne strony, aby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zwiększyć zakres usług 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dla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małych i średnich przedsiębiorstw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B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anki mają rozległe, wieloletnie bazy klientów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oraz dobrą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reputację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cieszą się dużym zaufaniem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Wykorzystując swoje doświadczenie i zasoby w celu wspierania partnerstw ekosystemu płatności uzupełniających, </w:t>
      </w:r>
      <w:r w:rsidR="00E35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organizacje te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mogą przyspieszyć wprowadzanie </w:t>
      </w:r>
      <w:r w:rsidR="00CB39AA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produktów na rynek oraz podnieść skalę innowacji. To posunięcie zapewni korzyść</w:t>
      </w:r>
      <w:r w:rsidRPr="00F014D5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dla wszystkich interesariuszy, szczególnie dla coraz bardziej wpływowego segmentu małych i średnich firm.</w:t>
      </w:r>
    </w:p>
    <w:p w14:paraId="34FEF062" w14:textId="77777777" w:rsidR="0021763A" w:rsidRDefault="0021763A" w:rsidP="006F7FDF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0D1316BA" w14:textId="77777777" w:rsidR="00E3554B" w:rsidRPr="00857579" w:rsidRDefault="00E3554B" w:rsidP="006F7FDF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4AF56C3B" w14:textId="77777777" w:rsidR="00B24241" w:rsidRPr="008F5DB6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8F5DB6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D66EDE6" w14:textId="77777777" w:rsidR="00660D2E" w:rsidRPr="008F5DB6" w:rsidRDefault="00660D2E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445F092" w14:textId="2CF4EF9C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 xml:space="preserve"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</w:t>
      </w:r>
      <w:r w:rsidR="00EB2E46">
        <w:rPr>
          <w:rStyle w:val="null1"/>
          <w:rFonts w:ascii="Verdana" w:hAnsi="Verdana"/>
          <w:sz w:val="16"/>
          <w:szCs w:val="18"/>
          <w:lang w:val="pl-PL"/>
        </w:rPr>
        <w:t>350</w:t>
      </w:r>
      <w:r w:rsidR="00EB2E46" w:rsidRPr="001C3D38">
        <w:rPr>
          <w:rStyle w:val="null1"/>
          <w:rFonts w:ascii="Verdana" w:hAnsi="Verdana"/>
          <w:sz w:val="16"/>
          <w:szCs w:val="18"/>
          <w:lang w:val="pl-PL"/>
        </w:rPr>
        <w:t xml:space="preserve"> </w:t>
      </w:r>
      <w:r w:rsidRPr="001C3D38">
        <w:rPr>
          <w:rStyle w:val="null1"/>
          <w:rFonts w:ascii="Verdana" w:hAnsi="Verdana"/>
          <w:sz w:val="16"/>
          <w:szCs w:val="18"/>
          <w:lang w:val="pl-PL"/>
        </w:rPr>
        <w:t>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4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5"/>
      <w:footerReference w:type="default" r:id="rId16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D691" w14:textId="77777777" w:rsidR="00E7795B" w:rsidRDefault="00E7795B" w:rsidP="00B24241">
      <w:pPr>
        <w:spacing w:line="240" w:lineRule="auto"/>
      </w:pPr>
      <w:r>
        <w:separator/>
      </w:r>
    </w:p>
  </w:endnote>
  <w:endnote w:type="continuationSeparator" w:id="0">
    <w:p w14:paraId="09D431F8" w14:textId="77777777" w:rsidR="00E7795B" w:rsidRDefault="00E7795B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6F38" w14:textId="77777777" w:rsidR="00E7795B" w:rsidRDefault="00E7795B" w:rsidP="00B24241">
      <w:pPr>
        <w:spacing w:line="240" w:lineRule="auto"/>
      </w:pPr>
      <w:r>
        <w:separator/>
      </w:r>
    </w:p>
  </w:footnote>
  <w:footnote w:type="continuationSeparator" w:id="0">
    <w:p w14:paraId="33C8D89A" w14:textId="77777777" w:rsidR="00E7795B" w:rsidRDefault="00E7795B" w:rsidP="00B24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F6C"/>
    <w:multiLevelType w:val="hybridMultilevel"/>
    <w:tmpl w:val="16B80E3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DE9"/>
    <w:multiLevelType w:val="hybridMultilevel"/>
    <w:tmpl w:val="84BC9C92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554F"/>
    <w:multiLevelType w:val="hybridMultilevel"/>
    <w:tmpl w:val="03066F8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3F12"/>
    <w:multiLevelType w:val="hybridMultilevel"/>
    <w:tmpl w:val="3D32361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623C7"/>
    <w:multiLevelType w:val="hybridMultilevel"/>
    <w:tmpl w:val="638C61C6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C055E"/>
    <w:multiLevelType w:val="hybridMultilevel"/>
    <w:tmpl w:val="3AAC3AD8"/>
    <w:lvl w:ilvl="0" w:tplc="28C6A4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92C0303"/>
    <w:multiLevelType w:val="hybridMultilevel"/>
    <w:tmpl w:val="4F40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173"/>
    <w:multiLevelType w:val="hybridMultilevel"/>
    <w:tmpl w:val="1488F64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44A80"/>
    <w:multiLevelType w:val="hybridMultilevel"/>
    <w:tmpl w:val="D5966B3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C0561"/>
    <w:multiLevelType w:val="hybridMultilevel"/>
    <w:tmpl w:val="B00661C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2266">
    <w:abstractNumId w:val="7"/>
  </w:num>
  <w:num w:numId="2" w16cid:durableId="452485921">
    <w:abstractNumId w:val="1"/>
  </w:num>
  <w:num w:numId="3" w16cid:durableId="1632247281">
    <w:abstractNumId w:val="14"/>
  </w:num>
  <w:num w:numId="4" w16cid:durableId="86118658">
    <w:abstractNumId w:val="6"/>
  </w:num>
  <w:num w:numId="5" w16cid:durableId="481391654">
    <w:abstractNumId w:val="2"/>
  </w:num>
  <w:num w:numId="6" w16cid:durableId="879633230">
    <w:abstractNumId w:val="11"/>
  </w:num>
  <w:num w:numId="7" w16cid:durableId="1365866612">
    <w:abstractNumId w:val="13"/>
  </w:num>
  <w:num w:numId="8" w16cid:durableId="778991195">
    <w:abstractNumId w:val="0"/>
  </w:num>
  <w:num w:numId="9" w16cid:durableId="408887041">
    <w:abstractNumId w:val="9"/>
  </w:num>
  <w:num w:numId="10" w16cid:durableId="1701780752">
    <w:abstractNumId w:val="12"/>
  </w:num>
  <w:num w:numId="11" w16cid:durableId="274604878">
    <w:abstractNumId w:val="8"/>
  </w:num>
  <w:num w:numId="12" w16cid:durableId="65274184">
    <w:abstractNumId w:val="3"/>
  </w:num>
  <w:num w:numId="13" w16cid:durableId="274288134">
    <w:abstractNumId w:val="5"/>
  </w:num>
  <w:num w:numId="14" w16cid:durableId="92825481">
    <w:abstractNumId w:val="10"/>
  </w:num>
  <w:num w:numId="15" w16cid:durableId="1378313247">
    <w:abstractNumId w:val="4"/>
  </w:num>
  <w:num w:numId="16" w16cid:durableId="247734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1D"/>
    <w:rsid w:val="00000650"/>
    <w:rsid w:val="000173DE"/>
    <w:rsid w:val="00026B71"/>
    <w:rsid w:val="00030A35"/>
    <w:rsid w:val="00031C3D"/>
    <w:rsid w:val="00035AA4"/>
    <w:rsid w:val="00037387"/>
    <w:rsid w:val="0004209F"/>
    <w:rsid w:val="0007719B"/>
    <w:rsid w:val="00090093"/>
    <w:rsid w:val="000945B5"/>
    <w:rsid w:val="00095CD7"/>
    <w:rsid w:val="00096139"/>
    <w:rsid w:val="00097502"/>
    <w:rsid w:val="000A38D7"/>
    <w:rsid w:val="000A6DCC"/>
    <w:rsid w:val="000B4100"/>
    <w:rsid w:val="000B477B"/>
    <w:rsid w:val="000D44F9"/>
    <w:rsid w:val="000E0F32"/>
    <w:rsid w:val="000E29AF"/>
    <w:rsid w:val="000E6901"/>
    <w:rsid w:val="000F12DA"/>
    <w:rsid w:val="000F1A8C"/>
    <w:rsid w:val="00107F28"/>
    <w:rsid w:val="00111C3A"/>
    <w:rsid w:val="00117D39"/>
    <w:rsid w:val="00124ABE"/>
    <w:rsid w:val="00124D85"/>
    <w:rsid w:val="00125668"/>
    <w:rsid w:val="001403DF"/>
    <w:rsid w:val="00142792"/>
    <w:rsid w:val="00145EF4"/>
    <w:rsid w:val="00147678"/>
    <w:rsid w:val="00153C0B"/>
    <w:rsid w:val="0015492A"/>
    <w:rsid w:val="001808F5"/>
    <w:rsid w:val="0018219D"/>
    <w:rsid w:val="001A57A7"/>
    <w:rsid w:val="001A7F3A"/>
    <w:rsid w:val="001B2B9B"/>
    <w:rsid w:val="001D15B4"/>
    <w:rsid w:val="001D42F8"/>
    <w:rsid w:val="001E1020"/>
    <w:rsid w:val="001E5B04"/>
    <w:rsid w:val="001F08EC"/>
    <w:rsid w:val="001F6E0D"/>
    <w:rsid w:val="002046B3"/>
    <w:rsid w:val="00213380"/>
    <w:rsid w:val="00216F20"/>
    <w:rsid w:val="0021763A"/>
    <w:rsid w:val="0022541D"/>
    <w:rsid w:val="00225D73"/>
    <w:rsid w:val="002306AE"/>
    <w:rsid w:val="00237B3B"/>
    <w:rsid w:val="00240ECD"/>
    <w:rsid w:val="00242B47"/>
    <w:rsid w:val="002572B9"/>
    <w:rsid w:val="0025756C"/>
    <w:rsid w:val="002616BD"/>
    <w:rsid w:val="00271C21"/>
    <w:rsid w:val="002923D1"/>
    <w:rsid w:val="002968F2"/>
    <w:rsid w:val="002A0D25"/>
    <w:rsid w:val="002A611B"/>
    <w:rsid w:val="002A6DF1"/>
    <w:rsid w:val="002B2B3B"/>
    <w:rsid w:val="002B7E93"/>
    <w:rsid w:val="002C17AA"/>
    <w:rsid w:val="002C287D"/>
    <w:rsid w:val="002D54A9"/>
    <w:rsid w:val="002E0C3C"/>
    <w:rsid w:val="002F7F40"/>
    <w:rsid w:val="003040B8"/>
    <w:rsid w:val="00313CB9"/>
    <w:rsid w:val="003235B8"/>
    <w:rsid w:val="00331582"/>
    <w:rsid w:val="00332266"/>
    <w:rsid w:val="003336E6"/>
    <w:rsid w:val="00352FD2"/>
    <w:rsid w:val="00361648"/>
    <w:rsid w:val="00371276"/>
    <w:rsid w:val="003730E5"/>
    <w:rsid w:val="0038609A"/>
    <w:rsid w:val="00392FBF"/>
    <w:rsid w:val="00394317"/>
    <w:rsid w:val="003B1182"/>
    <w:rsid w:val="003B1F72"/>
    <w:rsid w:val="003E3676"/>
    <w:rsid w:val="003E379B"/>
    <w:rsid w:val="00413704"/>
    <w:rsid w:val="00433067"/>
    <w:rsid w:val="00437640"/>
    <w:rsid w:val="00456BB6"/>
    <w:rsid w:val="00466615"/>
    <w:rsid w:val="00471821"/>
    <w:rsid w:val="00473AE8"/>
    <w:rsid w:val="00482708"/>
    <w:rsid w:val="004A2462"/>
    <w:rsid w:val="004A7A09"/>
    <w:rsid w:val="004B68A2"/>
    <w:rsid w:val="004B7BE8"/>
    <w:rsid w:val="004C04A6"/>
    <w:rsid w:val="004C4DD3"/>
    <w:rsid w:val="004E2524"/>
    <w:rsid w:val="004E75A1"/>
    <w:rsid w:val="004F054A"/>
    <w:rsid w:val="004F6E41"/>
    <w:rsid w:val="00506B41"/>
    <w:rsid w:val="00526652"/>
    <w:rsid w:val="0053524E"/>
    <w:rsid w:val="00537CAD"/>
    <w:rsid w:val="0054233C"/>
    <w:rsid w:val="005505C7"/>
    <w:rsid w:val="00562522"/>
    <w:rsid w:val="00571E49"/>
    <w:rsid w:val="00572973"/>
    <w:rsid w:val="00572D6D"/>
    <w:rsid w:val="005754E0"/>
    <w:rsid w:val="0058177B"/>
    <w:rsid w:val="0058490E"/>
    <w:rsid w:val="00585A20"/>
    <w:rsid w:val="005A3052"/>
    <w:rsid w:val="005A4874"/>
    <w:rsid w:val="005B067B"/>
    <w:rsid w:val="005B16CE"/>
    <w:rsid w:val="005D6BCE"/>
    <w:rsid w:val="005E0250"/>
    <w:rsid w:val="005E30E0"/>
    <w:rsid w:val="005F5599"/>
    <w:rsid w:val="0060179B"/>
    <w:rsid w:val="00601F80"/>
    <w:rsid w:val="00606535"/>
    <w:rsid w:val="00616D79"/>
    <w:rsid w:val="006326E1"/>
    <w:rsid w:val="00657ACA"/>
    <w:rsid w:val="00660CAD"/>
    <w:rsid w:val="00660D2E"/>
    <w:rsid w:val="00692C3D"/>
    <w:rsid w:val="00697A41"/>
    <w:rsid w:val="006A0FBF"/>
    <w:rsid w:val="006B312A"/>
    <w:rsid w:val="006C3D68"/>
    <w:rsid w:val="006D6DA5"/>
    <w:rsid w:val="006D7CED"/>
    <w:rsid w:val="006E09C0"/>
    <w:rsid w:val="006E4EF0"/>
    <w:rsid w:val="006E7CDA"/>
    <w:rsid w:val="006F109E"/>
    <w:rsid w:val="006F5392"/>
    <w:rsid w:val="006F7FDF"/>
    <w:rsid w:val="007167E8"/>
    <w:rsid w:val="007257B7"/>
    <w:rsid w:val="0073076D"/>
    <w:rsid w:val="00731F0D"/>
    <w:rsid w:val="0074379C"/>
    <w:rsid w:val="00743BDF"/>
    <w:rsid w:val="0075178F"/>
    <w:rsid w:val="007518DD"/>
    <w:rsid w:val="007553BB"/>
    <w:rsid w:val="00757305"/>
    <w:rsid w:val="00764DC4"/>
    <w:rsid w:val="007705CC"/>
    <w:rsid w:val="007958C7"/>
    <w:rsid w:val="007B1471"/>
    <w:rsid w:val="007B760D"/>
    <w:rsid w:val="007C3B0F"/>
    <w:rsid w:val="007C6964"/>
    <w:rsid w:val="007C6DB1"/>
    <w:rsid w:val="007D12CF"/>
    <w:rsid w:val="007D59C3"/>
    <w:rsid w:val="007D7E9A"/>
    <w:rsid w:val="007E451A"/>
    <w:rsid w:val="007E7898"/>
    <w:rsid w:val="007F0DE7"/>
    <w:rsid w:val="007F6BF8"/>
    <w:rsid w:val="007F6E29"/>
    <w:rsid w:val="0080008D"/>
    <w:rsid w:val="0081398D"/>
    <w:rsid w:val="00814028"/>
    <w:rsid w:val="00814BD3"/>
    <w:rsid w:val="0083225A"/>
    <w:rsid w:val="00855786"/>
    <w:rsid w:val="00855C81"/>
    <w:rsid w:val="00857411"/>
    <w:rsid w:val="00857579"/>
    <w:rsid w:val="00862556"/>
    <w:rsid w:val="00863610"/>
    <w:rsid w:val="00871441"/>
    <w:rsid w:val="008737AB"/>
    <w:rsid w:val="00880F1D"/>
    <w:rsid w:val="00881A49"/>
    <w:rsid w:val="008942BA"/>
    <w:rsid w:val="008B1DA6"/>
    <w:rsid w:val="008B23B4"/>
    <w:rsid w:val="008B2B2E"/>
    <w:rsid w:val="008B57A4"/>
    <w:rsid w:val="008D2B9B"/>
    <w:rsid w:val="008E1929"/>
    <w:rsid w:val="008E6355"/>
    <w:rsid w:val="008F46C3"/>
    <w:rsid w:val="008F5DB6"/>
    <w:rsid w:val="00902B9C"/>
    <w:rsid w:val="009066EA"/>
    <w:rsid w:val="00907144"/>
    <w:rsid w:val="00907F68"/>
    <w:rsid w:val="00925A77"/>
    <w:rsid w:val="00933F75"/>
    <w:rsid w:val="00936996"/>
    <w:rsid w:val="00947149"/>
    <w:rsid w:val="00950684"/>
    <w:rsid w:val="00954E4B"/>
    <w:rsid w:val="00965927"/>
    <w:rsid w:val="0096757E"/>
    <w:rsid w:val="00973EC9"/>
    <w:rsid w:val="00981518"/>
    <w:rsid w:val="0099079D"/>
    <w:rsid w:val="00995054"/>
    <w:rsid w:val="009C749A"/>
    <w:rsid w:val="009D2160"/>
    <w:rsid w:val="009D66C2"/>
    <w:rsid w:val="009E3A68"/>
    <w:rsid w:val="009E3EC1"/>
    <w:rsid w:val="00A0542A"/>
    <w:rsid w:val="00A1005E"/>
    <w:rsid w:val="00A2363F"/>
    <w:rsid w:val="00A31BFE"/>
    <w:rsid w:val="00A33606"/>
    <w:rsid w:val="00A35ACC"/>
    <w:rsid w:val="00A36EEA"/>
    <w:rsid w:val="00A412B6"/>
    <w:rsid w:val="00A60D8A"/>
    <w:rsid w:val="00A61C9B"/>
    <w:rsid w:val="00A64779"/>
    <w:rsid w:val="00A73611"/>
    <w:rsid w:val="00A867E4"/>
    <w:rsid w:val="00A91A5F"/>
    <w:rsid w:val="00A9525C"/>
    <w:rsid w:val="00AA387D"/>
    <w:rsid w:val="00AA423B"/>
    <w:rsid w:val="00AB64AC"/>
    <w:rsid w:val="00AC479D"/>
    <w:rsid w:val="00AC6C09"/>
    <w:rsid w:val="00AD485D"/>
    <w:rsid w:val="00AE1E1D"/>
    <w:rsid w:val="00AE2119"/>
    <w:rsid w:val="00AF26CC"/>
    <w:rsid w:val="00AF48E2"/>
    <w:rsid w:val="00B032C0"/>
    <w:rsid w:val="00B16155"/>
    <w:rsid w:val="00B17537"/>
    <w:rsid w:val="00B209C1"/>
    <w:rsid w:val="00B24241"/>
    <w:rsid w:val="00B24717"/>
    <w:rsid w:val="00B2644C"/>
    <w:rsid w:val="00B36B1D"/>
    <w:rsid w:val="00B378FA"/>
    <w:rsid w:val="00B4276B"/>
    <w:rsid w:val="00B437B6"/>
    <w:rsid w:val="00B57017"/>
    <w:rsid w:val="00B5782D"/>
    <w:rsid w:val="00B72024"/>
    <w:rsid w:val="00B76B70"/>
    <w:rsid w:val="00B85032"/>
    <w:rsid w:val="00B869DD"/>
    <w:rsid w:val="00B87400"/>
    <w:rsid w:val="00B92C37"/>
    <w:rsid w:val="00B966AC"/>
    <w:rsid w:val="00BA3BA1"/>
    <w:rsid w:val="00BA457F"/>
    <w:rsid w:val="00BA6F68"/>
    <w:rsid w:val="00BB2ABA"/>
    <w:rsid w:val="00BB40F0"/>
    <w:rsid w:val="00BC22DE"/>
    <w:rsid w:val="00BC6903"/>
    <w:rsid w:val="00BC6F5C"/>
    <w:rsid w:val="00BE0945"/>
    <w:rsid w:val="00BE597B"/>
    <w:rsid w:val="00BF5E98"/>
    <w:rsid w:val="00C31ED2"/>
    <w:rsid w:val="00C349D3"/>
    <w:rsid w:val="00C40E44"/>
    <w:rsid w:val="00C513DE"/>
    <w:rsid w:val="00C74022"/>
    <w:rsid w:val="00C75D52"/>
    <w:rsid w:val="00C810DF"/>
    <w:rsid w:val="00C91A42"/>
    <w:rsid w:val="00CA395E"/>
    <w:rsid w:val="00CA7DDD"/>
    <w:rsid w:val="00CB39AA"/>
    <w:rsid w:val="00CD0FFD"/>
    <w:rsid w:val="00CE1223"/>
    <w:rsid w:val="00CE3DF2"/>
    <w:rsid w:val="00CE627E"/>
    <w:rsid w:val="00CF60DD"/>
    <w:rsid w:val="00D075CD"/>
    <w:rsid w:val="00D14261"/>
    <w:rsid w:val="00D147F6"/>
    <w:rsid w:val="00D22725"/>
    <w:rsid w:val="00D23838"/>
    <w:rsid w:val="00D25E34"/>
    <w:rsid w:val="00D32AD5"/>
    <w:rsid w:val="00D361B1"/>
    <w:rsid w:val="00D366A3"/>
    <w:rsid w:val="00D52314"/>
    <w:rsid w:val="00D6080F"/>
    <w:rsid w:val="00D61F50"/>
    <w:rsid w:val="00D86AF8"/>
    <w:rsid w:val="00D876AD"/>
    <w:rsid w:val="00D916AF"/>
    <w:rsid w:val="00DA69C5"/>
    <w:rsid w:val="00DA796F"/>
    <w:rsid w:val="00DB3A11"/>
    <w:rsid w:val="00DC0FA3"/>
    <w:rsid w:val="00DC2611"/>
    <w:rsid w:val="00DC68FF"/>
    <w:rsid w:val="00DD2F38"/>
    <w:rsid w:val="00DE0B07"/>
    <w:rsid w:val="00DE2982"/>
    <w:rsid w:val="00DE4B89"/>
    <w:rsid w:val="00DF66F2"/>
    <w:rsid w:val="00E034DC"/>
    <w:rsid w:val="00E12E27"/>
    <w:rsid w:val="00E13CE0"/>
    <w:rsid w:val="00E15415"/>
    <w:rsid w:val="00E17A6B"/>
    <w:rsid w:val="00E228CA"/>
    <w:rsid w:val="00E23DDB"/>
    <w:rsid w:val="00E25AE9"/>
    <w:rsid w:val="00E3554B"/>
    <w:rsid w:val="00E44E07"/>
    <w:rsid w:val="00E52C3F"/>
    <w:rsid w:val="00E5435C"/>
    <w:rsid w:val="00E626C1"/>
    <w:rsid w:val="00E629D2"/>
    <w:rsid w:val="00E7795B"/>
    <w:rsid w:val="00E95099"/>
    <w:rsid w:val="00EA46AE"/>
    <w:rsid w:val="00EB2E46"/>
    <w:rsid w:val="00EC5C16"/>
    <w:rsid w:val="00ED5F62"/>
    <w:rsid w:val="00EE248A"/>
    <w:rsid w:val="00F014D5"/>
    <w:rsid w:val="00F20639"/>
    <w:rsid w:val="00F324F8"/>
    <w:rsid w:val="00F467AC"/>
    <w:rsid w:val="00F547A3"/>
    <w:rsid w:val="00F55CE0"/>
    <w:rsid w:val="00F57431"/>
    <w:rsid w:val="00F61C1F"/>
    <w:rsid w:val="00F66006"/>
    <w:rsid w:val="00F67C0D"/>
    <w:rsid w:val="00F7384C"/>
    <w:rsid w:val="00F822CF"/>
    <w:rsid w:val="00F85C0C"/>
    <w:rsid w:val="00F869AE"/>
    <w:rsid w:val="00F87294"/>
    <w:rsid w:val="00F90882"/>
    <w:rsid w:val="00F91864"/>
    <w:rsid w:val="00F96A64"/>
    <w:rsid w:val="00FA1049"/>
    <w:rsid w:val="00FA618E"/>
    <w:rsid w:val="00FB33DE"/>
    <w:rsid w:val="00FC06D1"/>
    <w:rsid w:val="00FD035E"/>
    <w:rsid w:val="00FD0745"/>
    <w:rsid w:val="00FD08D3"/>
    <w:rsid w:val="00FD2A38"/>
    <w:rsid w:val="00FD2E0B"/>
    <w:rsid w:val="00FD46CC"/>
    <w:rsid w:val="00FD4BED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  <w15:docId w15:val="{E703564E-7E54-4DB8-95ED-B97834F3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A60D8A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A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A3BA1"/>
    <w:pPr>
      <w:spacing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539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ldpaymentsreport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ra.witkowska@linkleaders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juraszczyk@capgemin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4B679-EF48-4B2A-81B7-F838516E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1048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Ola Witkowska</cp:lastModifiedBy>
  <cp:revision>10</cp:revision>
  <dcterms:created xsi:type="dcterms:W3CDTF">2022-10-24T14:43:00Z</dcterms:created>
  <dcterms:modified xsi:type="dcterms:W3CDTF">2022-10-31T13:31:00Z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  <property fmtid="{D5CDD505-2E9C-101B-9397-08002B2CF9AE}" pid="3" name="GrammarlyDocumentId">
    <vt:lpwstr>325d0ff375a7b09b1713f806ab1c85a56cb9e7ebfed41518250c91d1b7ceae5b</vt:lpwstr>
  </property>
</Properties>
</file>