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0B4C9" w14:textId="77777777" w:rsidR="009A233D" w:rsidRDefault="009A233D" w:rsidP="009A233D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9A233D" w:rsidSect="00F15856">
          <w:headerReference w:type="even" r:id="rId7"/>
          <w:headerReference w:type="default" r:id="rId8"/>
          <w:headerReference w:type="first" r:id="rId9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44447" w14:textId="77777777" w:rsidR="009A233D" w:rsidRPr="0058076F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bookmarkEnd w:id="0"/>
    <w:p w14:paraId="739C6003" w14:textId="77777777" w:rsidR="009A233D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Kontakt dla mediów:</w:t>
      </w:r>
    </w:p>
    <w:p w14:paraId="511C359F" w14:textId="188ABAAF" w:rsidR="009A233D" w:rsidRPr="00906693" w:rsidRDefault="00E14005" w:rsidP="009A233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cs="Calibri"/>
          <w:sz w:val="24"/>
          <w:szCs w:val="24"/>
        </w:rPr>
        <w:t xml:space="preserve">Luiza </w:t>
      </w:r>
      <w:r w:rsidR="00F7012D">
        <w:rPr>
          <w:rFonts w:cs="Calibri"/>
          <w:sz w:val="24"/>
          <w:szCs w:val="24"/>
        </w:rPr>
        <w:t>Nowicka</w:t>
      </w:r>
      <w:r w:rsidR="009A233D" w:rsidRPr="00906693">
        <w:rPr>
          <w:rFonts w:cs="Calibri"/>
          <w:sz w:val="24"/>
          <w:szCs w:val="24"/>
        </w:rPr>
        <w:t>, PARP</w:t>
      </w:r>
    </w:p>
    <w:p w14:paraId="4241E935" w14:textId="0EF127CE" w:rsidR="009A233D" w:rsidRPr="00E14005" w:rsidRDefault="009A233D" w:rsidP="009A233D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E14005">
        <w:rPr>
          <w:rFonts w:cs="Calibri"/>
          <w:sz w:val="24"/>
          <w:szCs w:val="24"/>
          <w:lang w:val="en-US"/>
        </w:rPr>
        <w:t xml:space="preserve">e-mail: </w:t>
      </w:r>
      <w:hyperlink r:id="rId11" w:history="1">
        <w:r w:rsidR="00A04AB3" w:rsidRPr="00A83531">
          <w:rPr>
            <w:rStyle w:val="Hipercze"/>
            <w:sz w:val="24"/>
            <w:szCs w:val="24"/>
            <w:lang w:val="en-US"/>
          </w:rPr>
          <w:t>luiza_nowicka@parp.gov.pl</w:t>
        </w:r>
      </w:hyperlink>
    </w:p>
    <w:p w14:paraId="759C64ED" w14:textId="53BAA6AE" w:rsidR="009A233D" w:rsidRPr="00906693" w:rsidRDefault="009A233D" w:rsidP="009A233D">
      <w:pPr>
        <w:spacing w:after="0" w:line="276" w:lineRule="auto"/>
        <w:rPr>
          <w:rFonts w:cs="Calibri"/>
          <w:sz w:val="24"/>
          <w:szCs w:val="24"/>
        </w:rPr>
      </w:pPr>
      <w:r w:rsidRPr="00906693">
        <w:rPr>
          <w:rFonts w:cs="Calibri"/>
          <w:sz w:val="24"/>
          <w:szCs w:val="24"/>
        </w:rPr>
        <w:t xml:space="preserve">tel.: </w:t>
      </w:r>
      <w:r w:rsidR="0054551D">
        <w:rPr>
          <w:rFonts w:cs="Calibri"/>
          <w:sz w:val="24"/>
          <w:szCs w:val="24"/>
        </w:rPr>
        <w:t>880 524 959</w:t>
      </w:r>
    </w:p>
    <w:p w14:paraId="0BD8CDAA" w14:textId="77777777" w:rsidR="009A233D" w:rsidRPr="00343AAD" w:rsidRDefault="009A233D" w:rsidP="009A233D">
      <w:pPr>
        <w:spacing w:after="0" w:line="276" w:lineRule="auto"/>
        <w:rPr>
          <w:rFonts w:cs="Calibri"/>
          <w:sz w:val="24"/>
          <w:szCs w:val="24"/>
        </w:rPr>
      </w:pPr>
    </w:p>
    <w:p w14:paraId="1756A616" w14:textId="77777777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>Informacja prasowa</w:t>
      </w:r>
    </w:p>
    <w:p w14:paraId="722E5DBA" w14:textId="278BB803" w:rsidR="009A233D" w:rsidRPr="008614C9" w:rsidRDefault="009A233D" w:rsidP="009A233D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8614C9">
        <w:rPr>
          <w:rFonts w:cs="Calibri"/>
          <w:sz w:val="24"/>
          <w:szCs w:val="24"/>
        </w:rPr>
        <w:t xml:space="preserve">Warszawa, </w:t>
      </w:r>
      <w:r w:rsidR="00A04AB3">
        <w:rPr>
          <w:rFonts w:cs="Calibri"/>
          <w:sz w:val="24"/>
          <w:szCs w:val="24"/>
        </w:rPr>
        <w:t>03</w:t>
      </w:r>
      <w:r w:rsidRPr="008614C9">
        <w:rPr>
          <w:rFonts w:cs="Calibri"/>
          <w:sz w:val="24"/>
          <w:szCs w:val="24"/>
        </w:rPr>
        <w:t>.</w:t>
      </w:r>
      <w:r w:rsidR="00343AAD">
        <w:rPr>
          <w:rFonts w:cs="Calibri"/>
          <w:sz w:val="24"/>
          <w:szCs w:val="24"/>
        </w:rPr>
        <w:t>11</w:t>
      </w:r>
      <w:r w:rsidRPr="008614C9">
        <w:rPr>
          <w:rFonts w:cs="Calibri"/>
          <w:sz w:val="24"/>
          <w:szCs w:val="24"/>
        </w:rPr>
        <w:t>.202</w:t>
      </w:r>
      <w:r w:rsidR="00A04AB3">
        <w:rPr>
          <w:rFonts w:cs="Calibri"/>
          <w:sz w:val="24"/>
          <w:szCs w:val="24"/>
        </w:rPr>
        <w:t>2</w:t>
      </w:r>
      <w:r w:rsidRPr="008614C9">
        <w:rPr>
          <w:rFonts w:cs="Calibri"/>
          <w:sz w:val="24"/>
          <w:szCs w:val="24"/>
        </w:rPr>
        <w:t xml:space="preserve"> r.</w:t>
      </w:r>
    </w:p>
    <w:p w14:paraId="77CE8A33" w14:textId="77777777" w:rsidR="009A233D" w:rsidRPr="008614C9" w:rsidRDefault="009A233D" w:rsidP="009A233D">
      <w:pPr>
        <w:spacing w:line="276" w:lineRule="auto"/>
        <w:rPr>
          <w:rFonts w:cs="Calibri"/>
          <w:sz w:val="18"/>
          <w:szCs w:val="18"/>
        </w:rPr>
      </w:pPr>
    </w:p>
    <w:p w14:paraId="4998BA71" w14:textId="77777777" w:rsidR="009A233D" w:rsidRDefault="009A233D" w:rsidP="009A233D">
      <w:pPr>
        <w:spacing w:line="276" w:lineRule="auto"/>
        <w:rPr>
          <w:b/>
          <w:sz w:val="34"/>
          <w:szCs w:val="34"/>
        </w:rPr>
        <w:sectPr w:rsidR="009A233D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14:paraId="03355AE5" w14:textId="77777777" w:rsidR="009A233D" w:rsidRDefault="009A233D" w:rsidP="00E14005">
      <w:pPr>
        <w:pStyle w:val="NormalnyWeb"/>
        <w:shd w:val="clear" w:color="auto" w:fill="FFFFFF"/>
        <w:spacing w:before="0" w:beforeAutospacing="0" w:after="240" w:afterAutospacing="0"/>
        <w:rPr>
          <w:rFonts w:ascii="Calibri" w:hAnsi="Calibri" w:cs="Calibri"/>
          <w:color w:val="000000"/>
        </w:rPr>
      </w:pPr>
    </w:p>
    <w:p w14:paraId="32D4678D" w14:textId="702E0B1F" w:rsidR="0051766E" w:rsidRPr="00061779" w:rsidRDefault="0051766E" w:rsidP="00061779">
      <w:pPr>
        <w:pStyle w:val="Nagwek1"/>
      </w:pPr>
      <w:r w:rsidRPr="00061779">
        <w:t xml:space="preserve">Do </w:t>
      </w:r>
      <w:r w:rsidR="00E51DEB" w:rsidRPr="00061779">
        <w:t>1</w:t>
      </w:r>
      <w:r w:rsidRPr="00061779">
        <w:t xml:space="preserve"> grudnia trwa nabór do </w:t>
      </w:r>
      <w:r w:rsidR="00B93990" w:rsidRPr="00061779">
        <w:t>jubileuszowej</w:t>
      </w:r>
      <w:r w:rsidRPr="00061779">
        <w:t xml:space="preserve"> edycji konkursu Polski Produkt Przyszłości</w:t>
      </w:r>
    </w:p>
    <w:p w14:paraId="519724F7" w14:textId="4828969A" w:rsidR="0051766E" w:rsidRDefault="00E51DEB" w:rsidP="00FC3715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Ruszył</w:t>
      </w:r>
      <w:r w:rsidR="00B93990">
        <w:rPr>
          <w:b/>
          <w:bCs/>
          <w:sz w:val="24"/>
          <w:szCs w:val="24"/>
        </w:rPr>
        <w:t>a XXV edycja</w:t>
      </w:r>
      <w:r>
        <w:rPr>
          <w:b/>
          <w:bCs/>
          <w:sz w:val="24"/>
          <w:szCs w:val="24"/>
        </w:rPr>
        <w:t xml:space="preserve"> </w:t>
      </w:r>
      <w:r w:rsidRPr="0051766E">
        <w:rPr>
          <w:b/>
          <w:bCs/>
          <w:sz w:val="24"/>
          <w:szCs w:val="24"/>
        </w:rPr>
        <w:t>konkurs</w:t>
      </w:r>
      <w:r w:rsidR="00B93990">
        <w:rPr>
          <w:b/>
          <w:bCs/>
          <w:sz w:val="24"/>
          <w:szCs w:val="24"/>
        </w:rPr>
        <w:t>u</w:t>
      </w:r>
      <w:r w:rsidRPr="0051766E">
        <w:rPr>
          <w:b/>
          <w:bCs/>
          <w:sz w:val="24"/>
          <w:szCs w:val="24"/>
        </w:rPr>
        <w:t xml:space="preserve"> </w:t>
      </w:r>
      <w:r w:rsidR="0051766E" w:rsidRPr="0051766E">
        <w:rPr>
          <w:b/>
          <w:bCs/>
          <w:sz w:val="24"/>
          <w:szCs w:val="24"/>
        </w:rPr>
        <w:t>„Polski Produkt Przyszłości”</w:t>
      </w:r>
      <w:r>
        <w:rPr>
          <w:b/>
          <w:bCs/>
          <w:sz w:val="24"/>
          <w:szCs w:val="24"/>
        </w:rPr>
        <w:t xml:space="preserve">, </w:t>
      </w:r>
      <w:r w:rsidR="0033135E">
        <w:rPr>
          <w:b/>
          <w:bCs/>
          <w:sz w:val="24"/>
          <w:szCs w:val="24"/>
        </w:rPr>
        <w:t>który</w:t>
      </w:r>
      <w:r w:rsidR="0051766E" w:rsidRPr="0051766E">
        <w:rPr>
          <w:b/>
          <w:bCs/>
          <w:sz w:val="24"/>
          <w:szCs w:val="24"/>
        </w:rPr>
        <w:t xml:space="preserve"> </w:t>
      </w:r>
      <w:r w:rsidR="0033135E">
        <w:rPr>
          <w:b/>
          <w:bCs/>
          <w:sz w:val="24"/>
          <w:szCs w:val="24"/>
        </w:rPr>
        <w:t>w</w:t>
      </w:r>
      <w:r w:rsidR="00E763B2">
        <w:rPr>
          <w:b/>
          <w:bCs/>
          <w:sz w:val="24"/>
          <w:szCs w:val="24"/>
        </w:rPr>
        <w:t xml:space="preserve">yłania i promuje </w:t>
      </w:r>
      <w:r w:rsidR="0033135E">
        <w:rPr>
          <w:b/>
          <w:bCs/>
          <w:sz w:val="24"/>
          <w:szCs w:val="24"/>
        </w:rPr>
        <w:t xml:space="preserve">innowacyjne </w:t>
      </w:r>
      <w:r w:rsidR="00E763B2" w:rsidRPr="00E763B2">
        <w:rPr>
          <w:b/>
          <w:bCs/>
          <w:sz w:val="24"/>
          <w:szCs w:val="24"/>
        </w:rPr>
        <w:t xml:space="preserve">rozwiązania </w:t>
      </w:r>
      <w:r w:rsidR="00E763B2">
        <w:rPr>
          <w:b/>
          <w:bCs/>
          <w:sz w:val="24"/>
          <w:szCs w:val="24"/>
        </w:rPr>
        <w:t>naukowców</w:t>
      </w:r>
      <w:r w:rsidR="0033135E">
        <w:rPr>
          <w:b/>
          <w:bCs/>
          <w:sz w:val="24"/>
          <w:szCs w:val="24"/>
        </w:rPr>
        <w:t>, przedsiębiorców</w:t>
      </w:r>
      <w:r w:rsidR="00E763B2">
        <w:rPr>
          <w:b/>
          <w:bCs/>
          <w:sz w:val="24"/>
          <w:szCs w:val="24"/>
        </w:rPr>
        <w:t xml:space="preserve"> i specjalistów </w:t>
      </w:r>
      <w:r w:rsidR="00E763B2" w:rsidRPr="00E763B2">
        <w:rPr>
          <w:b/>
          <w:bCs/>
          <w:sz w:val="24"/>
          <w:szCs w:val="24"/>
        </w:rPr>
        <w:t xml:space="preserve">z </w:t>
      </w:r>
      <w:r w:rsidR="00E763B2">
        <w:rPr>
          <w:b/>
          <w:bCs/>
          <w:sz w:val="24"/>
          <w:szCs w:val="24"/>
        </w:rPr>
        <w:t xml:space="preserve">wielu </w:t>
      </w:r>
      <w:r w:rsidR="00E763B2" w:rsidRPr="00E763B2">
        <w:rPr>
          <w:b/>
          <w:bCs/>
          <w:sz w:val="24"/>
          <w:szCs w:val="24"/>
        </w:rPr>
        <w:t>dziedzin</w:t>
      </w:r>
      <w:r w:rsidR="00784368">
        <w:rPr>
          <w:b/>
          <w:bCs/>
          <w:sz w:val="24"/>
          <w:szCs w:val="24"/>
        </w:rPr>
        <w:t>, które mają potencjał aby zaistnieć na globalnym rynku</w:t>
      </w:r>
      <w:r w:rsidR="00E763B2" w:rsidRPr="00E763B2">
        <w:rPr>
          <w:b/>
          <w:bCs/>
          <w:sz w:val="24"/>
          <w:szCs w:val="24"/>
        </w:rPr>
        <w:t>.</w:t>
      </w:r>
      <w:r w:rsidR="00E763B2">
        <w:rPr>
          <w:b/>
          <w:bCs/>
          <w:sz w:val="24"/>
          <w:szCs w:val="24"/>
        </w:rPr>
        <w:t xml:space="preserve"> </w:t>
      </w:r>
      <w:r w:rsidR="0051766E" w:rsidRPr="0051766E">
        <w:rPr>
          <w:b/>
          <w:bCs/>
          <w:sz w:val="24"/>
          <w:szCs w:val="24"/>
        </w:rPr>
        <w:t>Na zwycięzców w trzech kategoriach czekają nagrody finansowe w wysokości 100 tys. zł. Każdy z wyróżnionych, których może być nawet 12, otrzyma 25 tys. zł. Konkurs finansowany jest w ramach Funduszy Europejskich z Programu Inteligentny Rozwój</w:t>
      </w:r>
      <w:r w:rsidR="00732463">
        <w:rPr>
          <w:b/>
          <w:bCs/>
          <w:sz w:val="24"/>
          <w:szCs w:val="24"/>
        </w:rPr>
        <w:t xml:space="preserve"> (POIR)</w:t>
      </w:r>
      <w:r w:rsidR="0051766E" w:rsidRPr="0051766E">
        <w:rPr>
          <w:b/>
          <w:bCs/>
          <w:sz w:val="24"/>
          <w:szCs w:val="24"/>
        </w:rPr>
        <w:t>.</w:t>
      </w:r>
    </w:p>
    <w:p w14:paraId="58334E1D" w14:textId="1406EFA5" w:rsidR="004B5189" w:rsidRDefault="00720591" w:rsidP="00FC3715">
      <w:pPr>
        <w:spacing w:before="120" w:after="120" w:line="276" w:lineRule="auto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S</w:t>
      </w:r>
      <w:r w:rsidRPr="00A51773">
        <w:rPr>
          <w:rFonts w:eastAsia="Times New Roman" w:cstheme="minorHAnsi"/>
          <w:bCs/>
          <w:sz w:val="24"/>
          <w:szCs w:val="24"/>
          <w:lang w:eastAsia="pl-PL"/>
        </w:rPr>
        <w:t>zybko zmieniający się świat</w:t>
      </w:r>
      <w:r w:rsidR="008704E6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A51773">
        <w:rPr>
          <w:rFonts w:eastAsia="Times New Roman" w:cstheme="minorHAnsi"/>
          <w:bCs/>
          <w:sz w:val="24"/>
          <w:szCs w:val="24"/>
          <w:lang w:eastAsia="pl-PL"/>
        </w:rPr>
        <w:t xml:space="preserve"> nie może obyć się bez innowac</w:t>
      </w:r>
      <w:r>
        <w:rPr>
          <w:rFonts w:eastAsia="Times New Roman" w:cstheme="minorHAnsi"/>
          <w:bCs/>
          <w:sz w:val="24"/>
          <w:szCs w:val="24"/>
          <w:lang w:eastAsia="pl-PL"/>
        </w:rPr>
        <w:t>ji</w:t>
      </w:r>
      <w:r>
        <w:rPr>
          <w:rFonts w:asciiTheme="majorHAnsi" w:hAnsiTheme="majorHAnsi" w:cs="Calibri"/>
          <w:sz w:val="24"/>
          <w:szCs w:val="24"/>
        </w:rPr>
        <w:t xml:space="preserve"> niosących ze sobą obietnicę przyszłych korzyści dla użytkownika, społeczeństwa, a często także dla całej gospodarki. </w:t>
      </w:r>
      <w:r w:rsidR="008134F1">
        <w:rPr>
          <w:rFonts w:asciiTheme="majorHAnsi" w:hAnsiTheme="majorHAnsi" w:cs="Calibri"/>
          <w:sz w:val="24"/>
          <w:szCs w:val="24"/>
        </w:rPr>
        <w:t xml:space="preserve">Z tego względu Polska Agencja Rozwoju Przedsiębiorczości (PARP) i Narodowe Centrum </w:t>
      </w:r>
      <w:r w:rsidR="00784368">
        <w:rPr>
          <w:rFonts w:asciiTheme="majorHAnsi" w:hAnsiTheme="majorHAnsi" w:cs="Calibri"/>
          <w:sz w:val="24"/>
          <w:szCs w:val="24"/>
        </w:rPr>
        <w:t>B</w:t>
      </w:r>
      <w:r w:rsidR="008134F1">
        <w:rPr>
          <w:rFonts w:asciiTheme="majorHAnsi" w:hAnsiTheme="majorHAnsi" w:cs="Calibri"/>
          <w:sz w:val="24"/>
          <w:szCs w:val="24"/>
        </w:rPr>
        <w:t xml:space="preserve">adań i Rozwoju (NCBR) </w:t>
      </w:r>
      <w:r w:rsidR="00784368">
        <w:rPr>
          <w:rFonts w:asciiTheme="majorHAnsi" w:hAnsiTheme="majorHAnsi" w:cs="Calibri"/>
          <w:sz w:val="24"/>
          <w:szCs w:val="24"/>
        </w:rPr>
        <w:t xml:space="preserve">już </w:t>
      </w:r>
      <w:r w:rsidR="008134F1">
        <w:rPr>
          <w:rFonts w:asciiTheme="majorHAnsi" w:hAnsiTheme="majorHAnsi" w:cs="Calibri"/>
          <w:sz w:val="24"/>
          <w:szCs w:val="24"/>
        </w:rPr>
        <w:t xml:space="preserve">po raz 25 ogłosiły konkurs „Polski Produkt Przyszłości”. </w:t>
      </w:r>
      <w:r w:rsidR="004B5189">
        <w:rPr>
          <w:rFonts w:asciiTheme="majorHAnsi" w:hAnsiTheme="majorHAnsi" w:cs="Calibri"/>
          <w:sz w:val="24"/>
          <w:szCs w:val="24"/>
        </w:rPr>
        <w:t xml:space="preserve">Do konkursu można zgłaszać wyroby i technologie </w:t>
      </w:r>
      <w:r w:rsidR="004B5189" w:rsidRPr="0051766E">
        <w:rPr>
          <w:rFonts w:asciiTheme="majorHAnsi" w:hAnsiTheme="majorHAnsi" w:cs="Calibri"/>
          <w:sz w:val="24"/>
          <w:szCs w:val="24"/>
        </w:rPr>
        <w:t>ułatwiające codzienne życie, automatyzujące procesy produkcji</w:t>
      </w:r>
      <w:r w:rsidR="004B5189">
        <w:rPr>
          <w:rFonts w:asciiTheme="majorHAnsi" w:hAnsiTheme="majorHAnsi" w:cs="Calibri"/>
          <w:sz w:val="24"/>
          <w:szCs w:val="24"/>
        </w:rPr>
        <w:t>,</w:t>
      </w:r>
      <w:r w:rsidR="004B5189" w:rsidRPr="0051766E">
        <w:rPr>
          <w:rFonts w:asciiTheme="majorHAnsi" w:hAnsiTheme="majorHAnsi" w:cs="Calibri"/>
          <w:sz w:val="24"/>
          <w:szCs w:val="24"/>
        </w:rPr>
        <w:t xml:space="preserve"> wspomagające dbanie o zdrowie </w:t>
      </w:r>
      <w:r w:rsidR="004B5189">
        <w:rPr>
          <w:rFonts w:asciiTheme="majorHAnsi" w:hAnsiTheme="majorHAnsi" w:cs="Calibri"/>
          <w:sz w:val="24"/>
          <w:szCs w:val="24"/>
        </w:rPr>
        <w:t>czy</w:t>
      </w:r>
      <w:r w:rsidR="004B5189" w:rsidRPr="0051766E">
        <w:rPr>
          <w:rFonts w:asciiTheme="majorHAnsi" w:hAnsiTheme="majorHAnsi" w:cs="Calibri"/>
          <w:sz w:val="24"/>
          <w:szCs w:val="24"/>
        </w:rPr>
        <w:t xml:space="preserve"> środowisko. </w:t>
      </w:r>
      <w:r w:rsidR="008134F1">
        <w:rPr>
          <w:rFonts w:asciiTheme="majorHAnsi" w:hAnsiTheme="majorHAnsi" w:cs="Calibri"/>
          <w:sz w:val="24"/>
          <w:szCs w:val="24"/>
        </w:rPr>
        <w:t xml:space="preserve">Mogą być to rozwiązania z dowolnej dziedziny. </w:t>
      </w:r>
      <w:r w:rsidR="004B5189">
        <w:rPr>
          <w:rFonts w:asciiTheme="majorHAnsi" w:hAnsiTheme="majorHAnsi" w:cs="Calibri"/>
          <w:sz w:val="24"/>
          <w:szCs w:val="24"/>
        </w:rPr>
        <w:t>Aplikować</w:t>
      </w:r>
      <w:r w:rsidR="004B5189" w:rsidRPr="0051766E">
        <w:rPr>
          <w:rFonts w:asciiTheme="majorHAnsi" w:hAnsiTheme="majorHAnsi" w:cs="Calibri"/>
          <w:sz w:val="24"/>
          <w:szCs w:val="24"/>
        </w:rPr>
        <w:t xml:space="preserve"> mogą </w:t>
      </w:r>
      <w:r w:rsidR="004B5189" w:rsidRPr="0083747C">
        <w:rPr>
          <w:sz w:val="24"/>
          <w:szCs w:val="24"/>
        </w:rPr>
        <w:t>(indywidualnie lub wspólnie)</w:t>
      </w:r>
      <w:r w:rsidR="004B5189" w:rsidRPr="0051766E">
        <w:rPr>
          <w:rFonts w:asciiTheme="majorHAnsi" w:hAnsiTheme="majorHAnsi" w:cs="Calibri"/>
          <w:sz w:val="24"/>
          <w:szCs w:val="24"/>
        </w:rPr>
        <w:t xml:space="preserve"> uczelnie, instytuty naukowe i badawcze oraz przedsiębiorcy, działający na terenie Polski. </w:t>
      </w:r>
    </w:p>
    <w:p w14:paraId="238646D6" w14:textId="749C58C1" w:rsidR="007A4367" w:rsidRPr="00720591" w:rsidRDefault="007A4367" w:rsidP="00FC3715">
      <w:pPr>
        <w:spacing w:before="120" w:after="12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Warto podkreślić, że </w:t>
      </w:r>
      <w:r w:rsidRPr="00A51773">
        <w:rPr>
          <w:rFonts w:cstheme="minorHAnsi"/>
          <w:sz w:val="24"/>
          <w:szCs w:val="24"/>
        </w:rPr>
        <w:t>uczestni</w:t>
      </w:r>
      <w:r>
        <w:rPr>
          <w:rFonts w:cstheme="minorHAnsi"/>
          <w:sz w:val="24"/>
          <w:szCs w:val="24"/>
        </w:rPr>
        <w:t>cy</w:t>
      </w:r>
      <w:r w:rsidRPr="00A51773">
        <w:rPr>
          <w:rFonts w:cstheme="minorHAnsi"/>
          <w:sz w:val="24"/>
          <w:szCs w:val="24"/>
        </w:rPr>
        <w:t xml:space="preserve"> Konkursu </w:t>
      </w:r>
      <w:r>
        <w:rPr>
          <w:rFonts w:cstheme="minorHAnsi"/>
          <w:sz w:val="24"/>
          <w:szCs w:val="24"/>
        </w:rPr>
        <w:t xml:space="preserve">powinni dysponować autorskimi </w:t>
      </w:r>
      <w:r w:rsidRPr="00A51773">
        <w:rPr>
          <w:rFonts w:cstheme="minorHAnsi"/>
          <w:sz w:val="24"/>
          <w:szCs w:val="24"/>
        </w:rPr>
        <w:t>prawa</w:t>
      </w:r>
      <w:r>
        <w:rPr>
          <w:rFonts w:cstheme="minorHAnsi"/>
          <w:sz w:val="24"/>
          <w:szCs w:val="24"/>
        </w:rPr>
        <w:t>mi</w:t>
      </w:r>
      <w:r w:rsidRPr="00A51773">
        <w:rPr>
          <w:rFonts w:cstheme="minorHAnsi"/>
          <w:sz w:val="24"/>
          <w:szCs w:val="24"/>
        </w:rPr>
        <w:t xml:space="preserve"> majątkow</w:t>
      </w:r>
      <w:r>
        <w:rPr>
          <w:rFonts w:cstheme="minorHAnsi"/>
          <w:sz w:val="24"/>
          <w:szCs w:val="24"/>
        </w:rPr>
        <w:t xml:space="preserve">ymi do zgłaszanych rozwiązań. </w:t>
      </w:r>
      <w:r w:rsidRPr="007A4367">
        <w:rPr>
          <w:rFonts w:cstheme="minorHAnsi"/>
          <w:sz w:val="24"/>
          <w:szCs w:val="24"/>
        </w:rPr>
        <w:t xml:space="preserve">Konkurs prowadzony jest </w:t>
      </w:r>
      <w:r>
        <w:rPr>
          <w:rFonts w:cstheme="minorHAnsi"/>
          <w:sz w:val="24"/>
          <w:szCs w:val="24"/>
        </w:rPr>
        <w:t xml:space="preserve">też </w:t>
      </w:r>
      <w:r w:rsidRPr="007A4367">
        <w:rPr>
          <w:rFonts w:cstheme="minorHAnsi"/>
          <w:sz w:val="24"/>
          <w:szCs w:val="24"/>
        </w:rPr>
        <w:t>z myślą o projektach, które osiągnęły już pewien stopień zaawansowania</w:t>
      </w:r>
      <w:r w:rsidR="008704E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p</w:t>
      </w:r>
      <w:r w:rsidRPr="007A4367">
        <w:rPr>
          <w:rFonts w:cstheme="minorHAnsi"/>
          <w:sz w:val="24"/>
          <w:szCs w:val="24"/>
        </w:rPr>
        <w:t xml:space="preserve">owinny być doprowadzone co najmniej do etapu prac wdrożeniowych (wymagany poziom gotowości technologicznej co najmniej 6 TRL) albo wdrożone do produkcji </w:t>
      </w:r>
      <w:r>
        <w:rPr>
          <w:rFonts w:cstheme="minorHAnsi"/>
          <w:sz w:val="24"/>
          <w:szCs w:val="24"/>
        </w:rPr>
        <w:t>nie dłużej niż</w:t>
      </w:r>
      <w:r w:rsidRPr="007A4367">
        <w:rPr>
          <w:rFonts w:cstheme="minorHAnsi"/>
          <w:sz w:val="24"/>
          <w:szCs w:val="24"/>
        </w:rPr>
        <w:t xml:space="preserve"> 24 miesiące przed dniem złożenia wniosku konkursowego.</w:t>
      </w:r>
    </w:p>
    <w:p w14:paraId="0D65BEDF" w14:textId="3BCC5895" w:rsidR="005D3342" w:rsidRPr="004B10E2" w:rsidRDefault="005D3342" w:rsidP="00FC3715">
      <w:pPr>
        <w:spacing w:before="120" w:after="120" w:line="276" w:lineRule="auto"/>
        <w:rPr>
          <w:rFonts w:asciiTheme="majorHAnsi" w:eastAsiaTheme="majorEastAsia" w:hAnsiTheme="majorHAnsi"/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P</w:t>
      </w:r>
      <w:r w:rsidRPr="004B10E2">
        <w:rPr>
          <w:sz w:val="24"/>
          <w:szCs w:val="24"/>
        </w:rPr>
        <w:t>omysłodawcy mogą zgłaszać swoje produkty</w:t>
      </w:r>
      <w:r>
        <w:rPr>
          <w:sz w:val="24"/>
          <w:szCs w:val="24"/>
        </w:rPr>
        <w:t xml:space="preserve"> w trzech kategoriach</w:t>
      </w:r>
      <w:r w:rsidRPr="004B10E2">
        <w:rPr>
          <w:sz w:val="24"/>
          <w:szCs w:val="24"/>
        </w:rPr>
        <w:t>:</w:t>
      </w:r>
    </w:p>
    <w:p w14:paraId="135832F4" w14:textId="77777777" w:rsidR="005D3342" w:rsidRPr="004B10E2" w:rsidRDefault="005D3342" w:rsidP="00FC371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eastAsia="Times New Roman"/>
          <w:sz w:val="24"/>
          <w:szCs w:val="24"/>
        </w:rPr>
      </w:pPr>
      <w:r w:rsidRPr="004B10E2">
        <w:rPr>
          <w:rFonts w:eastAsia="Times New Roman"/>
          <w:sz w:val="24"/>
          <w:szCs w:val="24"/>
        </w:rPr>
        <w:t>Produkt Przyszłości Instytucji Szkolnictwa Wyższego i Nauki,</w:t>
      </w:r>
    </w:p>
    <w:p w14:paraId="39A7681F" w14:textId="67E72D81" w:rsidR="005D3342" w:rsidRDefault="005D3342" w:rsidP="00FC371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eastAsia="Times New Roman"/>
          <w:sz w:val="24"/>
          <w:szCs w:val="24"/>
        </w:rPr>
      </w:pPr>
      <w:r w:rsidRPr="004B10E2">
        <w:rPr>
          <w:rFonts w:eastAsia="Times New Roman"/>
          <w:sz w:val="24"/>
          <w:szCs w:val="24"/>
        </w:rPr>
        <w:t>Wspólny Produkt Przyszłości Instytucji Systemu Szkolnictwa Wyższego i Nauki oraz Przedsiębiorcy</w:t>
      </w:r>
      <w:r w:rsidR="00DC48F3">
        <w:rPr>
          <w:rFonts w:eastAsia="Times New Roman"/>
          <w:sz w:val="24"/>
          <w:szCs w:val="24"/>
        </w:rPr>
        <w:t>,</w:t>
      </w:r>
    </w:p>
    <w:p w14:paraId="5D39F57D" w14:textId="76D3BEC4" w:rsidR="008D1690" w:rsidRPr="004B5189" w:rsidRDefault="005D3342" w:rsidP="00FC3715">
      <w:pPr>
        <w:pStyle w:val="Akapitzlist"/>
        <w:numPr>
          <w:ilvl w:val="0"/>
          <w:numId w:val="7"/>
        </w:numPr>
        <w:spacing w:before="120" w:after="120" w:line="276" w:lineRule="auto"/>
        <w:contextualSpacing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Produkt Przyszłości Przedsiębiorcy</w:t>
      </w:r>
      <w:r w:rsidRPr="004B10E2">
        <w:rPr>
          <w:rFonts w:eastAsia="Times New Roman"/>
          <w:sz w:val="24"/>
          <w:szCs w:val="24"/>
        </w:rPr>
        <w:t>.</w:t>
      </w:r>
    </w:p>
    <w:p w14:paraId="11C2AC6B" w14:textId="5D2F7661" w:rsidR="008D078B" w:rsidRDefault="00CE2F58" w:rsidP="00FC3715">
      <w:pPr>
        <w:spacing w:before="120" w:after="120" w:line="276" w:lineRule="auto"/>
        <w:rPr>
          <w:sz w:val="24"/>
          <w:szCs w:val="24"/>
        </w:rPr>
      </w:pPr>
      <w:r w:rsidRPr="0083747C">
        <w:rPr>
          <w:sz w:val="24"/>
          <w:szCs w:val="24"/>
        </w:rPr>
        <w:lastRenderedPageBreak/>
        <w:t xml:space="preserve">Zgłoszone projekty oceniane będą </w:t>
      </w:r>
      <w:r w:rsidR="00784368">
        <w:rPr>
          <w:sz w:val="24"/>
          <w:szCs w:val="24"/>
        </w:rPr>
        <w:t xml:space="preserve">przez ekspertów branżowych </w:t>
      </w:r>
      <w:r w:rsidR="008134F1">
        <w:rPr>
          <w:sz w:val="24"/>
          <w:szCs w:val="24"/>
        </w:rPr>
        <w:t>pod kątem</w:t>
      </w:r>
      <w:r w:rsidRPr="0083747C">
        <w:rPr>
          <w:sz w:val="24"/>
          <w:szCs w:val="24"/>
        </w:rPr>
        <w:t xml:space="preserve"> poziomu innowacyjności, przydatności cech lub funkcjonalności produktu dla jego użytkowników końcowych, potencjału rynkowego, poziomu zaawansowania prac nad produktem, strategii wprowadzenia produktu na rynek, a także jego wpływu na środowisko. Dodatkowo punktowane będą patenty i zgłoszenia patentowe.</w:t>
      </w:r>
      <w:r w:rsidR="00784368">
        <w:rPr>
          <w:sz w:val="24"/>
          <w:szCs w:val="24"/>
        </w:rPr>
        <w:t xml:space="preserve"> </w:t>
      </w:r>
    </w:p>
    <w:p w14:paraId="1589EC1D" w14:textId="2A04B5E4" w:rsidR="00CE2F58" w:rsidRDefault="00784368" w:rsidP="00FC3715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Wyboru laureatów dokona Kapituła Konkursu, w skład której wchodzą przedstawiciele najważniejszych instytucji w kraju: </w:t>
      </w:r>
      <w:r w:rsidRPr="00784368">
        <w:rPr>
          <w:sz w:val="24"/>
          <w:szCs w:val="24"/>
        </w:rPr>
        <w:t>Kancelarii Prezydenta RP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Kancelarii Prezesa Rady Ministrów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Ministerstwa Funduszy i Polityki Regionalnej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Ministerstwa Rozwoju i Technologii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Ministerstwa Edukacji i Nauki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Narodowego Centrum Badań i Rozwoju</w:t>
      </w:r>
      <w:r>
        <w:rPr>
          <w:sz w:val="24"/>
          <w:szCs w:val="24"/>
        </w:rPr>
        <w:t xml:space="preserve">, </w:t>
      </w:r>
      <w:r w:rsidRPr="00784368">
        <w:rPr>
          <w:sz w:val="24"/>
          <w:szCs w:val="24"/>
        </w:rPr>
        <w:t>Urzędu Patentowego RP</w:t>
      </w:r>
      <w:r>
        <w:rPr>
          <w:sz w:val="24"/>
          <w:szCs w:val="24"/>
        </w:rPr>
        <w:t xml:space="preserve"> oraz </w:t>
      </w:r>
      <w:r w:rsidRPr="00784368">
        <w:rPr>
          <w:sz w:val="24"/>
          <w:szCs w:val="24"/>
        </w:rPr>
        <w:t xml:space="preserve">organizacji </w:t>
      </w:r>
      <w:r>
        <w:rPr>
          <w:sz w:val="24"/>
          <w:szCs w:val="24"/>
        </w:rPr>
        <w:t>i</w:t>
      </w:r>
      <w:r w:rsidRPr="00784368">
        <w:rPr>
          <w:sz w:val="24"/>
          <w:szCs w:val="24"/>
        </w:rPr>
        <w:t xml:space="preserve"> stowarzyszeń działających na rzecz przedsiębiorczości współpracujących z PARP.</w:t>
      </w:r>
    </w:p>
    <w:p w14:paraId="293C3F3F" w14:textId="00DD6173" w:rsidR="007A4367" w:rsidRDefault="007A4367" w:rsidP="00FC3715">
      <w:pPr>
        <w:spacing w:before="120" w:after="120" w:line="276" w:lineRule="auto"/>
        <w:rPr>
          <w:sz w:val="24"/>
          <w:szCs w:val="24"/>
        </w:rPr>
      </w:pPr>
      <w:r w:rsidRPr="0083747C">
        <w:rPr>
          <w:sz w:val="24"/>
          <w:szCs w:val="24"/>
        </w:rPr>
        <w:t xml:space="preserve">W każdej z kategorii przyznana </w:t>
      </w:r>
      <w:r w:rsidR="008D078B">
        <w:rPr>
          <w:sz w:val="24"/>
          <w:szCs w:val="24"/>
        </w:rPr>
        <w:t>zostanie</w:t>
      </w:r>
      <w:r w:rsidRPr="0083747C">
        <w:rPr>
          <w:sz w:val="24"/>
          <w:szCs w:val="24"/>
        </w:rPr>
        <w:t xml:space="preserve"> nagroda główna w wysokości 100 tys. zł, a także maksymalnie cztery wyróżnienia po 25 tys. zł. Kapituła konkursu może przyznać także nagrody specjalne: dla młodego przedsiębiorcy, za produkt z branży technologii informacyjnych i komunikacyjnych (ICT) oraz za </w:t>
      </w:r>
      <w:proofErr w:type="spellStart"/>
      <w:r w:rsidRPr="0083747C">
        <w:rPr>
          <w:sz w:val="24"/>
          <w:szCs w:val="24"/>
        </w:rPr>
        <w:t>ekoinnowację</w:t>
      </w:r>
      <w:proofErr w:type="spellEnd"/>
      <w:r w:rsidRPr="0083747C">
        <w:rPr>
          <w:sz w:val="24"/>
          <w:szCs w:val="24"/>
        </w:rPr>
        <w:t>.</w:t>
      </w:r>
      <w:r w:rsidR="008D078B">
        <w:rPr>
          <w:sz w:val="24"/>
          <w:szCs w:val="24"/>
        </w:rPr>
        <w:t xml:space="preserve"> I</w:t>
      </w:r>
      <w:r w:rsidR="008D078B" w:rsidRPr="008D078B">
        <w:rPr>
          <w:sz w:val="24"/>
          <w:szCs w:val="24"/>
        </w:rPr>
        <w:t xml:space="preserve">nstytucje reprezentowane w Kapitule mogą przyznać </w:t>
      </w:r>
      <w:r w:rsidR="008D078B">
        <w:rPr>
          <w:sz w:val="24"/>
          <w:szCs w:val="24"/>
        </w:rPr>
        <w:t xml:space="preserve">też </w:t>
      </w:r>
      <w:r w:rsidR="008D078B" w:rsidRPr="008D078B">
        <w:rPr>
          <w:sz w:val="24"/>
          <w:szCs w:val="24"/>
        </w:rPr>
        <w:t>własne nagrody.</w:t>
      </w:r>
    </w:p>
    <w:p w14:paraId="15EF576D" w14:textId="77777777" w:rsidR="00FC3715" w:rsidRDefault="007A4367" w:rsidP="00FC3715">
      <w:pPr>
        <w:spacing w:before="120" w:after="120" w:line="276" w:lineRule="auto"/>
        <w:rPr>
          <w:rFonts w:cstheme="minorHAns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Organizatorzy Konkursu</w:t>
      </w:r>
      <w:r w:rsidR="008134F1" w:rsidRPr="0051766E">
        <w:rPr>
          <w:rFonts w:asciiTheme="majorHAnsi" w:hAnsiTheme="majorHAnsi" w:cs="Calibri"/>
          <w:sz w:val="24"/>
          <w:szCs w:val="24"/>
        </w:rPr>
        <w:t xml:space="preserve"> czekają </w:t>
      </w:r>
      <w:r>
        <w:rPr>
          <w:rFonts w:asciiTheme="majorHAnsi" w:hAnsiTheme="majorHAnsi" w:cs="Calibri"/>
          <w:sz w:val="24"/>
          <w:szCs w:val="24"/>
        </w:rPr>
        <w:t xml:space="preserve">na aplikacje </w:t>
      </w:r>
      <w:r w:rsidR="008134F1" w:rsidRPr="0051766E">
        <w:rPr>
          <w:rFonts w:asciiTheme="majorHAnsi" w:hAnsiTheme="majorHAnsi" w:cs="Calibri"/>
          <w:sz w:val="24"/>
          <w:szCs w:val="24"/>
        </w:rPr>
        <w:t xml:space="preserve">do </w:t>
      </w:r>
      <w:r w:rsidR="008134F1">
        <w:rPr>
          <w:rFonts w:asciiTheme="majorHAnsi" w:hAnsiTheme="majorHAnsi" w:cs="Calibri"/>
          <w:sz w:val="24"/>
          <w:szCs w:val="24"/>
        </w:rPr>
        <w:t>1</w:t>
      </w:r>
      <w:r w:rsidR="008134F1" w:rsidRPr="0051766E">
        <w:rPr>
          <w:rFonts w:asciiTheme="majorHAnsi" w:hAnsiTheme="majorHAnsi" w:cs="Calibri"/>
          <w:sz w:val="24"/>
          <w:szCs w:val="24"/>
        </w:rPr>
        <w:t xml:space="preserve"> grudnia 202</w:t>
      </w:r>
      <w:r w:rsidR="008134F1">
        <w:rPr>
          <w:rFonts w:asciiTheme="majorHAnsi" w:hAnsiTheme="majorHAnsi" w:cs="Calibri"/>
          <w:sz w:val="24"/>
          <w:szCs w:val="24"/>
        </w:rPr>
        <w:t>2</w:t>
      </w:r>
      <w:r>
        <w:rPr>
          <w:rFonts w:asciiTheme="majorHAnsi" w:hAnsiTheme="majorHAnsi" w:cs="Calibri"/>
          <w:sz w:val="24"/>
          <w:szCs w:val="24"/>
        </w:rPr>
        <w:t xml:space="preserve"> r.</w:t>
      </w:r>
      <w:r w:rsidR="008D078B">
        <w:rPr>
          <w:rFonts w:asciiTheme="majorHAnsi" w:hAnsiTheme="majorHAnsi" w:cs="Calibri"/>
          <w:sz w:val="24"/>
          <w:szCs w:val="24"/>
        </w:rPr>
        <w:t xml:space="preserve"> (w ostatnim dniu naboru do godz. 16.00).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Pr="00A51773">
        <w:rPr>
          <w:rFonts w:cstheme="minorHAnsi"/>
          <w:sz w:val="24"/>
          <w:szCs w:val="24"/>
        </w:rPr>
        <w:t>Udział w Konkursie jest bezpłatny.</w:t>
      </w:r>
    </w:p>
    <w:p w14:paraId="108D7CF4" w14:textId="11C03649" w:rsidR="00A03ECB" w:rsidRDefault="00A03ECB" w:rsidP="00061779">
      <w:pPr>
        <w:pStyle w:val="Nagwek2"/>
        <w:rPr>
          <w:b w:val="0"/>
        </w:rPr>
      </w:pPr>
      <w:r w:rsidRPr="00F25AB1">
        <w:t>Laureaci poprzednich edycji</w:t>
      </w:r>
    </w:p>
    <w:p w14:paraId="191BEB01" w14:textId="77777777" w:rsidR="00F25AB1" w:rsidRPr="00061779" w:rsidRDefault="00F25AB1" w:rsidP="00061779">
      <w:pPr>
        <w:rPr>
          <w:b/>
          <w:sz w:val="26"/>
          <w:szCs w:val="26"/>
        </w:rPr>
      </w:pPr>
      <w:r w:rsidRPr="00061779">
        <w:rPr>
          <w:b/>
          <w:sz w:val="26"/>
          <w:szCs w:val="26"/>
        </w:rPr>
        <w:t>Produkt przyszłości przedsiębiorcy</w:t>
      </w:r>
    </w:p>
    <w:p w14:paraId="5F1331CB" w14:textId="599A840C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8704E6">
        <w:rPr>
          <w:rFonts w:ascii="Calibri" w:hAnsi="Calibri" w:cs="Calibri"/>
          <w:bCs/>
          <w:color w:val="000000"/>
          <w:shd w:val="clear" w:color="auto" w:fill="FFFFFF"/>
        </w:rPr>
        <w:t>W XXIV</w:t>
      </w:r>
      <w:r>
        <w:rPr>
          <w:rFonts w:ascii="Calibri" w:hAnsi="Calibri" w:cs="Calibri"/>
          <w:color w:val="000000"/>
          <w:shd w:val="clear" w:color="auto" w:fill="FFFFFF"/>
        </w:rPr>
        <w:t xml:space="preserve"> edycji w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 kategorii „</w:t>
      </w:r>
      <w:r w:rsidRPr="000F541D">
        <w:rPr>
          <w:rFonts w:ascii="Calibri" w:hAnsi="Calibri" w:cs="Calibri"/>
          <w:bCs/>
          <w:color w:val="000000"/>
          <w:shd w:val="clear" w:color="auto" w:fill="FFFFFF"/>
        </w:rPr>
        <w:t>Produkt Przyszłości Przedsiębiorcy”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 nagrodę główną otrzymali twórcy innowacyjnych </w:t>
      </w:r>
      <w:proofErr w:type="spellStart"/>
      <w:r w:rsidRPr="000F541D">
        <w:rPr>
          <w:rFonts w:ascii="Calibri" w:hAnsi="Calibri" w:cs="Calibri"/>
          <w:color w:val="000000"/>
          <w:shd w:val="clear" w:color="auto" w:fill="FFFFFF"/>
        </w:rPr>
        <w:t>nanomembran</w:t>
      </w:r>
      <w:proofErr w:type="spellEnd"/>
      <w:r w:rsidRPr="000F541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proofErr w:type="spellStart"/>
      <w:r w:rsidRPr="000F541D">
        <w:rPr>
          <w:rFonts w:ascii="Calibri" w:hAnsi="Calibri" w:cs="Calibri"/>
          <w:bCs/>
          <w:color w:val="000000"/>
          <w:shd w:val="clear" w:color="auto" w:fill="FFFFFF"/>
        </w:rPr>
        <w:t>NanoseenX</w:t>
      </w:r>
      <w:proofErr w:type="spellEnd"/>
      <w:r w:rsidRPr="000F541D">
        <w:rPr>
          <w:rFonts w:ascii="Calibri" w:hAnsi="Calibri" w:cs="Calibri"/>
          <w:bCs/>
          <w:color w:val="000000"/>
          <w:shd w:val="clear" w:color="auto" w:fill="FFFFFF"/>
        </w:rPr>
        <w:t xml:space="preserve"> 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do oczyszczania i odsalania wody opracowanych przez </w:t>
      </w:r>
      <w:proofErr w:type="spellStart"/>
      <w:r w:rsidRPr="000F541D">
        <w:rPr>
          <w:rFonts w:ascii="Calibri" w:hAnsi="Calibri" w:cs="Calibri"/>
          <w:color w:val="000000"/>
          <w:shd w:val="clear" w:color="auto" w:fill="FFFFFF"/>
        </w:rPr>
        <w:t>Nanoseen</w:t>
      </w:r>
      <w:proofErr w:type="spellEnd"/>
      <w:r w:rsidRPr="000F541D">
        <w:rPr>
          <w:rFonts w:ascii="Calibri" w:hAnsi="Calibri" w:cs="Calibri"/>
          <w:color w:val="000000"/>
          <w:shd w:val="clear" w:color="auto" w:fill="FFFFFF"/>
        </w:rPr>
        <w:t xml:space="preserve"> Sp. z o.o. </w:t>
      </w:r>
    </w:p>
    <w:p w14:paraId="7E6A2DEE" w14:textId="17C8B7A6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>Wyróżnienia w tej kategorii otrzymały projekty: </w:t>
      </w:r>
      <w:bookmarkStart w:id="1" w:name="_GoBack"/>
      <w:bookmarkEnd w:id="1"/>
    </w:p>
    <w:p w14:paraId="4A7106F6" w14:textId="77777777" w:rsidR="00F25AB1" w:rsidRPr="000F541D" w:rsidRDefault="00F25AB1" w:rsidP="00FC3715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F541D">
        <w:rPr>
          <w:rFonts w:ascii="Calibri" w:hAnsi="Calibri" w:cs="Calibri"/>
          <w:color w:val="000000"/>
        </w:rPr>
        <w:t xml:space="preserve">bezpieczne nanomateriały </w:t>
      </w:r>
      <w:proofErr w:type="spellStart"/>
      <w:r w:rsidRPr="000F541D">
        <w:rPr>
          <w:rFonts w:ascii="Calibri" w:hAnsi="Calibri" w:cs="Calibri"/>
          <w:color w:val="000000"/>
        </w:rPr>
        <w:t>tlenowo-cynkowe</w:t>
      </w:r>
      <w:proofErr w:type="spellEnd"/>
      <w:r w:rsidRPr="000F541D">
        <w:rPr>
          <w:rFonts w:ascii="Calibri" w:hAnsi="Calibri" w:cs="Calibri"/>
          <w:color w:val="000000"/>
        </w:rPr>
        <w:t xml:space="preserve"> opracowane przez </w:t>
      </w:r>
      <w:proofErr w:type="spellStart"/>
      <w:r w:rsidRPr="000F541D">
        <w:rPr>
          <w:rFonts w:ascii="Calibri" w:hAnsi="Calibri" w:cs="Calibri"/>
          <w:color w:val="000000"/>
          <w:shd w:val="clear" w:color="auto" w:fill="FFFFFF"/>
        </w:rPr>
        <w:t>Nanoxo</w:t>
      </w:r>
      <w:proofErr w:type="spellEnd"/>
      <w:r w:rsidRPr="000F541D">
        <w:rPr>
          <w:rFonts w:ascii="Calibri" w:hAnsi="Calibri" w:cs="Calibri"/>
          <w:color w:val="000000"/>
          <w:shd w:val="clear" w:color="auto" w:fill="FFFFFF"/>
        </w:rPr>
        <w:t xml:space="preserve">  </w:t>
      </w:r>
      <w:r w:rsidRPr="000F541D">
        <w:rPr>
          <w:rFonts w:ascii="Calibri" w:hAnsi="Calibri" w:cs="Calibri"/>
          <w:color w:val="000000"/>
        </w:rPr>
        <w:t xml:space="preserve">sp. z </w:t>
      </w:r>
      <w:proofErr w:type="spellStart"/>
      <w:r w:rsidRPr="000F541D">
        <w:rPr>
          <w:rFonts w:ascii="Calibri" w:hAnsi="Calibri" w:cs="Calibri"/>
          <w:color w:val="000000"/>
        </w:rPr>
        <w:t>o.o</w:t>
      </w:r>
      <w:proofErr w:type="spellEnd"/>
      <w:r w:rsidRPr="000F541D">
        <w:rPr>
          <w:rFonts w:ascii="Calibri" w:hAnsi="Calibri" w:cs="Calibri"/>
          <w:color w:val="000000"/>
        </w:rPr>
        <w:t>;</w:t>
      </w:r>
    </w:p>
    <w:p w14:paraId="6D24DCD0" w14:textId="77777777" w:rsidR="00F25AB1" w:rsidRPr="000F541D" w:rsidRDefault="00F25AB1" w:rsidP="00FC3715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textAlignment w:val="baseline"/>
        <w:rPr>
          <w:rFonts w:ascii="Calibri" w:hAnsi="Calibri" w:cs="Calibri"/>
          <w:color w:val="000000"/>
        </w:rPr>
      </w:pPr>
      <w:proofErr w:type="spellStart"/>
      <w:r w:rsidRPr="000F541D">
        <w:rPr>
          <w:rFonts w:ascii="Calibri" w:hAnsi="Calibri" w:cs="Calibri"/>
          <w:bCs/>
          <w:color w:val="000000"/>
          <w:shd w:val="clear" w:color="auto" w:fill="FFFFFF"/>
        </w:rPr>
        <w:t>PayEye</w:t>
      </w:r>
      <w:proofErr w:type="spellEnd"/>
      <w:r w:rsidRPr="000F541D">
        <w:rPr>
          <w:rFonts w:ascii="Calibri" w:hAnsi="Calibri" w:cs="Calibri"/>
          <w:color w:val="000000"/>
          <w:shd w:val="clear" w:color="auto" w:fill="FFFFFF"/>
        </w:rPr>
        <w:t xml:space="preserve"> – </w:t>
      </w:r>
      <w:r w:rsidRPr="000F541D">
        <w:rPr>
          <w:rFonts w:ascii="Calibri" w:hAnsi="Calibri" w:cs="Calibri"/>
          <w:color w:val="000000"/>
        </w:rPr>
        <w:t xml:space="preserve">system identyfikacji biometrycznej z zastosowaniem do płatności okiem. Pierwszy na świecie komercyjny, kompletny system płatniczy, opierający się na akceptacji płatności poprzez identyfikację użytkownika z wykorzystaniem biometrii tęczówki oka i twarzy opracowany przez </w:t>
      </w:r>
      <w:proofErr w:type="spellStart"/>
      <w:r w:rsidRPr="000F541D">
        <w:rPr>
          <w:rFonts w:ascii="Calibri" w:hAnsi="Calibri" w:cs="Calibri"/>
          <w:color w:val="000000"/>
        </w:rPr>
        <w:t>PayEye</w:t>
      </w:r>
      <w:proofErr w:type="spellEnd"/>
      <w:r w:rsidRPr="000F541D">
        <w:rPr>
          <w:rFonts w:ascii="Calibri" w:hAnsi="Calibri" w:cs="Calibri"/>
          <w:color w:val="000000"/>
        </w:rPr>
        <w:t xml:space="preserve"> sp. z o.o.;</w:t>
      </w:r>
    </w:p>
    <w:p w14:paraId="3A380269" w14:textId="77777777" w:rsidR="00F25AB1" w:rsidRPr="000F541D" w:rsidRDefault="00F25AB1" w:rsidP="00FC3715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F541D">
        <w:rPr>
          <w:rFonts w:ascii="Calibri" w:hAnsi="Calibri" w:cs="Calibri"/>
          <w:color w:val="000000"/>
        </w:rPr>
        <w:t xml:space="preserve">tusz do druku wyświetlaczy i oświetlenia OLED, zawierający autorskie emitery termicznie aktywowanej opóźnionej fluorescencji (TADF) opracowany przez </w:t>
      </w:r>
      <w:proofErr w:type="spellStart"/>
      <w:r w:rsidRPr="000F541D">
        <w:rPr>
          <w:rFonts w:ascii="Calibri" w:hAnsi="Calibri" w:cs="Calibri"/>
          <w:bCs/>
          <w:color w:val="000000"/>
          <w:shd w:val="clear" w:color="auto" w:fill="FFFFFF"/>
        </w:rPr>
        <w:t>Noctiuluca</w:t>
      </w:r>
      <w:proofErr w:type="spellEnd"/>
      <w:r w:rsidRPr="000F541D">
        <w:rPr>
          <w:rFonts w:ascii="Calibri" w:hAnsi="Calibri" w:cs="Calibri"/>
          <w:bCs/>
          <w:color w:val="000000"/>
          <w:shd w:val="clear" w:color="auto" w:fill="FFFFFF"/>
        </w:rPr>
        <w:t xml:space="preserve"> S.A.</w:t>
      </w:r>
      <w:r w:rsidRPr="000F541D">
        <w:rPr>
          <w:rFonts w:ascii="Calibri" w:hAnsi="Calibri" w:cs="Calibri"/>
          <w:color w:val="000000"/>
        </w:rPr>
        <w:t>;</w:t>
      </w:r>
    </w:p>
    <w:p w14:paraId="11C150E3" w14:textId="77777777" w:rsidR="00F25AB1" w:rsidRPr="000F541D" w:rsidRDefault="00F25AB1" w:rsidP="00FC3715">
      <w:pPr>
        <w:pStyle w:val="NormalnyWeb"/>
        <w:numPr>
          <w:ilvl w:val="0"/>
          <w:numId w:val="13"/>
        </w:numPr>
        <w:spacing w:before="120" w:beforeAutospacing="0" w:after="120" w:afterAutospacing="0" w:line="276" w:lineRule="auto"/>
        <w:textAlignment w:val="baseline"/>
        <w:rPr>
          <w:rFonts w:ascii="Calibri" w:hAnsi="Calibri" w:cs="Calibri"/>
          <w:color w:val="000000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 xml:space="preserve">unikalny zespół samojezdnych maszyn wiercącej i kotwiącej  z napędem bateryjnym (BEV), przeznaczonych do eksploatacji i zabezpieczania wyrobisk w kopalniach surowców mineralnych oraz drążenia tuneli komunikacyjnych opracowany przez </w:t>
      </w:r>
      <w:proofErr w:type="spellStart"/>
      <w:r w:rsidRPr="000F541D">
        <w:rPr>
          <w:rFonts w:ascii="Calibri" w:hAnsi="Calibri" w:cs="Calibri"/>
          <w:bCs/>
          <w:color w:val="000000"/>
          <w:shd w:val="clear" w:color="auto" w:fill="FFFFFF"/>
        </w:rPr>
        <w:t>Mine</w:t>
      </w:r>
      <w:proofErr w:type="spellEnd"/>
      <w:r w:rsidRPr="000F541D">
        <w:rPr>
          <w:rFonts w:ascii="Calibri" w:hAnsi="Calibri" w:cs="Calibri"/>
          <w:bCs/>
          <w:color w:val="000000"/>
          <w:shd w:val="clear" w:color="auto" w:fill="FFFFFF"/>
        </w:rPr>
        <w:t xml:space="preserve"> Master sp. z o.o.</w:t>
      </w:r>
    </w:p>
    <w:p w14:paraId="522DB73E" w14:textId="77777777" w:rsidR="00061779" w:rsidRDefault="00061779" w:rsidP="00061779"/>
    <w:p w14:paraId="624F46C6" w14:textId="77777777" w:rsidR="00061779" w:rsidRDefault="00061779" w:rsidP="00061779">
      <w:pPr>
        <w:rPr>
          <w:b/>
          <w:sz w:val="26"/>
          <w:szCs w:val="26"/>
        </w:rPr>
      </w:pPr>
    </w:p>
    <w:p w14:paraId="4048C6AB" w14:textId="76A991E7" w:rsidR="00F25AB1" w:rsidRPr="00061779" w:rsidRDefault="00F25AB1" w:rsidP="00061779">
      <w:pPr>
        <w:rPr>
          <w:b/>
          <w:sz w:val="26"/>
          <w:szCs w:val="26"/>
        </w:rPr>
      </w:pPr>
      <w:r w:rsidRPr="00061779">
        <w:rPr>
          <w:b/>
          <w:sz w:val="26"/>
          <w:szCs w:val="26"/>
        </w:rPr>
        <w:t>Wspólne projekty firm i uczelni</w:t>
      </w:r>
    </w:p>
    <w:p w14:paraId="42FA5C6C" w14:textId="77777777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 xml:space="preserve">W kategorii </w:t>
      </w:r>
      <w:r w:rsidRPr="000F541D">
        <w:rPr>
          <w:rFonts w:ascii="Calibri" w:hAnsi="Calibri" w:cs="Calibri"/>
          <w:bCs/>
          <w:color w:val="000000"/>
          <w:shd w:val="clear" w:color="auto" w:fill="FFFFFF"/>
        </w:rPr>
        <w:t>„Wspólny Produkt Przyszłości Instytucji Szkolnictwa Wyższego i Nauki oraz Przedsiębiorcy”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 nie przyznano nagrody głównej.</w:t>
      </w:r>
    </w:p>
    <w:p w14:paraId="19B86DF5" w14:textId="77777777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 xml:space="preserve">W tej kategorii przyznano natomiast </w:t>
      </w:r>
      <w:r w:rsidRPr="000F541D">
        <w:rPr>
          <w:rFonts w:ascii="Calibri" w:hAnsi="Calibri" w:cs="Calibri"/>
          <w:bCs/>
          <w:color w:val="000000"/>
          <w:shd w:val="clear" w:color="auto" w:fill="FFFFFF"/>
        </w:rPr>
        <w:t>trzy wyróżnienia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 dla produktów:</w:t>
      </w:r>
    </w:p>
    <w:p w14:paraId="535F17DC" w14:textId="77777777" w:rsidR="00F25AB1" w:rsidRPr="000F541D" w:rsidRDefault="00F25AB1" w:rsidP="00FC3715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  <w:color w:val="000000"/>
          <w:sz w:val="24"/>
          <w:szCs w:val="24"/>
        </w:rPr>
      </w:pPr>
      <w:r w:rsidRPr="000F541D">
        <w:rPr>
          <w:rFonts w:cs="Calibri"/>
          <w:color w:val="000000"/>
          <w:sz w:val="24"/>
          <w:szCs w:val="24"/>
        </w:rPr>
        <w:t xml:space="preserve">innowacyjna technologia bioaktywnych cząstek </w:t>
      </w:r>
      <w:proofErr w:type="spellStart"/>
      <w:r w:rsidRPr="000F541D">
        <w:rPr>
          <w:rFonts w:cs="Calibri"/>
          <w:color w:val="000000"/>
          <w:sz w:val="24"/>
          <w:szCs w:val="24"/>
        </w:rPr>
        <w:t>nanokompozytowych</w:t>
      </w:r>
      <w:proofErr w:type="spellEnd"/>
      <w:r w:rsidRPr="000F541D">
        <w:rPr>
          <w:rFonts w:cs="Calibri"/>
          <w:color w:val="000000"/>
          <w:sz w:val="24"/>
          <w:szCs w:val="24"/>
        </w:rPr>
        <w:t xml:space="preserve"> opracowana przez ADJ </w:t>
      </w:r>
      <w:proofErr w:type="spellStart"/>
      <w:r w:rsidRPr="000F541D">
        <w:rPr>
          <w:rFonts w:cs="Calibri"/>
          <w:color w:val="000000"/>
          <w:sz w:val="24"/>
          <w:szCs w:val="24"/>
        </w:rPr>
        <w:t>Nanotechnology</w:t>
      </w:r>
      <w:proofErr w:type="spellEnd"/>
      <w:r w:rsidRPr="000F541D">
        <w:rPr>
          <w:rFonts w:cs="Calibri"/>
          <w:color w:val="000000"/>
          <w:sz w:val="24"/>
          <w:szCs w:val="24"/>
        </w:rPr>
        <w:t xml:space="preserve"> sp. z o.o. i Politechnikę Warszawską;</w:t>
      </w:r>
    </w:p>
    <w:p w14:paraId="0223342F" w14:textId="77777777" w:rsidR="00F25AB1" w:rsidRPr="000F541D" w:rsidRDefault="00F25AB1" w:rsidP="00FC3715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  <w:color w:val="000000"/>
          <w:sz w:val="24"/>
          <w:szCs w:val="24"/>
        </w:rPr>
      </w:pPr>
      <w:proofErr w:type="spellStart"/>
      <w:r w:rsidRPr="000F541D">
        <w:rPr>
          <w:rFonts w:cs="Calibri"/>
          <w:color w:val="000000"/>
          <w:sz w:val="24"/>
          <w:szCs w:val="24"/>
        </w:rPr>
        <w:t>SkinSENS</w:t>
      </w:r>
      <w:proofErr w:type="spellEnd"/>
      <w:r w:rsidRPr="000F541D">
        <w:rPr>
          <w:rFonts w:cs="Calibri"/>
          <w:color w:val="000000"/>
          <w:sz w:val="24"/>
          <w:szCs w:val="24"/>
        </w:rPr>
        <w:t xml:space="preserve"> – nowa technologia w walce z alergiami opracowana przez Milton </w:t>
      </w:r>
      <w:proofErr w:type="spellStart"/>
      <w:r w:rsidRPr="000F541D">
        <w:rPr>
          <w:rFonts w:cs="Calibri"/>
          <w:color w:val="000000"/>
          <w:sz w:val="24"/>
          <w:szCs w:val="24"/>
        </w:rPr>
        <w:t>Essex</w:t>
      </w:r>
      <w:proofErr w:type="spellEnd"/>
      <w:r w:rsidRPr="000F541D">
        <w:rPr>
          <w:rFonts w:cs="Calibri"/>
          <w:color w:val="000000"/>
          <w:sz w:val="24"/>
          <w:szCs w:val="24"/>
        </w:rPr>
        <w:t xml:space="preserve"> SA i Wojskową Akademię Techniczną;</w:t>
      </w:r>
    </w:p>
    <w:p w14:paraId="1B9599B6" w14:textId="77777777" w:rsidR="00F25AB1" w:rsidRPr="000F541D" w:rsidRDefault="00F25AB1" w:rsidP="00FC3715">
      <w:pPr>
        <w:pStyle w:val="Akapitzlist"/>
        <w:numPr>
          <w:ilvl w:val="0"/>
          <w:numId w:val="14"/>
        </w:numPr>
        <w:spacing w:before="120" w:after="120" w:line="276" w:lineRule="auto"/>
        <w:rPr>
          <w:rFonts w:cs="Calibri"/>
          <w:color w:val="000000"/>
          <w:sz w:val="24"/>
          <w:szCs w:val="24"/>
        </w:rPr>
      </w:pPr>
      <w:r w:rsidRPr="000F541D">
        <w:rPr>
          <w:rFonts w:cs="Calibri"/>
          <w:color w:val="000000"/>
          <w:sz w:val="24"/>
          <w:szCs w:val="24"/>
        </w:rPr>
        <w:t>ultraszybkie wyłączniki hybrydowe DCU-HM do zabezpieczania pociągów zespolonych, elektrycznych zespołów trakcyjnych i elektrowozów eksploatowanych w systemach DC1 (3 KV) oraz DC2 (1,5 KV) trakcji kolejowej zasilanej prądem stałym opracowane przez Politechnikę Łódzką Katedrę Aparatów Elektrycznych i Zakład Aparatury Elektrycznej WOLTAN sp. z.o.o.</w:t>
      </w:r>
    </w:p>
    <w:p w14:paraId="55369C28" w14:textId="77777777" w:rsidR="00F25AB1" w:rsidRPr="00061779" w:rsidRDefault="00F25AB1" w:rsidP="00061779">
      <w:pPr>
        <w:rPr>
          <w:b/>
          <w:sz w:val="26"/>
          <w:szCs w:val="26"/>
        </w:rPr>
      </w:pPr>
      <w:r w:rsidRPr="00061779">
        <w:rPr>
          <w:b/>
          <w:sz w:val="26"/>
          <w:szCs w:val="26"/>
        </w:rPr>
        <w:t>Nowoczesne rozwiązania nauki </w:t>
      </w:r>
    </w:p>
    <w:p w14:paraId="2B118E7D" w14:textId="77777777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>W kategorii „</w:t>
      </w:r>
      <w:r w:rsidRPr="000F541D">
        <w:rPr>
          <w:rFonts w:ascii="Calibri" w:hAnsi="Calibri" w:cs="Calibri"/>
          <w:bCs/>
          <w:color w:val="000000"/>
          <w:shd w:val="clear" w:color="auto" w:fill="FFFFFF"/>
        </w:rPr>
        <w:t>Produkt Przyszłości Instytucji Szkolnictwa Wyższego i Nauki”</w:t>
      </w:r>
      <w:r w:rsidRPr="000F541D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Pr="000F541D">
        <w:rPr>
          <w:rFonts w:ascii="Calibri" w:hAnsi="Calibri" w:cs="Calibri"/>
          <w:color w:val="000000"/>
          <w:shd w:val="clear" w:color="auto" w:fill="FFFFFF"/>
        </w:rPr>
        <w:t xml:space="preserve">laur zdobyła </w:t>
      </w:r>
      <w:r w:rsidRPr="000F541D">
        <w:rPr>
          <w:rFonts w:ascii="Calibri" w:hAnsi="Calibri" w:cs="Calibri"/>
          <w:bCs/>
          <w:color w:val="000000"/>
          <w:shd w:val="clear" w:color="auto" w:fill="FFFFFF"/>
        </w:rPr>
        <w:t xml:space="preserve">Politechnika Poznańska za projekt </w:t>
      </w:r>
      <w:proofErr w:type="spellStart"/>
      <w:r w:rsidRPr="000F541D">
        <w:rPr>
          <w:rFonts w:ascii="Calibri" w:hAnsi="Calibri" w:cs="Calibri"/>
          <w:bCs/>
          <w:color w:val="000000"/>
          <w:shd w:val="clear" w:color="auto" w:fill="FFFFFF"/>
        </w:rPr>
        <w:t>AutoMedPrint</w:t>
      </w:r>
      <w:proofErr w:type="spellEnd"/>
      <w:r w:rsidRPr="000F541D">
        <w:rPr>
          <w:rFonts w:ascii="Calibri" w:hAnsi="Calibri" w:cs="Calibri"/>
          <w:color w:val="000000"/>
          <w:shd w:val="clear" w:color="auto" w:fill="FFFFFF"/>
        </w:rPr>
        <w:t xml:space="preserve">, czyli </w:t>
      </w:r>
      <w:r w:rsidRPr="000F541D">
        <w:rPr>
          <w:rFonts w:ascii="Calibri" w:hAnsi="Calibri" w:cs="Calibri"/>
          <w:color w:val="000000"/>
        </w:rPr>
        <w:t xml:space="preserve">system automatycznego projektowania i druku 3D spersonalizowanych </w:t>
      </w:r>
      <w:proofErr w:type="spellStart"/>
      <w:r w:rsidRPr="000F541D">
        <w:rPr>
          <w:rFonts w:ascii="Calibri" w:hAnsi="Calibri" w:cs="Calibri"/>
          <w:color w:val="000000"/>
        </w:rPr>
        <w:t>ortez</w:t>
      </w:r>
      <w:proofErr w:type="spellEnd"/>
      <w:r w:rsidRPr="000F541D">
        <w:rPr>
          <w:rFonts w:ascii="Calibri" w:hAnsi="Calibri" w:cs="Calibri"/>
          <w:color w:val="000000"/>
        </w:rPr>
        <w:t xml:space="preserve"> i protez kończyn, na podstawie danych z bezkontaktowych pomiarów antropometrycznych.</w:t>
      </w:r>
    </w:p>
    <w:p w14:paraId="5B9410B9" w14:textId="77777777" w:rsidR="00F25AB1" w:rsidRPr="000F541D" w:rsidRDefault="00F25AB1" w:rsidP="00FC371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color w:val="000000"/>
          <w:shd w:val="clear" w:color="auto" w:fill="FFFFFF"/>
        </w:rPr>
      </w:pPr>
      <w:r w:rsidRPr="000F541D">
        <w:rPr>
          <w:rFonts w:ascii="Calibri" w:hAnsi="Calibri" w:cs="Calibri"/>
          <w:color w:val="000000"/>
          <w:shd w:val="clear" w:color="auto" w:fill="FFFFFF"/>
        </w:rPr>
        <w:t>Dodatkowo wyróżnienia w tej kategorii zdobyły projekty:</w:t>
      </w:r>
    </w:p>
    <w:p w14:paraId="5A5275B4" w14:textId="77777777" w:rsidR="00F25AB1" w:rsidRPr="000F541D" w:rsidRDefault="00F25AB1" w:rsidP="00FC3715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</w:rPr>
        <w:t>technologia wyznaczania precyzyjnych orbit satelitów nawigacyjnych, w szczególności systemu europejskiego Galileo opracowany przez Uniwersytet Przyrodniczy we Wrocławiu;</w:t>
      </w:r>
    </w:p>
    <w:p w14:paraId="287A54D5" w14:textId="77777777" w:rsidR="00F25AB1" w:rsidRPr="000F541D" w:rsidRDefault="00F25AB1" w:rsidP="00FC3715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</w:rPr>
        <w:t>INZNAK – inteligentne, autonomiczne znaki drogowe do adaptacyjnego sterowania ruchem pojazdów opracowane przez Politechnikę Gdańską;</w:t>
      </w:r>
    </w:p>
    <w:p w14:paraId="78152C11" w14:textId="77777777" w:rsidR="00F25AB1" w:rsidRPr="000F541D" w:rsidRDefault="00F25AB1" w:rsidP="00FC3715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</w:rPr>
        <w:t xml:space="preserve">powłoka </w:t>
      </w:r>
      <w:proofErr w:type="spellStart"/>
      <w:r w:rsidRPr="000F541D">
        <w:rPr>
          <w:rFonts w:ascii="Calibri" w:hAnsi="Calibri" w:cs="Calibri"/>
          <w:color w:val="000000"/>
        </w:rPr>
        <w:t>antyoblodzeniowa</w:t>
      </w:r>
      <w:proofErr w:type="spellEnd"/>
      <w:r w:rsidRPr="000F541D">
        <w:rPr>
          <w:rFonts w:ascii="Calibri" w:hAnsi="Calibri" w:cs="Calibri"/>
          <w:color w:val="000000"/>
        </w:rPr>
        <w:t xml:space="preserve"> D-ICE </w:t>
      </w:r>
      <w:proofErr w:type="spellStart"/>
      <w:r w:rsidRPr="000F541D">
        <w:rPr>
          <w:rFonts w:ascii="Calibri" w:hAnsi="Calibri" w:cs="Calibri"/>
          <w:color w:val="000000"/>
        </w:rPr>
        <w:t>coat</w:t>
      </w:r>
      <w:proofErr w:type="spellEnd"/>
      <w:r w:rsidRPr="000F541D">
        <w:rPr>
          <w:rFonts w:ascii="Calibri" w:hAnsi="Calibri" w:cs="Calibri"/>
          <w:color w:val="000000"/>
        </w:rPr>
        <w:t xml:space="preserve"> opracowana przez Sieć Badawczą Łukasiewicz - PORT Polski Ośrodek Rozwoju Technologii;</w:t>
      </w:r>
    </w:p>
    <w:p w14:paraId="5F488D52" w14:textId="0348C2E8" w:rsidR="00F25AB1" w:rsidRPr="007F6A15" w:rsidRDefault="00F25AB1" w:rsidP="00FC3715">
      <w:pPr>
        <w:pStyle w:val="NormalnyWeb"/>
        <w:numPr>
          <w:ilvl w:val="0"/>
          <w:numId w:val="15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0F541D">
        <w:rPr>
          <w:rFonts w:ascii="Calibri" w:hAnsi="Calibri" w:cs="Calibri"/>
          <w:color w:val="000000"/>
        </w:rPr>
        <w:t>Zrobotyzowany System Tynkarski opracowany przez Centrum Badań i Rozwoju Technologii dla Przemysłu S.A.</w:t>
      </w:r>
    </w:p>
    <w:p w14:paraId="6694AADB" w14:textId="706B9110" w:rsidR="007F6A15" w:rsidRDefault="007F6A15" w:rsidP="00FC3715">
      <w:pPr>
        <w:pStyle w:val="Default"/>
        <w:spacing w:before="120" w:after="120" w:line="276" w:lineRule="auto"/>
      </w:pPr>
    </w:p>
    <w:p w14:paraId="600247C9" w14:textId="77777777" w:rsidR="00720591" w:rsidRPr="0083747C" w:rsidRDefault="009D158A" w:rsidP="00FC3715">
      <w:pPr>
        <w:spacing w:before="120" w:after="120" w:line="276" w:lineRule="auto"/>
        <w:rPr>
          <w:sz w:val="24"/>
          <w:szCs w:val="24"/>
        </w:rPr>
      </w:pPr>
      <w:hyperlink r:id="rId12" w:history="1">
        <w:r w:rsidR="00720591" w:rsidRPr="0083747C">
          <w:rPr>
            <w:rStyle w:val="cze"/>
            <w:sz w:val="24"/>
            <w:szCs w:val="24"/>
          </w:rPr>
          <w:t xml:space="preserve">Szczegółowe informacje o konkursie znajdują </w:t>
        </w:r>
        <w:r w:rsidR="00720591" w:rsidRPr="0083747C">
          <w:rPr>
            <w:rStyle w:val="cze"/>
            <w:sz w:val="24"/>
            <w:szCs w:val="24"/>
          </w:rPr>
          <w:t>s</w:t>
        </w:r>
        <w:r w:rsidR="00720591" w:rsidRPr="0083747C">
          <w:rPr>
            <w:rStyle w:val="cze"/>
            <w:sz w:val="24"/>
            <w:szCs w:val="24"/>
          </w:rPr>
          <w:t>ię na stronie www.parp.gov.pl/konkursppp.</w:t>
        </w:r>
      </w:hyperlink>
    </w:p>
    <w:p w14:paraId="5288D073" w14:textId="77777777" w:rsidR="00720591" w:rsidRPr="0083747C" w:rsidRDefault="00720591" w:rsidP="00FC3715">
      <w:pPr>
        <w:spacing w:before="120" w:after="120" w:line="276" w:lineRule="auto"/>
        <w:rPr>
          <w:sz w:val="24"/>
          <w:szCs w:val="24"/>
        </w:rPr>
      </w:pPr>
      <w:r w:rsidRPr="0083747C">
        <w:rPr>
          <w:sz w:val="24"/>
          <w:szCs w:val="24"/>
        </w:rPr>
        <w:t xml:space="preserve">Patronat nad konkursem objęło Ministerstwo </w:t>
      </w:r>
      <w:r>
        <w:rPr>
          <w:sz w:val="24"/>
          <w:szCs w:val="24"/>
        </w:rPr>
        <w:t>Funduszy i Polityki Regionalnej, Ministerstwo Rozwoju i Technologii oraz Ministerstwo Edukacji i Nauki.</w:t>
      </w:r>
    </w:p>
    <w:p w14:paraId="65B1A1DE" w14:textId="77777777" w:rsidR="00720591" w:rsidRPr="0083747C" w:rsidRDefault="00720591" w:rsidP="00FC3715">
      <w:pPr>
        <w:spacing w:before="120" w:after="12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0" distR="0" simplePos="0" relativeHeight="251661312" behindDoc="1" locked="0" layoutInCell="1" allowOverlap="1" wp14:anchorId="6A9BB689" wp14:editId="72B68D65">
            <wp:simplePos x="0" y="0"/>
            <wp:positionH relativeFrom="page">
              <wp:posOffset>720090</wp:posOffset>
            </wp:positionH>
            <wp:positionV relativeFrom="line">
              <wp:posOffset>737235</wp:posOffset>
            </wp:positionV>
            <wp:extent cx="527050" cy="812800"/>
            <wp:effectExtent l="0" t="0" r="0" b="0"/>
            <wp:wrapNone/>
            <wp:docPr id="8" name="Obraz 1" descr="Obraz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47C">
        <w:rPr>
          <w:sz w:val="24"/>
          <w:szCs w:val="24"/>
        </w:rPr>
        <w:t xml:space="preserve">Konkurs jest finansowany ze </w:t>
      </w:r>
      <w:proofErr w:type="spellStart"/>
      <w:r w:rsidRPr="0083747C">
        <w:rPr>
          <w:sz w:val="24"/>
          <w:szCs w:val="24"/>
        </w:rPr>
        <w:t>środk</w:t>
      </w:r>
      <w:proofErr w:type="spellEnd"/>
      <w:r>
        <w:rPr>
          <w:sz w:val="24"/>
          <w:szCs w:val="24"/>
          <w:lang w:val="es-ES_tradnl"/>
        </w:rPr>
        <w:t>ó</w:t>
      </w:r>
      <w:r w:rsidRPr="0083747C">
        <w:rPr>
          <w:sz w:val="24"/>
          <w:szCs w:val="24"/>
        </w:rPr>
        <w:t xml:space="preserve">w Unii Europejskiej z Europejskiego Funduszu Rozwoju Regionalnego, realizowanego w ramach Programu Operacyjnego Inteligentny </w:t>
      </w:r>
      <w:proofErr w:type="spellStart"/>
      <w:r w:rsidRPr="0083747C">
        <w:rPr>
          <w:sz w:val="24"/>
          <w:szCs w:val="24"/>
        </w:rPr>
        <w:t>Rozw</w:t>
      </w:r>
      <w:proofErr w:type="spellEnd"/>
      <w:r>
        <w:rPr>
          <w:sz w:val="24"/>
          <w:szCs w:val="24"/>
          <w:lang w:val="es-ES_tradnl"/>
        </w:rPr>
        <w:t>ó</w:t>
      </w:r>
      <w:r w:rsidRPr="0083747C">
        <w:rPr>
          <w:sz w:val="24"/>
          <w:szCs w:val="24"/>
        </w:rPr>
        <w:t>j (poddziałanie 2.4.1</w:t>
      </w:r>
      <w:r>
        <w:rPr>
          <w:sz w:val="24"/>
          <w:szCs w:val="24"/>
        </w:rPr>
        <w:t>.</w:t>
      </w:r>
      <w:r w:rsidRPr="0083747C">
        <w:rPr>
          <w:sz w:val="24"/>
          <w:szCs w:val="24"/>
        </w:rPr>
        <w:t xml:space="preserve"> </w:t>
      </w:r>
      <w:proofErr w:type="spellStart"/>
      <w:r w:rsidRPr="0083747C">
        <w:rPr>
          <w:sz w:val="24"/>
          <w:szCs w:val="24"/>
        </w:rPr>
        <w:t>inno_LAB</w:t>
      </w:r>
      <w:proofErr w:type="spellEnd"/>
      <w:r w:rsidRPr="00837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83747C">
        <w:rPr>
          <w:sz w:val="24"/>
          <w:szCs w:val="24"/>
        </w:rPr>
        <w:t>Centrum analiz i pilotaży nowych instrument</w:t>
      </w:r>
      <w:r>
        <w:rPr>
          <w:sz w:val="24"/>
          <w:szCs w:val="24"/>
          <w:lang w:val="es-ES_tradnl"/>
        </w:rPr>
        <w:t>ó</w:t>
      </w:r>
      <w:r w:rsidRPr="0083747C">
        <w:rPr>
          <w:sz w:val="24"/>
          <w:szCs w:val="24"/>
        </w:rPr>
        <w:t>w).</w:t>
      </w:r>
    </w:p>
    <w:p w14:paraId="69A8F62A" w14:textId="77777777" w:rsidR="007F6A15" w:rsidRPr="00220FC6" w:rsidRDefault="007F6A15" w:rsidP="007F6A15">
      <w:pPr>
        <w:pStyle w:val="Default"/>
      </w:pPr>
    </w:p>
    <w:p w14:paraId="1C73EC51" w14:textId="478E8E9A" w:rsidR="004B10E2" w:rsidRDefault="004B10E2" w:rsidP="0032194C">
      <w:pPr>
        <w:spacing w:before="120" w:after="600" w:line="276" w:lineRule="auto"/>
        <w:rPr>
          <w:rFonts w:asciiTheme="majorHAnsi" w:hAnsiTheme="majorHAnsi" w:cs="Calibri"/>
          <w:sz w:val="24"/>
          <w:szCs w:val="24"/>
        </w:rPr>
      </w:pPr>
    </w:p>
    <w:p w14:paraId="66D9040A" w14:textId="430196E4" w:rsidR="00CD1371" w:rsidRPr="00CD1371" w:rsidRDefault="004B10E2" w:rsidP="008E4F58">
      <w:pPr>
        <w:spacing w:before="600" w:after="600" w:line="276" w:lineRule="auto"/>
        <w:jc w:val="center"/>
        <w:rPr>
          <w:rFonts w:asciiTheme="majorHAnsi" w:hAnsiTheme="majorHAnsi" w:cs="Calibri"/>
          <w:color w:val="0563C1"/>
          <w:sz w:val="24"/>
          <w:szCs w:val="24"/>
          <w:u w:val="single"/>
        </w:rPr>
      </w:pPr>
      <w:r w:rsidRPr="004257FD">
        <w:rPr>
          <w:noProof/>
        </w:rPr>
        <w:drawing>
          <wp:anchor distT="0" distB="0" distL="114300" distR="114300" simplePos="0" relativeHeight="251659264" behindDoc="1" locked="0" layoutInCell="1" allowOverlap="1" wp14:anchorId="2FCAA04B" wp14:editId="16DD0453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5760720" cy="460375"/>
            <wp:effectExtent l="0" t="0" r="0" b="0"/>
            <wp:wrapNone/>
            <wp:docPr id="2" name="Obraz 2" descr="logotypy: Fundusze Europejskie Inteligentny Rozwój, Rzeczpospolita Polska, Polska Agencja Rozwoju Przedsiębiorczości Grupa PFR,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: Fundusze Europejskie Inteligentny Rozwój, Rzeczpospolita Polska, Polska Agencja Rozwoju Przedsiębiorczości Grupa PFR, Unia Europejska Europejski Fundusz Rozwoju Regionalne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1371" w:rsidRPr="00CD1371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1573" w14:textId="77777777" w:rsidR="009D158A" w:rsidRDefault="009D158A">
      <w:pPr>
        <w:spacing w:after="0" w:line="240" w:lineRule="auto"/>
      </w:pPr>
      <w:r>
        <w:separator/>
      </w:r>
    </w:p>
  </w:endnote>
  <w:endnote w:type="continuationSeparator" w:id="0">
    <w:p w14:paraId="4D7197D7" w14:textId="77777777" w:rsidR="009D158A" w:rsidRDefault="009D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9B553" w14:textId="77777777" w:rsidR="009D158A" w:rsidRDefault="009D158A">
      <w:pPr>
        <w:spacing w:after="0" w:line="240" w:lineRule="auto"/>
      </w:pPr>
      <w:r>
        <w:separator/>
      </w:r>
    </w:p>
  </w:footnote>
  <w:footnote w:type="continuationSeparator" w:id="0">
    <w:p w14:paraId="0CC35577" w14:textId="77777777" w:rsidR="009D158A" w:rsidRDefault="009D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3A99" w14:textId="038A28FD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6DE" w14:textId="298256E1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00B60" w14:textId="0B824646"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05A3"/>
    <w:multiLevelType w:val="hybridMultilevel"/>
    <w:tmpl w:val="ED82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2902"/>
    <w:multiLevelType w:val="hybridMultilevel"/>
    <w:tmpl w:val="2E7CED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96370"/>
    <w:multiLevelType w:val="hybridMultilevel"/>
    <w:tmpl w:val="4B84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8C5"/>
    <w:multiLevelType w:val="hybridMultilevel"/>
    <w:tmpl w:val="ADA4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CCD"/>
    <w:multiLevelType w:val="hybridMultilevel"/>
    <w:tmpl w:val="7822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8C7B8B"/>
    <w:multiLevelType w:val="hybridMultilevel"/>
    <w:tmpl w:val="CEB0B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35423"/>
    <w:multiLevelType w:val="hybridMultilevel"/>
    <w:tmpl w:val="D51319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37699E"/>
    <w:multiLevelType w:val="hybridMultilevel"/>
    <w:tmpl w:val="CD3E6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06E52"/>
    <w:multiLevelType w:val="multilevel"/>
    <w:tmpl w:val="1FBA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61779"/>
    <w:rsid w:val="00081C97"/>
    <w:rsid w:val="00096144"/>
    <w:rsid w:val="000C172A"/>
    <w:rsid w:val="0010620A"/>
    <w:rsid w:val="0012487A"/>
    <w:rsid w:val="00155BAB"/>
    <w:rsid w:val="00162458"/>
    <w:rsid w:val="0016526B"/>
    <w:rsid w:val="00173ED5"/>
    <w:rsid w:val="001C3206"/>
    <w:rsid w:val="001D3DA7"/>
    <w:rsid w:val="002158DF"/>
    <w:rsid w:val="00220FC6"/>
    <w:rsid w:val="002212A1"/>
    <w:rsid w:val="002248B3"/>
    <w:rsid w:val="0023061E"/>
    <w:rsid w:val="002325E3"/>
    <w:rsid w:val="002331C4"/>
    <w:rsid w:val="002379B9"/>
    <w:rsid w:val="00291E8B"/>
    <w:rsid w:val="0029503E"/>
    <w:rsid w:val="0032194C"/>
    <w:rsid w:val="0032710E"/>
    <w:rsid w:val="0033135E"/>
    <w:rsid w:val="00336F70"/>
    <w:rsid w:val="00343AAD"/>
    <w:rsid w:val="00384B85"/>
    <w:rsid w:val="00385BED"/>
    <w:rsid w:val="003970E6"/>
    <w:rsid w:val="003A40C4"/>
    <w:rsid w:val="003A43D7"/>
    <w:rsid w:val="003A65B1"/>
    <w:rsid w:val="003B24B1"/>
    <w:rsid w:val="003B635D"/>
    <w:rsid w:val="003E51BC"/>
    <w:rsid w:val="00405773"/>
    <w:rsid w:val="00426D93"/>
    <w:rsid w:val="00445397"/>
    <w:rsid w:val="00484CE7"/>
    <w:rsid w:val="004850BD"/>
    <w:rsid w:val="004A5A88"/>
    <w:rsid w:val="004B10E2"/>
    <w:rsid w:val="004B495F"/>
    <w:rsid w:val="004B5189"/>
    <w:rsid w:val="004E185E"/>
    <w:rsid w:val="004F4A11"/>
    <w:rsid w:val="0051766E"/>
    <w:rsid w:val="00525237"/>
    <w:rsid w:val="00544A66"/>
    <w:rsid w:val="0054551D"/>
    <w:rsid w:val="00556688"/>
    <w:rsid w:val="005578D6"/>
    <w:rsid w:val="00571B2A"/>
    <w:rsid w:val="005801BA"/>
    <w:rsid w:val="00583525"/>
    <w:rsid w:val="005964E9"/>
    <w:rsid w:val="005A0BF2"/>
    <w:rsid w:val="005D3342"/>
    <w:rsid w:val="005F1E4D"/>
    <w:rsid w:val="00600C38"/>
    <w:rsid w:val="0060303A"/>
    <w:rsid w:val="0060342B"/>
    <w:rsid w:val="00627AE2"/>
    <w:rsid w:val="00631E77"/>
    <w:rsid w:val="00637B20"/>
    <w:rsid w:val="006764EB"/>
    <w:rsid w:val="006C5EE8"/>
    <w:rsid w:val="006C79A1"/>
    <w:rsid w:val="006D7547"/>
    <w:rsid w:val="006F1735"/>
    <w:rsid w:val="00720591"/>
    <w:rsid w:val="00732463"/>
    <w:rsid w:val="00736FD9"/>
    <w:rsid w:val="00781B0B"/>
    <w:rsid w:val="00784368"/>
    <w:rsid w:val="00793D05"/>
    <w:rsid w:val="007A1F82"/>
    <w:rsid w:val="007A4367"/>
    <w:rsid w:val="007D7EB1"/>
    <w:rsid w:val="007E435E"/>
    <w:rsid w:val="007F6A15"/>
    <w:rsid w:val="008134F1"/>
    <w:rsid w:val="00862BAF"/>
    <w:rsid w:val="008704E6"/>
    <w:rsid w:val="00870DF3"/>
    <w:rsid w:val="00891221"/>
    <w:rsid w:val="00891355"/>
    <w:rsid w:val="00891897"/>
    <w:rsid w:val="008A3370"/>
    <w:rsid w:val="008A4AF3"/>
    <w:rsid w:val="008C3396"/>
    <w:rsid w:val="008D078B"/>
    <w:rsid w:val="008D1690"/>
    <w:rsid w:val="008E4F58"/>
    <w:rsid w:val="008F174A"/>
    <w:rsid w:val="008F6A46"/>
    <w:rsid w:val="0091262D"/>
    <w:rsid w:val="00915325"/>
    <w:rsid w:val="00925945"/>
    <w:rsid w:val="009451C4"/>
    <w:rsid w:val="00952C7B"/>
    <w:rsid w:val="009660DE"/>
    <w:rsid w:val="00977D61"/>
    <w:rsid w:val="00984E32"/>
    <w:rsid w:val="00990716"/>
    <w:rsid w:val="009968B5"/>
    <w:rsid w:val="009A233D"/>
    <w:rsid w:val="009D158A"/>
    <w:rsid w:val="00A03989"/>
    <w:rsid w:val="00A03ECB"/>
    <w:rsid w:val="00A04AB3"/>
    <w:rsid w:val="00A154E6"/>
    <w:rsid w:val="00A62B86"/>
    <w:rsid w:val="00A749B7"/>
    <w:rsid w:val="00A77C76"/>
    <w:rsid w:val="00A80513"/>
    <w:rsid w:val="00A870E3"/>
    <w:rsid w:val="00AC65CF"/>
    <w:rsid w:val="00B05769"/>
    <w:rsid w:val="00B50B4D"/>
    <w:rsid w:val="00B64EF3"/>
    <w:rsid w:val="00B717D1"/>
    <w:rsid w:val="00B77154"/>
    <w:rsid w:val="00B93990"/>
    <w:rsid w:val="00C4296B"/>
    <w:rsid w:val="00C56201"/>
    <w:rsid w:val="00CD1371"/>
    <w:rsid w:val="00CD3DEF"/>
    <w:rsid w:val="00CE2F58"/>
    <w:rsid w:val="00D0763E"/>
    <w:rsid w:val="00D11E5A"/>
    <w:rsid w:val="00D12941"/>
    <w:rsid w:val="00D612C4"/>
    <w:rsid w:val="00D72A72"/>
    <w:rsid w:val="00D80723"/>
    <w:rsid w:val="00D87EF6"/>
    <w:rsid w:val="00D96232"/>
    <w:rsid w:val="00DB53D3"/>
    <w:rsid w:val="00DC48F3"/>
    <w:rsid w:val="00DD205B"/>
    <w:rsid w:val="00DE6A72"/>
    <w:rsid w:val="00DF4A4C"/>
    <w:rsid w:val="00E14005"/>
    <w:rsid w:val="00E1790B"/>
    <w:rsid w:val="00E2486F"/>
    <w:rsid w:val="00E33B09"/>
    <w:rsid w:val="00E50DA2"/>
    <w:rsid w:val="00E51DEB"/>
    <w:rsid w:val="00E6417C"/>
    <w:rsid w:val="00E745B4"/>
    <w:rsid w:val="00E763B2"/>
    <w:rsid w:val="00EA06C5"/>
    <w:rsid w:val="00EC5AF8"/>
    <w:rsid w:val="00EF5A48"/>
    <w:rsid w:val="00F21983"/>
    <w:rsid w:val="00F25AB1"/>
    <w:rsid w:val="00F27F6E"/>
    <w:rsid w:val="00F37FE3"/>
    <w:rsid w:val="00F7012D"/>
    <w:rsid w:val="00F76A54"/>
    <w:rsid w:val="00F80351"/>
    <w:rsid w:val="00FB6684"/>
    <w:rsid w:val="00FC371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06D9B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33D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17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77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1779"/>
    <w:rPr>
      <w:rFonts w:ascii="Calibri" w:eastAsiaTheme="majorEastAsia" w:hAnsi="Calibri" w:cstheme="majorBidi"/>
      <w:b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61779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5964E9"/>
    <w:rPr>
      <w:i/>
      <w:iCs/>
    </w:rPr>
  </w:style>
  <w:style w:type="paragraph" w:customStyle="1" w:styleId="Default">
    <w:name w:val="Default"/>
    <w:rsid w:val="00426D93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F7012D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cze">
    <w:name w:val="Łącze"/>
    <w:rsid w:val="00CE2F58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arp.gov.pl/konkurspp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iza_nowicka@parp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6 grudnia trwa nabór do XXIV edycji konkursu Polski Produkt Przyszłości</vt:lpstr>
    </vt:vector>
  </TitlesOfParts>
  <Manager/>
  <Company/>
  <LinksUpToDate>false</LinksUpToDate>
  <CharactersWithSpaces>6856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6 grudnia trwa nabór do XXIV edycji konkursu Polski Produkt Przyszłości</dc:title>
  <dc:subject>Do 6 grudnia trwa nabór do XXIV edycji konkursu Polski Produkt Przyszłościiał w konkursie PARP „Granty na Eurogranty”. Do zdobycie nawet 280 tys. zł. dofinansowania</dc:subject>
  <dc:creator>Magdalena Mikulska</dc:creator>
  <cp:keywords/>
  <dc:description/>
  <cp:lastModifiedBy>Nowicka Luiza</cp:lastModifiedBy>
  <cp:revision>3</cp:revision>
  <cp:lastPrinted>2022-11-03T09:15:00Z</cp:lastPrinted>
  <dcterms:created xsi:type="dcterms:W3CDTF">2022-11-03T09:15:00Z</dcterms:created>
  <dcterms:modified xsi:type="dcterms:W3CDTF">2022-11-03T09:19:00Z</dcterms:modified>
  <cp:category/>
</cp:coreProperties>
</file>