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1750" w14:textId="5B7A1BAF" w:rsidR="00840C2C" w:rsidRPr="00840C2C" w:rsidRDefault="00840C2C" w:rsidP="00D921AE">
      <w:pPr>
        <w:jc w:val="center"/>
        <w:rPr>
          <w:rFonts w:ascii="Arial" w:hAnsi="Arial" w:cs="Arial"/>
        </w:rPr>
      </w:pPr>
      <w:r w:rsidRPr="00840C2C">
        <w:rPr>
          <w:rFonts w:ascii="Arial" w:hAnsi="Arial" w:cs="Arial"/>
        </w:rPr>
        <w:t xml:space="preserve">Grupa Eurocash – Ranking </w:t>
      </w:r>
      <w:r w:rsidR="00006336">
        <w:rPr>
          <w:rFonts w:ascii="Arial" w:hAnsi="Arial" w:cs="Arial"/>
        </w:rPr>
        <w:t>R</w:t>
      </w:r>
      <w:r w:rsidRPr="00840C2C">
        <w:rPr>
          <w:rFonts w:ascii="Arial" w:hAnsi="Arial" w:cs="Arial"/>
        </w:rPr>
        <w:t>ówni w Biznesie</w:t>
      </w:r>
    </w:p>
    <w:p w14:paraId="48AFB04E" w14:textId="706502BE" w:rsidR="00567F7C" w:rsidRDefault="007F2B1A" w:rsidP="00D921A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Imprezy sportowe to święto</w:t>
      </w:r>
      <w:r w:rsidR="007E6DF6">
        <w:rPr>
          <w:rFonts w:ascii="Arial" w:hAnsi="Arial" w:cs="Arial"/>
          <w:b/>
          <w:bCs/>
          <w:sz w:val="28"/>
          <w:szCs w:val="28"/>
        </w:rPr>
        <w:t xml:space="preserve"> produktów markowych</w:t>
      </w:r>
      <w:r w:rsidR="00DE2F43">
        <w:rPr>
          <w:rFonts w:ascii="Arial" w:hAnsi="Arial" w:cs="Arial"/>
          <w:b/>
          <w:bCs/>
          <w:sz w:val="28"/>
          <w:szCs w:val="28"/>
        </w:rPr>
        <w:t xml:space="preserve">. Czy producenci </w:t>
      </w:r>
      <w:r w:rsidR="007E6DF6">
        <w:rPr>
          <w:rFonts w:ascii="Arial" w:hAnsi="Arial" w:cs="Arial"/>
          <w:b/>
          <w:bCs/>
          <w:sz w:val="28"/>
          <w:szCs w:val="28"/>
        </w:rPr>
        <w:t>doceni</w:t>
      </w:r>
      <w:r>
        <w:rPr>
          <w:rFonts w:ascii="Arial" w:hAnsi="Arial" w:cs="Arial"/>
          <w:b/>
          <w:bCs/>
          <w:sz w:val="28"/>
          <w:szCs w:val="28"/>
        </w:rPr>
        <w:t>ają</w:t>
      </w:r>
      <w:r w:rsidR="007E6DF6">
        <w:rPr>
          <w:rFonts w:ascii="Arial" w:hAnsi="Arial" w:cs="Arial"/>
          <w:b/>
          <w:bCs/>
          <w:sz w:val="28"/>
          <w:szCs w:val="28"/>
        </w:rPr>
        <w:t xml:space="preserve"> </w:t>
      </w:r>
      <w:r w:rsidR="001B5210">
        <w:rPr>
          <w:rFonts w:ascii="Arial" w:hAnsi="Arial" w:cs="Arial"/>
          <w:b/>
          <w:bCs/>
          <w:sz w:val="28"/>
          <w:szCs w:val="28"/>
        </w:rPr>
        <w:t xml:space="preserve">futbolowy </w:t>
      </w:r>
      <w:r w:rsidR="00DE2F43">
        <w:rPr>
          <w:rFonts w:ascii="Arial" w:hAnsi="Arial" w:cs="Arial"/>
          <w:b/>
          <w:bCs/>
          <w:sz w:val="28"/>
          <w:szCs w:val="28"/>
        </w:rPr>
        <w:t>potencjał?</w:t>
      </w:r>
    </w:p>
    <w:p w14:paraId="768DB4BA" w14:textId="6FED5A55" w:rsidR="00D921AE" w:rsidRDefault="00D921AE" w:rsidP="00D921A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FAF53A7" w14:textId="77777777" w:rsidR="007E6DF6" w:rsidRDefault="007E6DF6" w:rsidP="007E6DF6">
      <w:pPr>
        <w:rPr>
          <w:rFonts w:ascii="Arial" w:hAnsi="Arial" w:cs="Arial"/>
          <w:b/>
          <w:bCs/>
          <w:sz w:val="28"/>
          <w:szCs w:val="28"/>
        </w:rPr>
      </w:pPr>
    </w:p>
    <w:p w14:paraId="047C830F" w14:textId="37E56979" w:rsidR="001B5210" w:rsidRDefault="007E6DF6" w:rsidP="001B521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Dla producentów chipsów</w:t>
      </w:r>
      <w:r w:rsidR="001B5210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 xml:space="preserve">piwa, słodyczy, napojów gazowanych i innych kategorii produktów, </w:t>
      </w:r>
      <w:r w:rsidR="001B5210">
        <w:rPr>
          <w:rFonts w:ascii="Arial" w:hAnsi="Arial" w:cs="Arial"/>
          <w:b/>
          <w:bCs/>
          <w:sz w:val="22"/>
          <w:szCs w:val="22"/>
        </w:rPr>
        <w:t xml:space="preserve">po które kibice </w:t>
      </w:r>
      <w:r>
        <w:rPr>
          <w:rFonts w:ascii="Arial" w:hAnsi="Arial" w:cs="Arial"/>
          <w:b/>
          <w:bCs/>
          <w:sz w:val="22"/>
          <w:szCs w:val="22"/>
        </w:rPr>
        <w:t xml:space="preserve">chętnie </w:t>
      </w:r>
      <w:r w:rsidR="001B5210">
        <w:rPr>
          <w:rFonts w:ascii="Arial" w:hAnsi="Arial" w:cs="Arial"/>
          <w:b/>
          <w:bCs/>
          <w:sz w:val="22"/>
          <w:szCs w:val="22"/>
        </w:rPr>
        <w:t xml:space="preserve">sięgają podczas oglądania meczu, </w:t>
      </w:r>
      <w:r>
        <w:rPr>
          <w:rFonts w:ascii="Arial" w:hAnsi="Arial" w:cs="Arial"/>
          <w:b/>
          <w:bCs/>
          <w:sz w:val="22"/>
          <w:szCs w:val="22"/>
        </w:rPr>
        <w:t>mistrzostwa świata w piłce nożnej</w:t>
      </w:r>
      <w:r w:rsidR="007F2B1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to szansa na dodatkow</w:t>
      </w:r>
      <w:r w:rsidR="001B5210">
        <w:rPr>
          <w:rFonts w:ascii="Arial" w:hAnsi="Arial" w:cs="Arial"/>
          <w:b/>
          <w:bCs/>
          <w:sz w:val="22"/>
          <w:szCs w:val="22"/>
        </w:rPr>
        <w:t>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B5210">
        <w:rPr>
          <w:rFonts w:ascii="Arial" w:hAnsi="Arial" w:cs="Arial"/>
          <w:b/>
          <w:bCs/>
          <w:sz w:val="22"/>
          <w:szCs w:val="22"/>
        </w:rPr>
        <w:t>sprzedaż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1B5210">
        <w:rPr>
          <w:rFonts w:ascii="Arial" w:hAnsi="Arial" w:cs="Arial"/>
          <w:b/>
          <w:bCs/>
          <w:sz w:val="22"/>
          <w:szCs w:val="22"/>
        </w:rPr>
        <w:t xml:space="preserve"> Czy producenci to wykorzystają i docenią potencjał sklepów lokalnych</w:t>
      </w:r>
      <w:r w:rsidR="00006336">
        <w:rPr>
          <w:rFonts w:ascii="Arial" w:hAnsi="Arial" w:cs="Arial"/>
          <w:b/>
          <w:bCs/>
          <w:sz w:val="22"/>
          <w:szCs w:val="22"/>
        </w:rPr>
        <w:t>, w których konsumenci bardzo często zaopatrują się tuż przed meczem</w:t>
      </w:r>
      <w:r w:rsidR="001B5210">
        <w:rPr>
          <w:rFonts w:ascii="Arial" w:hAnsi="Arial" w:cs="Arial"/>
          <w:b/>
          <w:bCs/>
          <w:sz w:val="22"/>
          <w:szCs w:val="22"/>
        </w:rPr>
        <w:t xml:space="preserve">? Z najnowszego </w:t>
      </w:r>
      <w:r w:rsidR="001B5210" w:rsidRPr="00974963">
        <w:rPr>
          <w:rFonts w:ascii="Arial" w:hAnsi="Arial" w:cs="Arial"/>
          <w:b/>
          <w:bCs/>
          <w:sz w:val="22"/>
          <w:szCs w:val="22"/>
        </w:rPr>
        <w:t>rankingu Równi w</w:t>
      </w:r>
      <w:r w:rsidR="001B5210">
        <w:rPr>
          <w:rFonts w:ascii="Arial" w:hAnsi="Arial" w:cs="Arial"/>
          <w:b/>
          <w:bCs/>
          <w:sz w:val="22"/>
          <w:szCs w:val="22"/>
        </w:rPr>
        <w:t> </w:t>
      </w:r>
      <w:r w:rsidR="001B5210" w:rsidRPr="00974963">
        <w:rPr>
          <w:rFonts w:ascii="Arial" w:hAnsi="Arial" w:cs="Arial"/>
          <w:b/>
          <w:bCs/>
          <w:sz w:val="22"/>
          <w:szCs w:val="22"/>
        </w:rPr>
        <w:t>Biznesie, przygotowywanego cokwartalnie przez Grupę Eurocash</w:t>
      </w:r>
      <w:r w:rsidR="001B5210">
        <w:rPr>
          <w:rFonts w:ascii="Arial" w:hAnsi="Arial" w:cs="Arial"/>
          <w:b/>
          <w:bCs/>
          <w:sz w:val="22"/>
          <w:szCs w:val="22"/>
        </w:rPr>
        <w:t>, wynika, że</w:t>
      </w:r>
      <w:r w:rsidR="00E5116B">
        <w:rPr>
          <w:rFonts w:ascii="Arial" w:hAnsi="Arial" w:cs="Arial"/>
          <w:b/>
          <w:bCs/>
          <w:sz w:val="22"/>
          <w:szCs w:val="22"/>
        </w:rPr>
        <w:t xml:space="preserve"> niektórzy</w:t>
      </w:r>
      <w:r w:rsidR="001B5210">
        <w:rPr>
          <w:rFonts w:ascii="Arial" w:hAnsi="Arial" w:cs="Arial"/>
          <w:b/>
          <w:bCs/>
          <w:sz w:val="22"/>
          <w:szCs w:val="22"/>
        </w:rPr>
        <w:t xml:space="preserve"> producenci </w:t>
      </w:r>
      <w:r w:rsidR="00984197">
        <w:rPr>
          <w:rFonts w:ascii="Arial" w:hAnsi="Arial" w:cs="Arial"/>
          <w:b/>
          <w:bCs/>
          <w:sz w:val="22"/>
          <w:szCs w:val="22"/>
        </w:rPr>
        <w:t xml:space="preserve">tych </w:t>
      </w:r>
      <w:r w:rsidR="001B5210">
        <w:rPr>
          <w:rFonts w:ascii="Arial" w:hAnsi="Arial" w:cs="Arial"/>
          <w:b/>
          <w:bCs/>
          <w:sz w:val="22"/>
          <w:szCs w:val="22"/>
        </w:rPr>
        <w:t xml:space="preserve">kategorii </w:t>
      </w:r>
      <w:r w:rsidR="001B5210" w:rsidRPr="00974963">
        <w:rPr>
          <w:rFonts w:ascii="Arial" w:hAnsi="Arial" w:cs="Arial"/>
          <w:b/>
          <w:bCs/>
          <w:sz w:val="22"/>
          <w:szCs w:val="22"/>
        </w:rPr>
        <w:t xml:space="preserve">nadal oferują niezależnej części rynku gorsze warunki </w:t>
      </w:r>
      <w:r w:rsidR="001B5210">
        <w:rPr>
          <w:rFonts w:ascii="Arial" w:hAnsi="Arial" w:cs="Arial"/>
          <w:b/>
          <w:bCs/>
          <w:sz w:val="22"/>
          <w:szCs w:val="22"/>
        </w:rPr>
        <w:t>współpracy</w:t>
      </w:r>
      <w:r w:rsidR="001B5210" w:rsidRPr="00974963">
        <w:rPr>
          <w:rFonts w:ascii="Arial" w:hAnsi="Arial" w:cs="Arial"/>
          <w:b/>
          <w:bCs/>
          <w:sz w:val="22"/>
          <w:szCs w:val="22"/>
        </w:rPr>
        <w:t xml:space="preserve"> niż centralnie zarządzanym sieciom dyskontów czy supermarketów</w:t>
      </w:r>
      <w:r w:rsidR="001B5210">
        <w:rPr>
          <w:rFonts w:ascii="Arial" w:hAnsi="Arial" w:cs="Arial"/>
          <w:b/>
          <w:bCs/>
          <w:sz w:val="22"/>
          <w:szCs w:val="22"/>
        </w:rPr>
        <w:t>.</w:t>
      </w:r>
      <w:r w:rsidR="00883629">
        <w:rPr>
          <w:rFonts w:ascii="Arial" w:hAnsi="Arial" w:cs="Arial"/>
          <w:b/>
          <w:bCs/>
          <w:sz w:val="22"/>
          <w:szCs w:val="22"/>
        </w:rPr>
        <w:t xml:space="preserve"> </w:t>
      </w:r>
      <w:r w:rsidR="001B5210">
        <w:rPr>
          <w:rFonts w:ascii="Arial" w:hAnsi="Arial" w:cs="Arial"/>
          <w:b/>
          <w:bCs/>
          <w:sz w:val="22"/>
          <w:szCs w:val="22"/>
        </w:rPr>
        <w:t>A to w kanale sklepów lokalnych udział wydatków na markowe produkty wynosi średnio</w:t>
      </w:r>
      <w:r w:rsidR="001B5210" w:rsidRPr="00974963">
        <w:rPr>
          <w:rFonts w:ascii="Arial" w:hAnsi="Arial" w:cs="Arial"/>
          <w:b/>
          <w:bCs/>
          <w:sz w:val="22"/>
          <w:szCs w:val="22"/>
        </w:rPr>
        <w:t xml:space="preserve"> 95 proc</w:t>
      </w:r>
      <w:r w:rsidR="001B5210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  <w:r w:rsidR="001B5210">
        <w:rPr>
          <w:rFonts w:ascii="Arial" w:hAnsi="Arial" w:cs="Arial"/>
          <w:b/>
          <w:bCs/>
          <w:sz w:val="22"/>
          <w:szCs w:val="22"/>
        </w:rPr>
        <w:t xml:space="preserve">. W przeciwieństwie do m.in. dyskontów, które coraz </w:t>
      </w:r>
      <w:r w:rsidR="005E5DDB">
        <w:rPr>
          <w:rFonts w:ascii="Arial" w:hAnsi="Arial" w:cs="Arial"/>
          <w:b/>
          <w:bCs/>
          <w:sz w:val="22"/>
          <w:szCs w:val="22"/>
        </w:rPr>
        <w:t xml:space="preserve">mocniej </w:t>
      </w:r>
      <w:r w:rsidR="001B5210">
        <w:rPr>
          <w:rFonts w:ascii="Arial" w:hAnsi="Arial" w:cs="Arial"/>
          <w:b/>
          <w:bCs/>
          <w:sz w:val="22"/>
          <w:szCs w:val="22"/>
        </w:rPr>
        <w:t>promują marki własne.</w:t>
      </w:r>
    </w:p>
    <w:p w14:paraId="5E42D3AA" w14:textId="77777777" w:rsidR="001B5210" w:rsidRDefault="001B5210" w:rsidP="001B521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579335A" w14:textId="01981567" w:rsidR="001B5210" w:rsidRDefault="001B5210" w:rsidP="001B5210">
      <w:pPr>
        <w:jc w:val="both"/>
        <w:rPr>
          <w:rFonts w:ascii="Arial" w:hAnsi="Arial" w:cs="Arial"/>
          <w:sz w:val="22"/>
          <w:szCs w:val="22"/>
        </w:rPr>
      </w:pPr>
      <w:r w:rsidRPr="78B72446">
        <w:rPr>
          <w:rFonts w:ascii="Arial" w:hAnsi="Arial" w:cs="Arial"/>
          <w:sz w:val="22"/>
          <w:szCs w:val="22"/>
        </w:rPr>
        <w:t xml:space="preserve">Z wyników najnowszej edycji Rankingu Równi w Biznesie, przygotowanego przez Eurocash na podstawie danych </w:t>
      </w:r>
      <w:proofErr w:type="spellStart"/>
      <w:r w:rsidRPr="78B72446">
        <w:rPr>
          <w:rFonts w:ascii="Arial" w:hAnsi="Arial" w:cs="Arial"/>
          <w:sz w:val="22"/>
          <w:szCs w:val="22"/>
        </w:rPr>
        <w:t>NielsenIQ</w:t>
      </w:r>
      <w:proofErr w:type="spellEnd"/>
      <w:r w:rsidRPr="78B72446">
        <w:rPr>
          <w:rFonts w:ascii="Arial" w:hAnsi="Arial" w:cs="Arial"/>
          <w:sz w:val="22"/>
          <w:szCs w:val="22"/>
        </w:rPr>
        <w:t xml:space="preserve"> za III kw. 2022 r., wynika, że </w:t>
      </w:r>
      <w:r w:rsidR="00E5116B">
        <w:rPr>
          <w:rFonts w:ascii="Arial" w:hAnsi="Arial" w:cs="Arial"/>
          <w:sz w:val="22"/>
          <w:szCs w:val="22"/>
        </w:rPr>
        <w:t xml:space="preserve">część </w:t>
      </w:r>
      <w:r w:rsidRPr="78B72446">
        <w:rPr>
          <w:rFonts w:ascii="Arial" w:hAnsi="Arial" w:cs="Arial"/>
          <w:sz w:val="22"/>
          <w:szCs w:val="22"/>
        </w:rPr>
        <w:t>producen</w:t>
      </w:r>
      <w:r w:rsidR="00E5116B">
        <w:rPr>
          <w:rFonts w:ascii="Arial" w:hAnsi="Arial" w:cs="Arial"/>
          <w:sz w:val="22"/>
          <w:szCs w:val="22"/>
        </w:rPr>
        <w:t>tów</w:t>
      </w:r>
      <w:r w:rsidRPr="78B72446">
        <w:rPr>
          <w:rFonts w:ascii="Arial" w:hAnsi="Arial" w:cs="Arial"/>
          <w:sz w:val="22"/>
          <w:szCs w:val="22"/>
        </w:rPr>
        <w:t xml:space="preserve"> kategorii produktów uznawanych za „niezbędnik kibica”</w:t>
      </w:r>
      <w:r w:rsidR="005E5DDB" w:rsidRPr="78B72446">
        <w:rPr>
          <w:rFonts w:ascii="Arial" w:hAnsi="Arial" w:cs="Arial"/>
          <w:sz w:val="22"/>
          <w:szCs w:val="22"/>
        </w:rPr>
        <w:t xml:space="preserve"> (</w:t>
      </w:r>
      <w:r w:rsidRPr="78B72446">
        <w:rPr>
          <w:rFonts w:ascii="Arial" w:hAnsi="Arial" w:cs="Arial"/>
          <w:sz w:val="22"/>
          <w:szCs w:val="22"/>
        </w:rPr>
        <w:t>głównie chipsów i piwa</w:t>
      </w:r>
      <w:r w:rsidR="005E5DDB" w:rsidRPr="78B72446">
        <w:rPr>
          <w:rFonts w:ascii="Arial" w:hAnsi="Arial" w:cs="Arial"/>
          <w:sz w:val="22"/>
          <w:szCs w:val="22"/>
        </w:rPr>
        <w:t>)</w:t>
      </w:r>
      <w:r w:rsidRPr="78B72446">
        <w:rPr>
          <w:rFonts w:ascii="Arial" w:hAnsi="Arial" w:cs="Arial"/>
          <w:sz w:val="22"/>
          <w:szCs w:val="22"/>
        </w:rPr>
        <w:t xml:space="preserve"> oferuj</w:t>
      </w:r>
      <w:r w:rsidR="00E5116B">
        <w:rPr>
          <w:rFonts w:ascii="Arial" w:hAnsi="Arial" w:cs="Arial"/>
          <w:sz w:val="22"/>
          <w:szCs w:val="22"/>
        </w:rPr>
        <w:t>e</w:t>
      </w:r>
      <w:r w:rsidRPr="78B72446">
        <w:rPr>
          <w:rFonts w:ascii="Arial" w:hAnsi="Arial" w:cs="Arial"/>
          <w:sz w:val="22"/>
          <w:szCs w:val="22"/>
        </w:rPr>
        <w:t xml:space="preserve"> </w:t>
      </w:r>
      <w:r w:rsidR="005E5DDB" w:rsidRPr="78B72446">
        <w:rPr>
          <w:rFonts w:ascii="Arial" w:hAnsi="Arial" w:cs="Arial"/>
          <w:sz w:val="22"/>
          <w:szCs w:val="22"/>
        </w:rPr>
        <w:t xml:space="preserve">lokalnym sklepom </w:t>
      </w:r>
      <w:r w:rsidR="007B12B7" w:rsidRPr="78B72446">
        <w:rPr>
          <w:rFonts w:ascii="Arial" w:hAnsi="Arial" w:cs="Arial"/>
          <w:sz w:val="22"/>
          <w:szCs w:val="22"/>
        </w:rPr>
        <w:t>mniej korzystne warunki handlowe</w:t>
      </w:r>
      <w:r w:rsidR="005E5DDB" w:rsidRPr="78B72446">
        <w:rPr>
          <w:rFonts w:ascii="Arial" w:hAnsi="Arial" w:cs="Arial"/>
          <w:sz w:val="22"/>
          <w:szCs w:val="22"/>
        </w:rPr>
        <w:t xml:space="preserve"> </w:t>
      </w:r>
      <w:r w:rsidR="007B12B7" w:rsidRPr="78B72446">
        <w:rPr>
          <w:rFonts w:ascii="Arial" w:hAnsi="Arial" w:cs="Arial"/>
          <w:sz w:val="22"/>
          <w:szCs w:val="22"/>
        </w:rPr>
        <w:t>przede wszystkim w zakresie polityki cenowej</w:t>
      </w:r>
      <w:r w:rsidRPr="78B72446">
        <w:rPr>
          <w:rFonts w:ascii="Arial" w:hAnsi="Arial" w:cs="Arial"/>
          <w:sz w:val="22"/>
          <w:szCs w:val="22"/>
        </w:rPr>
        <w:t>. W przypadku chipsów, producenci</w:t>
      </w:r>
      <w:r w:rsidR="007B12B7" w:rsidRPr="78B72446">
        <w:rPr>
          <w:rFonts w:ascii="Arial" w:hAnsi="Arial" w:cs="Arial"/>
          <w:sz w:val="22"/>
          <w:szCs w:val="22"/>
        </w:rPr>
        <w:t xml:space="preserve"> tacy jak </w:t>
      </w:r>
      <w:r w:rsidR="007B12B7" w:rsidRPr="78B72446">
        <w:rPr>
          <w:rFonts w:ascii="Arial" w:hAnsi="Arial" w:cs="Arial"/>
          <w:b/>
          <w:bCs/>
          <w:sz w:val="22"/>
          <w:szCs w:val="22"/>
        </w:rPr>
        <w:t>Kellog</w:t>
      </w:r>
      <w:r w:rsidR="00D77CEA" w:rsidRPr="78B72446">
        <w:rPr>
          <w:rFonts w:ascii="Arial" w:hAnsi="Arial" w:cs="Arial"/>
          <w:b/>
          <w:bCs/>
          <w:sz w:val="22"/>
          <w:szCs w:val="22"/>
        </w:rPr>
        <w:t>g</w:t>
      </w:r>
      <w:r w:rsidR="007B12B7" w:rsidRPr="78B72446">
        <w:rPr>
          <w:rFonts w:ascii="Arial" w:hAnsi="Arial" w:cs="Arial"/>
          <w:sz w:val="22"/>
          <w:szCs w:val="22"/>
        </w:rPr>
        <w:t xml:space="preserve">, </w:t>
      </w:r>
      <w:r w:rsidR="007B12B7" w:rsidRPr="78B72446">
        <w:rPr>
          <w:rFonts w:ascii="Arial" w:hAnsi="Arial" w:cs="Arial"/>
          <w:b/>
          <w:bCs/>
          <w:sz w:val="22"/>
          <w:szCs w:val="22"/>
        </w:rPr>
        <w:t xml:space="preserve">Lorenz </w:t>
      </w:r>
      <w:proofErr w:type="spellStart"/>
      <w:r w:rsidR="007B12B7" w:rsidRPr="78B72446">
        <w:rPr>
          <w:rFonts w:ascii="Arial" w:hAnsi="Arial" w:cs="Arial"/>
          <w:b/>
          <w:bCs/>
          <w:sz w:val="22"/>
          <w:szCs w:val="22"/>
        </w:rPr>
        <w:t>Bahlsen</w:t>
      </w:r>
      <w:proofErr w:type="spellEnd"/>
      <w:r w:rsidR="007B12B7" w:rsidRPr="78B72446">
        <w:rPr>
          <w:rFonts w:ascii="Arial" w:hAnsi="Arial" w:cs="Arial"/>
          <w:b/>
          <w:bCs/>
          <w:sz w:val="22"/>
          <w:szCs w:val="22"/>
        </w:rPr>
        <w:t xml:space="preserve"> Snack World</w:t>
      </w:r>
      <w:r w:rsidR="007B12B7" w:rsidRPr="78B7244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B12B7" w:rsidRPr="78B72446">
        <w:rPr>
          <w:rFonts w:ascii="Arial" w:hAnsi="Arial" w:cs="Arial"/>
          <w:b/>
          <w:bCs/>
          <w:sz w:val="22"/>
          <w:szCs w:val="22"/>
        </w:rPr>
        <w:t>Intersnack</w:t>
      </w:r>
      <w:proofErr w:type="spellEnd"/>
      <w:r w:rsidR="007B12B7" w:rsidRPr="78B7244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B12B7" w:rsidRPr="78B72446">
        <w:rPr>
          <w:rFonts w:ascii="Arial" w:hAnsi="Arial" w:cs="Arial"/>
          <w:b/>
          <w:bCs/>
          <w:sz w:val="22"/>
          <w:szCs w:val="22"/>
        </w:rPr>
        <w:t>Pepsico</w:t>
      </w:r>
      <w:proofErr w:type="spellEnd"/>
      <w:r w:rsidR="007B12B7" w:rsidRPr="78B72446">
        <w:rPr>
          <w:rFonts w:ascii="Arial" w:hAnsi="Arial" w:cs="Arial"/>
          <w:sz w:val="22"/>
          <w:szCs w:val="22"/>
        </w:rPr>
        <w:t xml:space="preserve"> i </w:t>
      </w:r>
      <w:r w:rsidR="007B12B7" w:rsidRPr="78B72446">
        <w:rPr>
          <w:rFonts w:ascii="Arial" w:hAnsi="Arial" w:cs="Arial"/>
          <w:b/>
          <w:bCs/>
          <w:sz w:val="22"/>
          <w:szCs w:val="22"/>
        </w:rPr>
        <w:t xml:space="preserve">T.B.M. </w:t>
      </w:r>
      <w:proofErr w:type="spellStart"/>
      <w:r w:rsidR="007B12B7" w:rsidRPr="78B72446">
        <w:rPr>
          <w:rFonts w:ascii="Arial" w:hAnsi="Arial" w:cs="Arial"/>
          <w:b/>
          <w:bCs/>
          <w:sz w:val="22"/>
          <w:szCs w:val="22"/>
        </w:rPr>
        <w:t>Snacks</w:t>
      </w:r>
      <w:proofErr w:type="spellEnd"/>
      <w:r w:rsidR="00FD02F3" w:rsidRPr="78B72446">
        <w:rPr>
          <w:rFonts w:ascii="Arial" w:hAnsi="Arial" w:cs="Arial"/>
          <w:sz w:val="22"/>
          <w:szCs w:val="22"/>
        </w:rPr>
        <w:t xml:space="preserve"> </w:t>
      </w:r>
      <w:r w:rsidRPr="78B72446">
        <w:rPr>
          <w:rFonts w:ascii="Arial" w:hAnsi="Arial" w:cs="Arial"/>
          <w:sz w:val="22"/>
          <w:szCs w:val="22"/>
        </w:rPr>
        <w:t>– oferują dyskontom</w:t>
      </w:r>
      <w:r w:rsidR="007B12B7" w:rsidRPr="78B72446">
        <w:rPr>
          <w:rFonts w:ascii="Arial" w:hAnsi="Arial" w:cs="Arial"/>
          <w:sz w:val="22"/>
          <w:szCs w:val="22"/>
        </w:rPr>
        <w:t xml:space="preserve"> i wielkim sieciom supermarketowym</w:t>
      </w:r>
      <w:r w:rsidRPr="78B72446">
        <w:rPr>
          <w:rFonts w:ascii="Arial" w:hAnsi="Arial" w:cs="Arial"/>
          <w:sz w:val="22"/>
          <w:szCs w:val="22"/>
        </w:rPr>
        <w:t xml:space="preserve"> lepsze warunki cenowe. </w:t>
      </w:r>
      <w:r w:rsidR="00B31C13" w:rsidRPr="78B72446">
        <w:rPr>
          <w:rFonts w:ascii="Arial" w:hAnsi="Arial" w:cs="Arial"/>
          <w:sz w:val="22"/>
          <w:szCs w:val="22"/>
        </w:rPr>
        <w:t>Podobnie wygląda to w innych kategoriach</w:t>
      </w:r>
      <w:r w:rsidR="00984197" w:rsidRPr="78B72446">
        <w:rPr>
          <w:rFonts w:ascii="Arial" w:hAnsi="Arial" w:cs="Arial"/>
          <w:sz w:val="22"/>
          <w:szCs w:val="22"/>
        </w:rPr>
        <w:t xml:space="preserve">, popularnych podczas dużych wydarzeń sportowych </w:t>
      </w:r>
      <w:r w:rsidR="00B31C13" w:rsidRPr="78B72446">
        <w:rPr>
          <w:rFonts w:ascii="Arial" w:hAnsi="Arial" w:cs="Arial"/>
          <w:sz w:val="22"/>
          <w:szCs w:val="22"/>
        </w:rPr>
        <w:t xml:space="preserve">– m.in. </w:t>
      </w:r>
      <w:r w:rsidR="005E5DDB" w:rsidRPr="78B72446">
        <w:rPr>
          <w:rFonts w:ascii="Arial" w:hAnsi="Arial" w:cs="Arial"/>
          <w:sz w:val="22"/>
          <w:szCs w:val="22"/>
        </w:rPr>
        <w:t xml:space="preserve">napojach gazowanych oraz sokach czy </w:t>
      </w:r>
      <w:r w:rsidR="00B31C13" w:rsidRPr="78B72446">
        <w:rPr>
          <w:rFonts w:ascii="Arial" w:hAnsi="Arial" w:cs="Arial"/>
          <w:sz w:val="22"/>
          <w:szCs w:val="22"/>
        </w:rPr>
        <w:t xml:space="preserve">słodkich wypiekach, czekoladach i pralinach. </w:t>
      </w:r>
    </w:p>
    <w:p w14:paraId="0009E908" w14:textId="173D8B03" w:rsidR="00B31C13" w:rsidRDefault="00B31C13" w:rsidP="001B5210">
      <w:pPr>
        <w:jc w:val="both"/>
        <w:rPr>
          <w:rFonts w:ascii="Arial" w:hAnsi="Arial" w:cs="Arial"/>
          <w:sz w:val="22"/>
          <w:szCs w:val="22"/>
        </w:rPr>
      </w:pPr>
    </w:p>
    <w:p w14:paraId="1C0148AA" w14:textId="311E0E3B" w:rsidR="00B31C13" w:rsidRDefault="007B12B7" w:rsidP="001B52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</w:t>
      </w:r>
      <w:r w:rsidR="00B31C13">
        <w:rPr>
          <w:rFonts w:ascii="Arial" w:hAnsi="Arial" w:cs="Arial"/>
          <w:sz w:val="22"/>
          <w:szCs w:val="22"/>
        </w:rPr>
        <w:t xml:space="preserve"> </w:t>
      </w:r>
      <w:r w:rsidR="00B31C13" w:rsidRPr="00B31C13">
        <w:rPr>
          <w:rFonts w:ascii="Arial" w:hAnsi="Arial" w:cs="Arial"/>
          <w:i/>
          <w:iCs/>
          <w:sz w:val="22"/>
          <w:szCs w:val="22"/>
        </w:rPr>
        <w:t>Mundial</w:t>
      </w:r>
      <w:r w:rsidR="00DA1AE8">
        <w:rPr>
          <w:rFonts w:ascii="Arial" w:hAnsi="Arial" w:cs="Arial"/>
          <w:i/>
          <w:iCs/>
          <w:sz w:val="22"/>
          <w:szCs w:val="22"/>
        </w:rPr>
        <w:t>, jak każda sportowa impreza,</w:t>
      </w:r>
      <w:r w:rsidR="00B31C13" w:rsidRPr="00B31C13">
        <w:rPr>
          <w:rFonts w:ascii="Arial" w:hAnsi="Arial" w:cs="Arial"/>
          <w:i/>
          <w:iCs/>
          <w:sz w:val="22"/>
          <w:szCs w:val="22"/>
        </w:rPr>
        <w:t xml:space="preserve"> to </w:t>
      </w:r>
      <w:r w:rsidR="00883629">
        <w:rPr>
          <w:rFonts w:ascii="Arial" w:hAnsi="Arial" w:cs="Arial"/>
          <w:i/>
          <w:iCs/>
          <w:sz w:val="22"/>
          <w:szCs w:val="22"/>
        </w:rPr>
        <w:t>wielkie</w:t>
      </w:r>
      <w:r w:rsidR="005E5DDB">
        <w:rPr>
          <w:rFonts w:ascii="Arial" w:hAnsi="Arial" w:cs="Arial"/>
          <w:i/>
          <w:iCs/>
          <w:sz w:val="22"/>
          <w:szCs w:val="22"/>
        </w:rPr>
        <w:t xml:space="preserve"> </w:t>
      </w:r>
      <w:r w:rsidR="00B31C13" w:rsidRPr="00B31C13">
        <w:rPr>
          <w:rFonts w:ascii="Arial" w:hAnsi="Arial" w:cs="Arial"/>
          <w:i/>
          <w:iCs/>
          <w:sz w:val="22"/>
          <w:szCs w:val="22"/>
        </w:rPr>
        <w:t>emocje</w:t>
      </w:r>
      <w:r w:rsidR="005E5DDB">
        <w:rPr>
          <w:rFonts w:ascii="Arial" w:hAnsi="Arial" w:cs="Arial"/>
          <w:i/>
          <w:iCs/>
          <w:sz w:val="22"/>
          <w:szCs w:val="22"/>
        </w:rPr>
        <w:t>, dlatego</w:t>
      </w:r>
      <w:r w:rsidR="007F2B1A">
        <w:rPr>
          <w:rFonts w:ascii="Arial" w:hAnsi="Arial" w:cs="Arial"/>
          <w:i/>
          <w:iCs/>
          <w:sz w:val="22"/>
          <w:szCs w:val="22"/>
        </w:rPr>
        <w:t xml:space="preserve"> – </w:t>
      </w:r>
      <w:r w:rsidR="005E5DDB">
        <w:rPr>
          <w:rFonts w:ascii="Arial" w:hAnsi="Arial" w:cs="Arial"/>
          <w:i/>
          <w:iCs/>
          <w:sz w:val="22"/>
          <w:szCs w:val="22"/>
        </w:rPr>
        <w:t>b</w:t>
      </w:r>
      <w:r w:rsidR="00883629">
        <w:rPr>
          <w:rFonts w:ascii="Arial" w:hAnsi="Arial" w:cs="Arial"/>
          <w:i/>
          <w:iCs/>
          <w:sz w:val="22"/>
          <w:szCs w:val="22"/>
        </w:rPr>
        <w:t>y</w:t>
      </w:r>
      <w:r w:rsidR="005E5DDB">
        <w:rPr>
          <w:rFonts w:ascii="Arial" w:hAnsi="Arial" w:cs="Arial"/>
          <w:i/>
          <w:iCs/>
          <w:sz w:val="22"/>
          <w:szCs w:val="22"/>
        </w:rPr>
        <w:t xml:space="preserve"> </w:t>
      </w:r>
      <w:r w:rsidR="00883629">
        <w:rPr>
          <w:rFonts w:ascii="Arial" w:hAnsi="Arial" w:cs="Arial"/>
          <w:i/>
          <w:iCs/>
          <w:sz w:val="22"/>
          <w:szCs w:val="22"/>
        </w:rPr>
        <w:t>dobrze przygotować</w:t>
      </w:r>
      <w:r w:rsidR="005E5DDB">
        <w:rPr>
          <w:rFonts w:ascii="Arial" w:hAnsi="Arial" w:cs="Arial"/>
          <w:i/>
          <w:iCs/>
          <w:sz w:val="22"/>
          <w:szCs w:val="22"/>
        </w:rPr>
        <w:t xml:space="preserve"> się</w:t>
      </w:r>
      <w:r w:rsidR="00984197">
        <w:rPr>
          <w:rFonts w:ascii="Arial" w:hAnsi="Arial" w:cs="Arial"/>
          <w:i/>
          <w:iCs/>
          <w:sz w:val="22"/>
          <w:szCs w:val="22"/>
        </w:rPr>
        <w:t xml:space="preserve"> do ich przeżywania</w:t>
      </w:r>
      <w:r w:rsidR="007F2B1A">
        <w:rPr>
          <w:rFonts w:ascii="Arial" w:hAnsi="Arial" w:cs="Arial"/>
          <w:i/>
          <w:iCs/>
          <w:sz w:val="22"/>
          <w:szCs w:val="22"/>
        </w:rPr>
        <w:t xml:space="preserve"> – </w:t>
      </w:r>
      <w:r w:rsidR="00883629">
        <w:rPr>
          <w:rFonts w:ascii="Arial" w:hAnsi="Arial" w:cs="Arial"/>
          <w:i/>
          <w:iCs/>
          <w:sz w:val="22"/>
          <w:szCs w:val="22"/>
        </w:rPr>
        <w:t xml:space="preserve">konsument </w:t>
      </w:r>
      <w:r w:rsidR="00B31C13" w:rsidRPr="00B31C13">
        <w:rPr>
          <w:rFonts w:ascii="Arial" w:hAnsi="Arial" w:cs="Arial"/>
          <w:i/>
          <w:iCs/>
          <w:sz w:val="22"/>
          <w:szCs w:val="22"/>
        </w:rPr>
        <w:t xml:space="preserve">sięga </w:t>
      </w:r>
      <w:r w:rsidR="00984197">
        <w:rPr>
          <w:rFonts w:ascii="Arial" w:hAnsi="Arial" w:cs="Arial"/>
          <w:i/>
          <w:iCs/>
          <w:sz w:val="22"/>
          <w:szCs w:val="22"/>
        </w:rPr>
        <w:t xml:space="preserve">zazwyczaj </w:t>
      </w:r>
      <w:r w:rsidR="00B31C13" w:rsidRPr="00B31C13">
        <w:rPr>
          <w:rFonts w:ascii="Arial" w:hAnsi="Arial" w:cs="Arial"/>
          <w:i/>
          <w:iCs/>
          <w:sz w:val="22"/>
          <w:szCs w:val="22"/>
        </w:rPr>
        <w:t xml:space="preserve">po </w:t>
      </w:r>
      <w:r w:rsidR="00984197">
        <w:rPr>
          <w:rFonts w:ascii="Arial" w:hAnsi="Arial" w:cs="Arial"/>
          <w:i/>
          <w:iCs/>
          <w:sz w:val="22"/>
          <w:szCs w:val="22"/>
        </w:rPr>
        <w:t xml:space="preserve">reklamowane w przerwach meczów </w:t>
      </w:r>
      <w:r w:rsidR="00B31C13" w:rsidRPr="00B31C13">
        <w:rPr>
          <w:rFonts w:ascii="Arial" w:hAnsi="Arial" w:cs="Arial"/>
          <w:i/>
          <w:iCs/>
          <w:sz w:val="22"/>
          <w:szCs w:val="22"/>
        </w:rPr>
        <w:t>produkty markowe</w:t>
      </w:r>
      <w:r w:rsidR="00984197">
        <w:rPr>
          <w:rFonts w:ascii="Arial" w:hAnsi="Arial" w:cs="Arial"/>
          <w:i/>
          <w:iCs/>
          <w:sz w:val="22"/>
          <w:szCs w:val="22"/>
        </w:rPr>
        <w:t xml:space="preserve"> </w:t>
      </w:r>
      <w:r w:rsidR="000A799D">
        <w:rPr>
          <w:rFonts w:ascii="Arial" w:hAnsi="Arial" w:cs="Arial"/>
          <w:i/>
          <w:iCs/>
          <w:sz w:val="22"/>
          <w:szCs w:val="22"/>
        </w:rPr>
        <w:t>z ugruntowaną pozycją rynkową</w:t>
      </w:r>
      <w:r w:rsidR="00B31C13" w:rsidRPr="00B31C13">
        <w:rPr>
          <w:rFonts w:ascii="Arial" w:hAnsi="Arial" w:cs="Arial"/>
          <w:i/>
          <w:iCs/>
          <w:sz w:val="22"/>
          <w:szCs w:val="22"/>
        </w:rPr>
        <w:t xml:space="preserve">. </w:t>
      </w:r>
      <w:r w:rsidR="000A799D">
        <w:rPr>
          <w:rFonts w:ascii="Arial" w:hAnsi="Arial" w:cs="Arial"/>
          <w:i/>
          <w:iCs/>
          <w:sz w:val="22"/>
          <w:szCs w:val="22"/>
        </w:rPr>
        <w:t xml:space="preserve">Do tego kibic chętnie wybierze sklep lokalny, ze względu </w:t>
      </w:r>
      <w:r w:rsidR="00883629">
        <w:rPr>
          <w:rFonts w:ascii="Arial" w:hAnsi="Arial" w:cs="Arial"/>
          <w:i/>
          <w:iCs/>
          <w:sz w:val="22"/>
          <w:szCs w:val="22"/>
        </w:rPr>
        <w:t xml:space="preserve">na bliskość, </w:t>
      </w:r>
      <w:r w:rsidR="000A799D">
        <w:rPr>
          <w:rFonts w:ascii="Arial" w:hAnsi="Arial" w:cs="Arial"/>
          <w:i/>
          <w:iCs/>
          <w:sz w:val="22"/>
          <w:szCs w:val="22"/>
        </w:rPr>
        <w:t>wygodę</w:t>
      </w:r>
      <w:r w:rsidR="005E5DDB">
        <w:rPr>
          <w:rFonts w:ascii="Arial" w:hAnsi="Arial" w:cs="Arial"/>
          <w:i/>
          <w:iCs/>
          <w:sz w:val="22"/>
          <w:szCs w:val="22"/>
        </w:rPr>
        <w:t xml:space="preserve"> i</w:t>
      </w:r>
      <w:r w:rsidR="000A799D">
        <w:rPr>
          <w:rFonts w:ascii="Arial" w:hAnsi="Arial" w:cs="Arial"/>
          <w:i/>
          <w:iCs/>
          <w:sz w:val="22"/>
          <w:szCs w:val="22"/>
        </w:rPr>
        <w:t xml:space="preserve"> brak kolejek. </w:t>
      </w:r>
      <w:r w:rsidR="00B31C13">
        <w:rPr>
          <w:rFonts w:ascii="Arial" w:hAnsi="Arial" w:cs="Arial"/>
          <w:i/>
          <w:iCs/>
          <w:sz w:val="22"/>
          <w:szCs w:val="22"/>
        </w:rPr>
        <w:t xml:space="preserve">Dla producentów piwa, chipsów, </w:t>
      </w:r>
      <w:r w:rsidR="000A799D">
        <w:rPr>
          <w:rFonts w:ascii="Arial" w:hAnsi="Arial" w:cs="Arial"/>
          <w:i/>
          <w:iCs/>
          <w:sz w:val="22"/>
          <w:szCs w:val="22"/>
        </w:rPr>
        <w:t>słodyczy</w:t>
      </w:r>
      <w:r w:rsidR="00883629">
        <w:rPr>
          <w:rFonts w:ascii="Arial" w:hAnsi="Arial" w:cs="Arial"/>
          <w:i/>
          <w:iCs/>
          <w:sz w:val="22"/>
          <w:szCs w:val="22"/>
        </w:rPr>
        <w:t xml:space="preserve"> czy</w:t>
      </w:r>
      <w:r w:rsidR="000A799D">
        <w:rPr>
          <w:rFonts w:ascii="Arial" w:hAnsi="Arial" w:cs="Arial"/>
          <w:i/>
          <w:iCs/>
          <w:sz w:val="22"/>
          <w:szCs w:val="22"/>
        </w:rPr>
        <w:t xml:space="preserve"> słonych przekąsek</w:t>
      </w:r>
      <w:r w:rsidR="00883629">
        <w:rPr>
          <w:rFonts w:ascii="Arial" w:hAnsi="Arial" w:cs="Arial"/>
          <w:i/>
          <w:iCs/>
          <w:sz w:val="22"/>
          <w:szCs w:val="22"/>
        </w:rPr>
        <w:t xml:space="preserve"> </w:t>
      </w:r>
      <w:r w:rsidR="000A799D">
        <w:rPr>
          <w:rFonts w:ascii="Arial" w:hAnsi="Arial" w:cs="Arial"/>
          <w:i/>
          <w:iCs/>
          <w:sz w:val="22"/>
          <w:szCs w:val="22"/>
        </w:rPr>
        <w:t>to doskonała okazja, by zwiększyć sprzedaż</w:t>
      </w:r>
      <w:r w:rsidR="00883629">
        <w:rPr>
          <w:rFonts w:ascii="Arial" w:hAnsi="Arial" w:cs="Arial"/>
          <w:i/>
          <w:iCs/>
          <w:sz w:val="22"/>
          <w:szCs w:val="22"/>
        </w:rPr>
        <w:t>.</w:t>
      </w:r>
      <w:r w:rsidR="00984197">
        <w:rPr>
          <w:rFonts w:ascii="Arial" w:hAnsi="Arial" w:cs="Arial"/>
          <w:i/>
          <w:iCs/>
          <w:sz w:val="22"/>
          <w:szCs w:val="22"/>
        </w:rPr>
        <w:t xml:space="preserve"> </w:t>
      </w:r>
      <w:r w:rsidR="005E5DDB">
        <w:rPr>
          <w:rFonts w:ascii="Arial" w:hAnsi="Arial" w:cs="Arial"/>
          <w:i/>
          <w:iCs/>
          <w:sz w:val="22"/>
          <w:szCs w:val="22"/>
        </w:rPr>
        <w:t>Mogłaby ona być</w:t>
      </w:r>
      <w:r w:rsidR="00984197">
        <w:rPr>
          <w:rFonts w:ascii="Arial" w:hAnsi="Arial" w:cs="Arial"/>
          <w:i/>
          <w:iCs/>
          <w:sz w:val="22"/>
          <w:szCs w:val="22"/>
        </w:rPr>
        <w:t xml:space="preserve"> </w:t>
      </w:r>
      <w:r w:rsidR="000A799D">
        <w:rPr>
          <w:rFonts w:ascii="Arial" w:hAnsi="Arial" w:cs="Arial"/>
          <w:i/>
          <w:iCs/>
          <w:sz w:val="22"/>
          <w:szCs w:val="22"/>
        </w:rPr>
        <w:t xml:space="preserve">jeszcze większa, gdyby warunki cenowe dla sklepów lokalnych były atrakcyjniejsze. Konsekwentnie przekonujemy naszych dostawców, że sklepy lokalne są </w:t>
      </w:r>
      <w:r w:rsidR="005E5DDB">
        <w:rPr>
          <w:rFonts w:ascii="Arial" w:hAnsi="Arial" w:cs="Arial"/>
          <w:i/>
          <w:iCs/>
          <w:sz w:val="22"/>
          <w:szCs w:val="22"/>
        </w:rPr>
        <w:t>kanałem sprzedaży „skrojonym”</w:t>
      </w:r>
      <w:r w:rsidR="000A799D">
        <w:rPr>
          <w:rFonts w:ascii="Arial" w:hAnsi="Arial" w:cs="Arial"/>
          <w:i/>
          <w:iCs/>
          <w:sz w:val="22"/>
          <w:szCs w:val="22"/>
        </w:rPr>
        <w:t xml:space="preserve"> pod nich.</w:t>
      </w:r>
      <w:r w:rsidR="00883629">
        <w:rPr>
          <w:rFonts w:ascii="Arial" w:hAnsi="Arial" w:cs="Arial"/>
          <w:i/>
          <w:iCs/>
          <w:sz w:val="22"/>
          <w:szCs w:val="22"/>
        </w:rPr>
        <w:t xml:space="preserve"> </w:t>
      </w:r>
      <w:r w:rsidR="000A799D">
        <w:rPr>
          <w:rFonts w:ascii="Arial" w:hAnsi="Arial" w:cs="Arial"/>
          <w:i/>
          <w:iCs/>
          <w:sz w:val="22"/>
          <w:szCs w:val="22"/>
        </w:rPr>
        <w:t>Pozostaje tylko wykorzystać ten potencjał</w:t>
      </w:r>
      <w:r w:rsidR="00D94F7C">
        <w:rPr>
          <w:rFonts w:ascii="Arial" w:hAnsi="Arial" w:cs="Arial"/>
          <w:i/>
          <w:iCs/>
          <w:sz w:val="22"/>
          <w:szCs w:val="22"/>
        </w:rPr>
        <w:t xml:space="preserve">, szczególnie teraz, gdy </w:t>
      </w:r>
      <w:r w:rsidR="00883629">
        <w:rPr>
          <w:rFonts w:ascii="Arial" w:hAnsi="Arial" w:cs="Arial"/>
          <w:i/>
          <w:iCs/>
          <w:sz w:val="22"/>
          <w:szCs w:val="22"/>
        </w:rPr>
        <w:t>dyskonty</w:t>
      </w:r>
      <w:r w:rsidR="00EA2674">
        <w:rPr>
          <w:rFonts w:ascii="Arial" w:hAnsi="Arial" w:cs="Arial"/>
          <w:i/>
          <w:iCs/>
          <w:sz w:val="22"/>
          <w:szCs w:val="22"/>
        </w:rPr>
        <w:t xml:space="preserve"> coraz </w:t>
      </w:r>
      <w:r w:rsidR="00D94F7C">
        <w:rPr>
          <w:rFonts w:ascii="Arial" w:hAnsi="Arial" w:cs="Arial"/>
          <w:i/>
          <w:iCs/>
          <w:sz w:val="22"/>
          <w:szCs w:val="22"/>
        </w:rPr>
        <w:t>mocniej promują marki własne</w:t>
      </w:r>
      <w:r w:rsidR="00883629">
        <w:rPr>
          <w:rFonts w:ascii="Arial" w:hAnsi="Arial" w:cs="Arial"/>
          <w:i/>
          <w:iCs/>
          <w:sz w:val="22"/>
          <w:szCs w:val="22"/>
        </w:rPr>
        <w:t xml:space="preserve"> </w:t>
      </w:r>
      <w:r w:rsidR="000A799D">
        <w:rPr>
          <w:rFonts w:ascii="Arial" w:hAnsi="Arial" w:cs="Arial"/>
          <w:i/>
          <w:iCs/>
          <w:sz w:val="22"/>
          <w:szCs w:val="22"/>
        </w:rPr>
        <w:t xml:space="preserve">– </w:t>
      </w:r>
      <w:r w:rsidR="000A799D" w:rsidRPr="000A799D">
        <w:rPr>
          <w:rFonts w:ascii="Arial" w:hAnsi="Arial" w:cs="Arial"/>
          <w:sz w:val="22"/>
          <w:szCs w:val="22"/>
        </w:rPr>
        <w:t>mówi</w:t>
      </w:r>
      <w:r w:rsidR="000A799D">
        <w:rPr>
          <w:rFonts w:ascii="Arial" w:hAnsi="Arial" w:cs="Arial"/>
          <w:sz w:val="22"/>
          <w:szCs w:val="22"/>
        </w:rPr>
        <w:t xml:space="preserve"> </w:t>
      </w:r>
      <w:r w:rsidR="00B31C13" w:rsidRPr="003B19CC">
        <w:rPr>
          <w:rFonts w:ascii="Arial" w:hAnsi="Arial" w:cs="Arial"/>
          <w:b/>
          <w:bCs/>
          <w:sz w:val="22"/>
          <w:szCs w:val="22"/>
        </w:rPr>
        <w:t>Małgorzata Obrębska, Dyrektor Działu Zakupów Centralnych i Marki Własnej w Grupie Eurocash.</w:t>
      </w:r>
      <w:r w:rsidR="00883629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54DD0B78" w14:textId="77777777" w:rsidR="001B5210" w:rsidRPr="001B5210" w:rsidRDefault="001B5210" w:rsidP="00DF66E5">
      <w:pPr>
        <w:jc w:val="both"/>
        <w:rPr>
          <w:rFonts w:ascii="Arial" w:hAnsi="Arial" w:cs="Arial"/>
          <w:sz w:val="22"/>
          <w:szCs w:val="22"/>
        </w:rPr>
      </w:pPr>
    </w:p>
    <w:p w14:paraId="1B627896" w14:textId="69BE1E4E" w:rsidR="00974963" w:rsidRPr="005A5E01" w:rsidRDefault="005A5E01" w:rsidP="00DF66E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53B42BFD">
        <w:rPr>
          <w:rFonts w:ascii="Arial" w:hAnsi="Arial" w:cs="Arial"/>
          <w:b/>
          <w:bCs/>
          <w:sz w:val="22"/>
          <w:szCs w:val="22"/>
        </w:rPr>
        <w:t xml:space="preserve">Dyskonty i </w:t>
      </w:r>
      <w:r w:rsidR="6FC78B62" w:rsidRPr="53B42BFD">
        <w:rPr>
          <w:rFonts w:ascii="Arial" w:hAnsi="Arial" w:cs="Arial"/>
          <w:b/>
          <w:bCs/>
          <w:sz w:val="22"/>
          <w:szCs w:val="22"/>
        </w:rPr>
        <w:t>su</w:t>
      </w:r>
      <w:r w:rsidRPr="53B42BFD">
        <w:rPr>
          <w:rFonts w:ascii="Arial" w:hAnsi="Arial" w:cs="Arial"/>
          <w:b/>
          <w:bCs/>
          <w:sz w:val="22"/>
          <w:szCs w:val="22"/>
        </w:rPr>
        <w:t>permarkety wciąż faworyzowane</w:t>
      </w:r>
    </w:p>
    <w:p w14:paraId="6DF0C5D6" w14:textId="3AD059E6" w:rsidR="00974963" w:rsidRDefault="003E2177" w:rsidP="00DF66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 wynika z Rankin</w:t>
      </w:r>
      <w:r w:rsidR="008E3334">
        <w:rPr>
          <w:rFonts w:ascii="Arial" w:hAnsi="Arial" w:cs="Arial"/>
          <w:sz w:val="22"/>
          <w:szCs w:val="22"/>
        </w:rPr>
        <w:t>gu</w:t>
      </w:r>
      <w:r>
        <w:rPr>
          <w:rFonts w:ascii="Arial" w:hAnsi="Arial" w:cs="Arial"/>
          <w:sz w:val="22"/>
          <w:szCs w:val="22"/>
        </w:rPr>
        <w:t xml:space="preserve"> Równi Biznesie za III kwartał 2022 roku, p</w:t>
      </w:r>
      <w:r w:rsidR="007E317E">
        <w:rPr>
          <w:rFonts w:ascii="Arial" w:hAnsi="Arial" w:cs="Arial"/>
          <w:sz w:val="22"/>
          <w:szCs w:val="22"/>
        </w:rPr>
        <w:t xml:space="preserve">roducenci </w:t>
      </w:r>
      <w:r w:rsidR="00883629">
        <w:rPr>
          <w:rFonts w:ascii="Arial" w:hAnsi="Arial" w:cs="Arial"/>
          <w:sz w:val="22"/>
          <w:szCs w:val="22"/>
        </w:rPr>
        <w:t xml:space="preserve">dóbr </w:t>
      </w:r>
      <w:proofErr w:type="spellStart"/>
      <w:r w:rsidR="00883629">
        <w:rPr>
          <w:rFonts w:ascii="Arial" w:hAnsi="Arial" w:cs="Arial"/>
          <w:sz w:val="22"/>
          <w:szCs w:val="22"/>
        </w:rPr>
        <w:t>szybkozbywalnych</w:t>
      </w:r>
      <w:proofErr w:type="spellEnd"/>
      <w:r w:rsidR="00883629">
        <w:rPr>
          <w:rFonts w:ascii="Arial" w:hAnsi="Arial" w:cs="Arial"/>
          <w:sz w:val="22"/>
          <w:szCs w:val="22"/>
        </w:rPr>
        <w:t xml:space="preserve"> </w:t>
      </w:r>
      <w:r w:rsidR="007E317E">
        <w:rPr>
          <w:rFonts w:ascii="Arial" w:hAnsi="Arial" w:cs="Arial"/>
          <w:sz w:val="22"/>
          <w:szCs w:val="22"/>
        </w:rPr>
        <w:t xml:space="preserve">faworyzują centralnie zarządzanie sieci dyskontów i supermarketów na dwa sposoby – oferując im </w:t>
      </w:r>
      <w:r w:rsidR="007E317E">
        <w:rPr>
          <w:rFonts w:ascii="Arial" w:hAnsi="Arial" w:cs="Arial"/>
          <w:sz w:val="22"/>
          <w:szCs w:val="22"/>
        </w:rPr>
        <w:lastRenderedPageBreak/>
        <w:t>lepsze warunki cenowe lub produkty dedykowane, a więc takie, których konsumenci nie</w:t>
      </w:r>
      <w:r w:rsidR="00883629">
        <w:rPr>
          <w:rFonts w:ascii="Arial" w:hAnsi="Arial" w:cs="Arial"/>
          <w:sz w:val="22"/>
          <w:szCs w:val="22"/>
        </w:rPr>
        <w:t xml:space="preserve"> </w:t>
      </w:r>
      <w:r w:rsidR="007E317E">
        <w:rPr>
          <w:rFonts w:ascii="Arial" w:hAnsi="Arial" w:cs="Arial"/>
          <w:sz w:val="22"/>
          <w:szCs w:val="22"/>
        </w:rPr>
        <w:t xml:space="preserve">znajdą nigdzie indziej. </w:t>
      </w:r>
    </w:p>
    <w:p w14:paraId="4F9A1AEA" w14:textId="66075773" w:rsidR="007E317E" w:rsidRDefault="007E317E" w:rsidP="00DF66E5">
      <w:pPr>
        <w:jc w:val="both"/>
        <w:rPr>
          <w:rFonts w:ascii="Arial" w:hAnsi="Arial" w:cs="Arial"/>
          <w:sz w:val="22"/>
          <w:szCs w:val="22"/>
        </w:rPr>
      </w:pPr>
    </w:p>
    <w:p w14:paraId="42B2CBD1" w14:textId="62466FB3" w:rsidR="007E317E" w:rsidRDefault="00883629" w:rsidP="00DF66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zestawieniu</w:t>
      </w:r>
      <w:r w:rsidR="007E31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producentów, którzy mają </w:t>
      </w:r>
      <w:r w:rsidR="007E317E">
        <w:rPr>
          <w:rFonts w:ascii="Arial" w:hAnsi="Arial" w:cs="Arial"/>
          <w:sz w:val="22"/>
          <w:szCs w:val="22"/>
        </w:rPr>
        <w:t>preferencyjne warunki cenowe dla wielkich sieci handlowych</w:t>
      </w:r>
      <w:r>
        <w:rPr>
          <w:rFonts w:ascii="Arial" w:hAnsi="Arial" w:cs="Arial"/>
          <w:sz w:val="22"/>
          <w:szCs w:val="22"/>
        </w:rPr>
        <w:t>, znalazły się m.in.</w:t>
      </w:r>
      <w:r w:rsidR="007E317E">
        <w:rPr>
          <w:rFonts w:ascii="Arial" w:hAnsi="Arial" w:cs="Arial"/>
          <w:sz w:val="22"/>
          <w:szCs w:val="22"/>
        </w:rPr>
        <w:t>:</w:t>
      </w:r>
      <w:r w:rsidR="00D94F7C">
        <w:rPr>
          <w:rFonts w:ascii="Arial" w:hAnsi="Arial" w:cs="Arial"/>
          <w:sz w:val="22"/>
          <w:szCs w:val="22"/>
        </w:rPr>
        <w:t xml:space="preserve"> </w:t>
      </w:r>
      <w:r w:rsidR="009D13A3" w:rsidRPr="009D13A3">
        <w:rPr>
          <w:rFonts w:ascii="Arial" w:hAnsi="Arial" w:cs="Arial"/>
          <w:b/>
          <w:bCs/>
          <w:sz w:val="22"/>
          <w:szCs w:val="22"/>
        </w:rPr>
        <w:t xml:space="preserve">De </w:t>
      </w:r>
      <w:proofErr w:type="spellStart"/>
      <w:r w:rsidR="009D13A3" w:rsidRPr="009D13A3">
        <w:rPr>
          <w:rFonts w:ascii="Arial" w:hAnsi="Arial" w:cs="Arial"/>
          <w:b/>
          <w:bCs/>
          <w:sz w:val="22"/>
          <w:szCs w:val="22"/>
        </w:rPr>
        <w:t>Care</w:t>
      </w:r>
      <w:proofErr w:type="spellEnd"/>
      <w:r w:rsidR="009D13A3">
        <w:rPr>
          <w:rFonts w:ascii="Arial" w:hAnsi="Arial" w:cs="Arial"/>
          <w:sz w:val="22"/>
          <w:szCs w:val="22"/>
        </w:rPr>
        <w:t xml:space="preserve"> </w:t>
      </w:r>
      <w:r w:rsidR="009D13A3" w:rsidRPr="009D13A3">
        <w:rPr>
          <w:rFonts w:ascii="Arial" w:hAnsi="Arial" w:cs="Arial"/>
          <w:sz w:val="22"/>
          <w:szCs w:val="22"/>
        </w:rPr>
        <w:t>(makarony),</w:t>
      </w:r>
      <w:r w:rsidR="009D13A3">
        <w:rPr>
          <w:rFonts w:ascii="Arial" w:hAnsi="Arial" w:cs="Arial"/>
          <w:b/>
          <w:bCs/>
          <w:sz w:val="22"/>
          <w:szCs w:val="22"/>
        </w:rPr>
        <w:t xml:space="preserve"> </w:t>
      </w:r>
      <w:r w:rsidR="00D94F7C" w:rsidRPr="00D94F7C">
        <w:rPr>
          <w:rFonts w:ascii="Arial" w:hAnsi="Arial" w:cs="Arial"/>
          <w:b/>
          <w:bCs/>
          <w:sz w:val="22"/>
          <w:szCs w:val="22"/>
        </w:rPr>
        <w:t>Coca</w:t>
      </w:r>
      <w:r w:rsidR="00D94F7C">
        <w:rPr>
          <w:rFonts w:ascii="Arial" w:hAnsi="Arial" w:cs="Arial"/>
          <w:b/>
          <w:bCs/>
          <w:sz w:val="22"/>
          <w:szCs w:val="22"/>
        </w:rPr>
        <w:t>-</w:t>
      </w:r>
      <w:r w:rsidR="00D94F7C" w:rsidRPr="00D94F7C">
        <w:rPr>
          <w:rFonts w:ascii="Arial" w:hAnsi="Arial" w:cs="Arial"/>
          <w:b/>
          <w:bCs/>
          <w:sz w:val="22"/>
          <w:szCs w:val="22"/>
        </w:rPr>
        <w:t>Cola</w:t>
      </w:r>
      <w:r w:rsidR="007E317E">
        <w:rPr>
          <w:rFonts w:ascii="Arial" w:hAnsi="Arial" w:cs="Arial"/>
          <w:sz w:val="22"/>
          <w:szCs w:val="22"/>
        </w:rPr>
        <w:t xml:space="preserve"> </w:t>
      </w:r>
      <w:r w:rsidR="00D94F7C">
        <w:rPr>
          <w:rFonts w:ascii="Arial" w:hAnsi="Arial" w:cs="Arial"/>
          <w:sz w:val="22"/>
          <w:szCs w:val="22"/>
        </w:rPr>
        <w:t xml:space="preserve">(soki i napoje niegazowane), </w:t>
      </w:r>
      <w:r w:rsidR="009D13A3" w:rsidRPr="00D607A5">
        <w:rPr>
          <w:rFonts w:ascii="Arial" w:hAnsi="Arial" w:cs="Arial"/>
          <w:b/>
          <w:bCs/>
          <w:sz w:val="22"/>
          <w:szCs w:val="22"/>
        </w:rPr>
        <w:t>McCormick</w:t>
      </w:r>
      <w:r w:rsidR="009D13A3">
        <w:rPr>
          <w:rFonts w:ascii="Arial" w:hAnsi="Arial" w:cs="Arial"/>
          <w:sz w:val="22"/>
          <w:szCs w:val="22"/>
        </w:rPr>
        <w:t xml:space="preserve"> (musztardy), </w:t>
      </w:r>
      <w:r w:rsidR="00D94F7C">
        <w:rPr>
          <w:rFonts w:ascii="Arial" w:hAnsi="Arial" w:cs="Arial"/>
          <w:b/>
          <w:bCs/>
          <w:sz w:val="22"/>
          <w:szCs w:val="22"/>
        </w:rPr>
        <w:t xml:space="preserve">OSM Łowicz </w:t>
      </w:r>
      <w:r w:rsidR="00D94F7C" w:rsidRPr="00D94F7C">
        <w:rPr>
          <w:rFonts w:ascii="Arial" w:hAnsi="Arial" w:cs="Arial"/>
          <w:sz w:val="22"/>
          <w:szCs w:val="22"/>
        </w:rPr>
        <w:t>(</w:t>
      </w:r>
      <w:r w:rsidR="00D94F7C">
        <w:rPr>
          <w:rFonts w:ascii="Arial" w:hAnsi="Arial" w:cs="Arial"/>
          <w:sz w:val="22"/>
          <w:szCs w:val="22"/>
        </w:rPr>
        <w:t>masła</w:t>
      </w:r>
      <w:r w:rsidR="00D94F7C" w:rsidRPr="00D94F7C">
        <w:rPr>
          <w:rFonts w:ascii="Arial" w:hAnsi="Arial" w:cs="Arial"/>
          <w:sz w:val="22"/>
          <w:szCs w:val="22"/>
        </w:rPr>
        <w:t>)</w:t>
      </w:r>
      <w:r w:rsidR="009D13A3">
        <w:rPr>
          <w:rFonts w:ascii="Arial" w:hAnsi="Arial" w:cs="Arial"/>
          <w:sz w:val="22"/>
          <w:szCs w:val="22"/>
        </w:rPr>
        <w:t xml:space="preserve">, </w:t>
      </w:r>
      <w:r w:rsidR="009D13A3" w:rsidRPr="009D13A3">
        <w:rPr>
          <w:rFonts w:ascii="Arial" w:hAnsi="Arial" w:cs="Arial"/>
          <w:b/>
          <w:bCs/>
          <w:sz w:val="22"/>
          <w:szCs w:val="22"/>
        </w:rPr>
        <w:t>Kellog</w:t>
      </w:r>
      <w:r w:rsidR="00D77CEA">
        <w:rPr>
          <w:rFonts w:ascii="Arial" w:hAnsi="Arial" w:cs="Arial"/>
          <w:b/>
          <w:bCs/>
          <w:sz w:val="22"/>
          <w:szCs w:val="22"/>
        </w:rPr>
        <w:t>g</w:t>
      </w:r>
      <w:r w:rsidR="009D13A3">
        <w:rPr>
          <w:rFonts w:ascii="Arial" w:hAnsi="Arial" w:cs="Arial"/>
          <w:sz w:val="22"/>
          <w:szCs w:val="22"/>
        </w:rPr>
        <w:t xml:space="preserve"> (chipsy)</w:t>
      </w:r>
      <w:r w:rsidR="00D94F7C">
        <w:rPr>
          <w:rFonts w:ascii="Arial" w:hAnsi="Arial" w:cs="Arial"/>
          <w:b/>
          <w:bCs/>
          <w:sz w:val="22"/>
          <w:szCs w:val="22"/>
        </w:rPr>
        <w:t xml:space="preserve"> </w:t>
      </w:r>
      <w:r w:rsidR="009D13A3" w:rsidRPr="009D13A3">
        <w:rPr>
          <w:rFonts w:ascii="Arial" w:hAnsi="Arial" w:cs="Arial"/>
          <w:sz w:val="22"/>
          <w:szCs w:val="22"/>
        </w:rPr>
        <w:t>czy</w:t>
      </w:r>
      <w:r w:rsidR="009D13A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991882" w:rsidRPr="00D607A5">
        <w:rPr>
          <w:rFonts w:ascii="Arial" w:hAnsi="Arial" w:cs="Arial"/>
          <w:b/>
          <w:bCs/>
          <w:sz w:val="22"/>
          <w:szCs w:val="22"/>
        </w:rPr>
        <w:t>Storck</w:t>
      </w:r>
      <w:proofErr w:type="spellEnd"/>
      <w:r w:rsidR="00991882">
        <w:rPr>
          <w:rFonts w:ascii="Arial" w:hAnsi="Arial" w:cs="Arial"/>
          <w:sz w:val="22"/>
          <w:szCs w:val="22"/>
        </w:rPr>
        <w:t xml:space="preserve"> (pral</w:t>
      </w:r>
      <w:r w:rsidR="00D607A5">
        <w:rPr>
          <w:rFonts w:ascii="Arial" w:hAnsi="Arial" w:cs="Arial"/>
          <w:sz w:val="22"/>
          <w:szCs w:val="22"/>
        </w:rPr>
        <w:t>iny)</w:t>
      </w:r>
      <w:r w:rsidR="009D13A3">
        <w:rPr>
          <w:rFonts w:ascii="Arial" w:hAnsi="Arial" w:cs="Arial"/>
          <w:sz w:val="22"/>
          <w:szCs w:val="22"/>
        </w:rPr>
        <w:t>.</w:t>
      </w:r>
      <w:r w:rsidR="00D607A5">
        <w:rPr>
          <w:rFonts w:ascii="Arial" w:hAnsi="Arial" w:cs="Arial"/>
          <w:sz w:val="22"/>
          <w:szCs w:val="22"/>
        </w:rPr>
        <w:t xml:space="preserve"> </w:t>
      </w:r>
    </w:p>
    <w:p w14:paraId="29DBB1B4" w14:textId="6C3D0A93" w:rsidR="00D607A5" w:rsidRDefault="00D607A5" w:rsidP="00DF66E5">
      <w:pPr>
        <w:jc w:val="both"/>
        <w:rPr>
          <w:rFonts w:ascii="Arial" w:hAnsi="Arial" w:cs="Arial"/>
          <w:sz w:val="22"/>
          <w:szCs w:val="22"/>
        </w:rPr>
      </w:pPr>
    </w:p>
    <w:p w14:paraId="47084E76" w14:textId="66A79F9E" w:rsidR="009D13A3" w:rsidRDefault="00D607A5" w:rsidP="00DF66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kolei producenci, których sprzedaż w znacznej części (powyżej </w:t>
      </w:r>
      <w:r w:rsidR="009D13A3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 proc.) składa się z produktów dedykowanych wielkim sieciom dyskontów i supermarketów, to: </w:t>
      </w:r>
      <w:r w:rsidR="006F293C" w:rsidRPr="00AC0A9F">
        <w:rPr>
          <w:rFonts w:ascii="Arial" w:hAnsi="Arial" w:cs="Arial"/>
          <w:b/>
          <w:bCs/>
          <w:sz w:val="22"/>
          <w:szCs w:val="22"/>
        </w:rPr>
        <w:t>Unilever</w:t>
      </w:r>
      <w:r w:rsidR="006F293C">
        <w:rPr>
          <w:rFonts w:ascii="Arial" w:hAnsi="Arial" w:cs="Arial"/>
          <w:sz w:val="22"/>
          <w:szCs w:val="22"/>
        </w:rPr>
        <w:t xml:space="preserve"> (środki do prania), </w:t>
      </w:r>
      <w:r w:rsidR="009D13A3" w:rsidRPr="0053156A">
        <w:rPr>
          <w:rFonts w:ascii="Arial" w:hAnsi="Arial" w:cs="Arial"/>
          <w:b/>
          <w:bCs/>
          <w:sz w:val="22"/>
          <w:szCs w:val="22"/>
        </w:rPr>
        <w:t>Maspex</w:t>
      </w:r>
      <w:r w:rsidR="009D13A3">
        <w:rPr>
          <w:rFonts w:ascii="Arial" w:hAnsi="Arial" w:cs="Arial"/>
          <w:sz w:val="22"/>
          <w:szCs w:val="22"/>
        </w:rPr>
        <w:t xml:space="preserve"> (ketchupy) oraz </w:t>
      </w:r>
      <w:r w:rsidR="009D13A3" w:rsidRPr="009D13A3">
        <w:rPr>
          <w:rFonts w:ascii="Arial" w:hAnsi="Arial" w:cs="Arial"/>
          <w:b/>
          <w:bCs/>
          <w:sz w:val="22"/>
          <w:szCs w:val="22"/>
        </w:rPr>
        <w:t>Sp</w:t>
      </w:r>
      <w:r w:rsidR="009D13A3" w:rsidRPr="0053156A">
        <w:rPr>
          <w:rFonts w:ascii="Arial" w:hAnsi="Arial" w:cs="Arial"/>
          <w:b/>
          <w:bCs/>
          <w:sz w:val="22"/>
          <w:szCs w:val="22"/>
        </w:rPr>
        <w:t>ołem Kielce</w:t>
      </w:r>
      <w:r w:rsidR="009D13A3">
        <w:rPr>
          <w:rFonts w:ascii="Arial" w:hAnsi="Arial" w:cs="Arial"/>
          <w:sz w:val="22"/>
          <w:szCs w:val="22"/>
        </w:rPr>
        <w:t xml:space="preserve"> (majonezy). </w:t>
      </w:r>
    </w:p>
    <w:p w14:paraId="51F2A415" w14:textId="0165C98D" w:rsidR="00D94F7C" w:rsidRDefault="00502A8E" w:rsidP="00502A8E">
      <w:pPr>
        <w:tabs>
          <w:tab w:val="left" w:pos="69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5A5B0E9" w14:textId="1EF298E1" w:rsidR="00883629" w:rsidRDefault="00883629" w:rsidP="008836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Sklepy lokalne to ważny uczestnik rynku handlu detalicznego w Polsce z udziałem na poziomie 3</w:t>
      </w:r>
      <w:r w:rsidR="00EA267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proc.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Są one łatwo dostępne dla ogromnej części społeczeństwa – sklepy współpracujące z Grupą Eurocash docierają szacunkowo do 85 proc. gospodarstw domowych</w:t>
      </w:r>
      <w:r w:rsidR="007B12B7">
        <w:rPr>
          <w:rFonts w:ascii="Arial" w:hAnsi="Arial" w:cs="Arial"/>
          <w:sz w:val="22"/>
          <w:szCs w:val="22"/>
        </w:rPr>
        <w:t xml:space="preserve"> w Polsce</w:t>
      </w:r>
      <w:r>
        <w:rPr>
          <w:rFonts w:ascii="Arial" w:hAnsi="Arial" w:cs="Arial"/>
          <w:sz w:val="22"/>
          <w:szCs w:val="22"/>
        </w:rPr>
        <w:t>. Klienci cenią je nie tylko za bliskość czy brak kolejek, ale także jakość, świeżość i szeroki wybór produktów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  <w:r>
        <w:rPr>
          <w:rFonts w:ascii="Arial" w:hAnsi="Arial" w:cs="Arial"/>
          <w:sz w:val="22"/>
          <w:szCs w:val="22"/>
        </w:rPr>
        <w:t>. Ten ostatni aspekt jest szczególnie widoczny w wydatkach konsumentów</w:t>
      </w:r>
      <w:r w:rsidR="00EA2674">
        <w:rPr>
          <w:rFonts w:ascii="Arial" w:hAnsi="Arial" w:cs="Arial"/>
          <w:sz w:val="22"/>
          <w:szCs w:val="22"/>
        </w:rPr>
        <w:t>. P</w:t>
      </w:r>
      <w:r w:rsidR="00EA2674" w:rsidRPr="00EA2674">
        <w:rPr>
          <w:rFonts w:ascii="Arial" w:hAnsi="Arial" w:cs="Arial"/>
          <w:sz w:val="22"/>
          <w:szCs w:val="22"/>
        </w:rPr>
        <w:t>rodukty markowe</w:t>
      </w:r>
      <w:r w:rsidR="004F7A80">
        <w:rPr>
          <w:rFonts w:ascii="Arial" w:hAnsi="Arial" w:cs="Arial"/>
          <w:sz w:val="22"/>
          <w:szCs w:val="22"/>
        </w:rPr>
        <w:t>,</w:t>
      </w:r>
      <w:r w:rsidR="00EA2674" w:rsidRPr="00EA2674">
        <w:rPr>
          <w:rFonts w:ascii="Arial" w:hAnsi="Arial" w:cs="Arial"/>
          <w:sz w:val="22"/>
          <w:szCs w:val="22"/>
        </w:rPr>
        <w:t xml:space="preserve"> </w:t>
      </w:r>
      <w:r w:rsidR="004F7A80">
        <w:rPr>
          <w:rFonts w:ascii="Arial" w:hAnsi="Arial" w:cs="Arial"/>
          <w:sz w:val="22"/>
          <w:szCs w:val="22"/>
        </w:rPr>
        <w:t>a więc takie, których sprzedaż powinna być dla producentów najbardziej atrakcyjna,</w:t>
      </w:r>
      <w:r w:rsidR="004F7A80" w:rsidRPr="00EA2674">
        <w:rPr>
          <w:rFonts w:ascii="Arial" w:hAnsi="Arial" w:cs="Arial"/>
          <w:sz w:val="22"/>
          <w:szCs w:val="22"/>
        </w:rPr>
        <w:t xml:space="preserve"> </w:t>
      </w:r>
      <w:r w:rsidR="00EA2674" w:rsidRPr="00EA2674">
        <w:rPr>
          <w:rFonts w:ascii="Arial" w:hAnsi="Arial" w:cs="Arial"/>
          <w:sz w:val="22"/>
          <w:szCs w:val="22"/>
        </w:rPr>
        <w:t>stanowią</w:t>
      </w:r>
      <w:r w:rsidR="004F7A80">
        <w:rPr>
          <w:rFonts w:ascii="Arial" w:hAnsi="Arial" w:cs="Arial"/>
          <w:sz w:val="22"/>
          <w:szCs w:val="22"/>
        </w:rPr>
        <w:t xml:space="preserve"> aż</w:t>
      </w:r>
      <w:r w:rsidR="00EA2674" w:rsidRPr="00EA2674">
        <w:rPr>
          <w:rFonts w:ascii="Arial" w:hAnsi="Arial" w:cs="Arial"/>
          <w:sz w:val="22"/>
          <w:szCs w:val="22"/>
        </w:rPr>
        <w:t xml:space="preserve"> 95% sprzedaży w małoformatowych sklepach sieciowych</w:t>
      </w:r>
      <w:r w:rsidR="004F7A80">
        <w:rPr>
          <w:rFonts w:ascii="Arial" w:hAnsi="Arial" w:cs="Arial"/>
          <w:sz w:val="22"/>
          <w:szCs w:val="22"/>
        </w:rPr>
        <w:t>,</w:t>
      </w:r>
      <w:r w:rsidR="004F7A80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4F7A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podczas gdy w przypadku dyskontów jest to </w:t>
      </w:r>
      <w:r w:rsidR="007B12B7">
        <w:rPr>
          <w:rFonts w:ascii="Arial" w:hAnsi="Arial" w:cs="Arial"/>
          <w:sz w:val="22"/>
          <w:szCs w:val="22"/>
        </w:rPr>
        <w:t>ok</w:t>
      </w:r>
      <w:r w:rsidR="004F7A80">
        <w:rPr>
          <w:rFonts w:ascii="Arial" w:hAnsi="Arial" w:cs="Arial"/>
          <w:sz w:val="22"/>
          <w:szCs w:val="22"/>
        </w:rPr>
        <w:t>.</w:t>
      </w:r>
      <w:r w:rsidR="007B12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55 proc. </w:t>
      </w:r>
    </w:p>
    <w:p w14:paraId="40809730" w14:textId="77777777" w:rsidR="00883629" w:rsidRDefault="00883629" w:rsidP="00883629">
      <w:pPr>
        <w:jc w:val="both"/>
        <w:rPr>
          <w:rFonts w:ascii="Arial" w:hAnsi="Arial" w:cs="Arial"/>
          <w:sz w:val="22"/>
          <w:szCs w:val="22"/>
        </w:rPr>
      </w:pPr>
    </w:p>
    <w:p w14:paraId="2034DD4A" w14:textId="5BDFC1DC" w:rsidR="00883629" w:rsidRDefault="00883629" w:rsidP="008836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Mimo to najwięksi dostawcy zdają się nie dostrzegać w pełni ogromnego potencjału, jaki niesie ze sobą lokalny kanał sprzedaży. Warunki cenowe i dystrybucyjne przez nich oferowane są wciąż mniej korzystne dla rynku niezależnego niż dla centralnie zarządzanych sieci dyskontów i supermarketów. Widać to także w wynikach najnowszej edycji Rankingu Równi w Biznesie, przygotowane</w:t>
      </w:r>
      <w:r w:rsidR="008E3334">
        <w:rPr>
          <w:rFonts w:ascii="Arial" w:hAnsi="Arial" w:cs="Arial"/>
          <w:sz w:val="22"/>
          <w:szCs w:val="22"/>
        </w:rPr>
        <w:t>go</w:t>
      </w:r>
      <w:r>
        <w:rPr>
          <w:rFonts w:ascii="Arial" w:hAnsi="Arial" w:cs="Arial"/>
          <w:sz w:val="22"/>
          <w:szCs w:val="22"/>
        </w:rPr>
        <w:t xml:space="preserve"> przez Eurocash </w:t>
      </w:r>
      <w:r w:rsidRPr="00883629">
        <w:rPr>
          <w:rFonts w:ascii="Arial" w:hAnsi="Arial" w:cs="Arial"/>
          <w:sz w:val="22"/>
          <w:szCs w:val="22"/>
        </w:rPr>
        <w:t xml:space="preserve">na podstawie posiadanych danych </w:t>
      </w:r>
      <w:proofErr w:type="spellStart"/>
      <w:r w:rsidRPr="00883629">
        <w:rPr>
          <w:rFonts w:ascii="Arial" w:hAnsi="Arial" w:cs="Arial"/>
          <w:sz w:val="22"/>
          <w:szCs w:val="22"/>
        </w:rPr>
        <w:t>NielsenIQ</w:t>
      </w:r>
      <w:proofErr w:type="spellEnd"/>
      <w:r w:rsidRPr="00883629">
        <w:rPr>
          <w:rFonts w:ascii="Arial" w:hAnsi="Arial" w:cs="Arial"/>
          <w:sz w:val="22"/>
          <w:szCs w:val="22"/>
        </w:rPr>
        <w:t xml:space="preserve"> za III kw. 2022 r.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E8158BC" w14:textId="77777777" w:rsidR="00883629" w:rsidRDefault="00883629" w:rsidP="00DF66E5">
      <w:pPr>
        <w:jc w:val="both"/>
        <w:rPr>
          <w:rFonts w:ascii="Arial" w:hAnsi="Arial" w:cs="Arial"/>
          <w:sz w:val="22"/>
          <w:szCs w:val="22"/>
        </w:rPr>
      </w:pPr>
    </w:p>
    <w:p w14:paraId="6FC00D02" w14:textId="35BFF572" w:rsidR="003B19CC" w:rsidRDefault="003B19CC" w:rsidP="00DF66E5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037E9A9" w14:textId="7D6EE92E" w:rsidR="003B19CC" w:rsidRDefault="00084FFE" w:rsidP="00DF66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Pełne wyniki rankingu można znaleźć na</w:t>
      </w:r>
      <w:r w:rsidR="003B19CC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084FFE">
          <w:rPr>
            <w:rStyle w:val="Hipercze"/>
            <w:rFonts w:ascii="Arial" w:hAnsi="Arial" w:cs="Arial"/>
            <w:sz w:val="22"/>
            <w:szCs w:val="22"/>
          </w:rPr>
          <w:t>grupaeurocash.pl/przedsiebiorca/sila-zakupowa/ranking-rowni-w-biznesie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58715842" w14:textId="0F53BA17" w:rsidR="00084FFE" w:rsidRDefault="00084FFE" w:rsidP="00DF66E5">
      <w:pPr>
        <w:jc w:val="both"/>
        <w:rPr>
          <w:rFonts w:ascii="Arial" w:hAnsi="Arial" w:cs="Arial"/>
          <w:sz w:val="22"/>
          <w:szCs w:val="22"/>
        </w:rPr>
      </w:pPr>
    </w:p>
    <w:p w14:paraId="330E2981" w14:textId="77777777" w:rsidR="00084FFE" w:rsidRDefault="00084FFE" w:rsidP="00084FFE">
      <w:pPr>
        <w:jc w:val="center"/>
        <w:rPr>
          <w:rFonts w:ascii="Calibri" w:eastAsia="Calibri" w:hAnsi="Calibri"/>
          <w:bdr w:val="none" w:sz="0" w:space="0" w:color="auto" w:frame="1"/>
        </w:rPr>
      </w:pPr>
      <w:r>
        <w:rPr>
          <w:rFonts w:ascii="Calibri" w:eastAsia="Calibri" w:hAnsi="Calibri"/>
          <w:bdr w:val="none" w:sz="0" w:space="0" w:color="auto" w:frame="1"/>
        </w:rPr>
        <w:t>***</w:t>
      </w:r>
    </w:p>
    <w:p w14:paraId="415AF62E" w14:textId="77777777" w:rsidR="00084FFE" w:rsidRDefault="00084FFE" w:rsidP="00084FFE">
      <w:pPr>
        <w:jc w:val="center"/>
        <w:rPr>
          <w:rFonts w:ascii="Calibri" w:eastAsia="Calibri" w:hAnsi="Calibri"/>
          <w:sz w:val="22"/>
          <w:szCs w:val="22"/>
          <w:bdr w:val="none" w:sz="0" w:space="0" w:color="auto" w:frame="1"/>
        </w:rPr>
      </w:pPr>
    </w:p>
    <w:p w14:paraId="59A32504" w14:textId="77777777" w:rsidR="00084FFE" w:rsidRPr="00CC4186" w:rsidRDefault="00084FFE" w:rsidP="00084FFE">
      <w:pPr>
        <w:jc w:val="both"/>
        <w:rPr>
          <w:rFonts w:ascii="Arial" w:eastAsia="Calibri" w:hAnsi="Arial" w:cs="Arial"/>
          <w:color w:val="595959" w:themeColor="text1" w:themeTint="A6"/>
          <w:sz w:val="22"/>
          <w:szCs w:val="22"/>
          <w:bdr w:val="none" w:sz="0" w:space="0" w:color="auto" w:frame="1"/>
        </w:rPr>
      </w:pPr>
      <w:r w:rsidRPr="00CC4186">
        <w:rPr>
          <w:rFonts w:ascii="Arial" w:eastAsia="Calibri" w:hAnsi="Arial" w:cs="Arial"/>
          <w:b/>
          <w:bCs/>
          <w:color w:val="595959" w:themeColor="text1" w:themeTint="A6"/>
          <w:sz w:val="22"/>
          <w:szCs w:val="22"/>
          <w:bdr w:val="none" w:sz="0" w:space="0" w:color="auto" w:frame="1"/>
        </w:rPr>
        <w:t xml:space="preserve">Grupa Eurocash to największa polska firma zajmująca się hurtową dystrybucją żywności i innych produktów </w:t>
      </w:r>
      <w:proofErr w:type="spellStart"/>
      <w:r w:rsidRPr="00CC4186">
        <w:rPr>
          <w:rFonts w:ascii="Arial" w:eastAsia="Calibri" w:hAnsi="Arial" w:cs="Arial"/>
          <w:b/>
          <w:bCs/>
          <w:color w:val="595959" w:themeColor="text1" w:themeTint="A6"/>
          <w:sz w:val="22"/>
          <w:szCs w:val="22"/>
          <w:bdr w:val="none" w:sz="0" w:space="0" w:color="auto" w:frame="1"/>
        </w:rPr>
        <w:t>szybkozbywalnych</w:t>
      </w:r>
      <w:proofErr w:type="spellEnd"/>
      <w:r w:rsidRPr="00CC4186">
        <w:rPr>
          <w:rFonts w:ascii="Arial" w:eastAsia="Calibri" w:hAnsi="Arial" w:cs="Arial"/>
          <w:color w:val="595959" w:themeColor="text1" w:themeTint="A6"/>
          <w:sz w:val="22"/>
          <w:szCs w:val="22"/>
          <w:bdr w:val="none" w:sz="0" w:space="0" w:color="auto" w:frame="1"/>
        </w:rPr>
        <w:t xml:space="preserve"> (FMCG). Współpracuje z ok. 90 tys. klientów, z których aż 70 tys. stanowią niezależni przedsiębiorcy prowadzący lokalne sklepy detaliczne w całej Polsce, których Eurocash wspiera w obszarze dystrybucji, marketingu, nowych technologii i edukacji. </w:t>
      </w:r>
    </w:p>
    <w:p w14:paraId="62CFF047" w14:textId="77777777" w:rsidR="00084FFE" w:rsidRPr="00CC4186" w:rsidRDefault="00084FFE" w:rsidP="00084FFE">
      <w:pPr>
        <w:jc w:val="both"/>
        <w:rPr>
          <w:rFonts w:ascii="Arial" w:eastAsia="Calibri" w:hAnsi="Arial" w:cs="Arial"/>
          <w:color w:val="595959" w:themeColor="text1" w:themeTint="A6"/>
          <w:sz w:val="22"/>
          <w:szCs w:val="22"/>
          <w:bdr w:val="none" w:sz="0" w:space="0" w:color="auto" w:frame="1"/>
        </w:rPr>
      </w:pPr>
    </w:p>
    <w:p w14:paraId="1A16BD3B" w14:textId="03D0A599" w:rsidR="00084FFE" w:rsidRPr="00D01C88" w:rsidRDefault="00084FFE" w:rsidP="00DF66E5">
      <w:pPr>
        <w:jc w:val="both"/>
        <w:rPr>
          <w:rFonts w:ascii="Arial" w:eastAsia="Calibri" w:hAnsi="Arial" w:cs="Arial"/>
          <w:color w:val="595959" w:themeColor="text1" w:themeTint="A6"/>
          <w:bdr w:val="none" w:sz="0" w:space="0" w:color="auto" w:frame="1"/>
        </w:rPr>
      </w:pPr>
      <w:r w:rsidRPr="00CC4186">
        <w:rPr>
          <w:rFonts w:ascii="Arial" w:eastAsia="Calibri" w:hAnsi="Arial" w:cs="Arial"/>
          <w:color w:val="595959" w:themeColor="text1" w:themeTint="A6"/>
          <w:sz w:val="22"/>
          <w:szCs w:val="22"/>
          <w:bdr w:val="none" w:sz="0" w:space="0" w:color="auto" w:frame="1"/>
        </w:rPr>
        <w:t>Grupa Eurocash to również organizator znanych sieci franczyzowych, agencyjnych i partnerskich takich jak: ABC, Delikatesy Centrum, Groszek, Lewiatan, Euro Sklep oraz Duży Ben. W ramach Eurocash działa również Frisco.pl – największy w Polsce internetowy market spożywczy</w:t>
      </w:r>
      <w:r w:rsidRPr="00CC4186">
        <w:rPr>
          <w:rFonts w:ascii="Arial" w:eastAsia="Calibri" w:hAnsi="Arial" w:cs="Arial"/>
          <w:color w:val="595959" w:themeColor="text1" w:themeTint="A6"/>
          <w:bdr w:val="none" w:sz="0" w:space="0" w:color="auto" w:frame="1"/>
        </w:rPr>
        <w:t>.</w:t>
      </w:r>
    </w:p>
    <w:sectPr w:rsidR="00084FFE" w:rsidRPr="00D01C88" w:rsidSect="00B80EC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134" w:bottom="1309" w:left="1134" w:header="709" w:footer="15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3A10" w14:textId="77777777" w:rsidR="00041D00" w:rsidRDefault="00041D00" w:rsidP="00BD6B40">
      <w:r>
        <w:separator/>
      </w:r>
    </w:p>
  </w:endnote>
  <w:endnote w:type="continuationSeparator" w:id="0">
    <w:p w14:paraId="3D47A2A0" w14:textId="77777777" w:rsidR="00041D00" w:rsidRDefault="00041D00" w:rsidP="00BD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3E56" w14:textId="77777777" w:rsidR="00B80ECC" w:rsidRDefault="004E7FA2" w:rsidP="00B80ECC">
    <w:pPr>
      <w:pStyle w:val="Stopka"/>
    </w:pPr>
  </w:p>
  <w:p w14:paraId="6C10288E" w14:textId="77777777" w:rsidR="00B80ECC" w:rsidRDefault="004E7FA2" w:rsidP="00B80ECC">
    <w:pPr>
      <w:pStyle w:val="Stopka"/>
    </w:pPr>
  </w:p>
  <w:p w14:paraId="42F0BC15" w14:textId="77777777" w:rsidR="00B80ECC" w:rsidRDefault="004E7FA2" w:rsidP="00B80ECC">
    <w:pPr>
      <w:pStyle w:val="Stopka"/>
    </w:pPr>
  </w:p>
  <w:p w14:paraId="286C4C12" w14:textId="77777777" w:rsidR="00B80ECC" w:rsidRDefault="004E7FA2" w:rsidP="00B80ECC">
    <w:pPr>
      <w:pStyle w:val="Stopka"/>
    </w:pPr>
  </w:p>
  <w:p w14:paraId="5DAF0B3B" w14:textId="77777777" w:rsidR="00B80ECC" w:rsidRDefault="004E7FA2" w:rsidP="00B80ECC">
    <w:pPr>
      <w:pStyle w:val="Stopka"/>
    </w:pPr>
  </w:p>
  <w:p w14:paraId="1F4EB538" w14:textId="77777777" w:rsidR="00725ED4" w:rsidRPr="00725ED4" w:rsidRDefault="004E7FA2" w:rsidP="00B80E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1CF78" w14:textId="77777777" w:rsidR="00041D00" w:rsidRDefault="00041D00" w:rsidP="00BD6B40">
      <w:r>
        <w:separator/>
      </w:r>
    </w:p>
  </w:footnote>
  <w:footnote w:type="continuationSeparator" w:id="0">
    <w:p w14:paraId="49005CF9" w14:textId="77777777" w:rsidR="00041D00" w:rsidRDefault="00041D00" w:rsidP="00BD6B40">
      <w:r>
        <w:continuationSeparator/>
      </w:r>
    </w:p>
  </w:footnote>
  <w:footnote w:id="1">
    <w:p w14:paraId="68E1DDD1" w14:textId="77777777" w:rsidR="001B5210" w:rsidRDefault="001B5210" w:rsidP="001B52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C165C">
        <w:t xml:space="preserve">Źródło: </w:t>
      </w:r>
      <w:proofErr w:type="spellStart"/>
      <w:r w:rsidRPr="007C165C">
        <w:t>GfK</w:t>
      </w:r>
      <w:proofErr w:type="spellEnd"/>
      <w:r w:rsidRPr="007C165C">
        <w:t xml:space="preserve"> Shopping Monitor 2022</w:t>
      </w:r>
      <w:r>
        <w:t xml:space="preserve"> (produkty markowe, </w:t>
      </w:r>
      <w:r w:rsidRPr="007C165C">
        <w:t>tj</w:t>
      </w:r>
      <w:r>
        <w:t>.</w:t>
      </w:r>
      <w:r w:rsidRPr="007C165C">
        <w:t xml:space="preserve"> nie marki własnej</w:t>
      </w:r>
      <w:r>
        <w:t>),</w:t>
      </w:r>
      <w:r w:rsidRPr="007C165C">
        <w:t xml:space="preserve"> dane za rok 2021</w:t>
      </w:r>
    </w:p>
  </w:footnote>
  <w:footnote w:id="2">
    <w:p w14:paraId="2E5722BE" w14:textId="17D886DD" w:rsidR="00883629" w:rsidRPr="00E5116B" w:rsidRDefault="00883629" w:rsidP="00883629">
      <w:pPr>
        <w:pStyle w:val="Tekstprzypisudolnego"/>
      </w:pPr>
      <w:r>
        <w:rPr>
          <w:rStyle w:val="Odwoanieprzypisudolnego"/>
        </w:rPr>
        <w:footnoteRef/>
      </w:r>
      <w:r w:rsidRPr="00E5116B">
        <w:t xml:space="preserve"> Źródło: </w:t>
      </w:r>
      <w:r w:rsidR="00EA2674" w:rsidRPr="00E5116B">
        <w:t>NielsenIQ, Establishment Survey 2021, Europa</w:t>
      </w:r>
    </w:p>
  </w:footnote>
  <w:footnote w:id="3">
    <w:p w14:paraId="2D25EB62" w14:textId="76FE1662" w:rsidR="00883629" w:rsidRDefault="00883629" w:rsidP="008836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C165C">
        <w:t>Źródło: Badanie PMR Kwiecień 2022, n=1000, możliwość wskazania top3</w:t>
      </w:r>
    </w:p>
  </w:footnote>
  <w:footnote w:id="4">
    <w:p w14:paraId="04F70C18" w14:textId="2232ADD3" w:rsidR="004F7A80" w:rsidRDefault="004F7A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F7A80">
        <w:t xml:space="preserve">Źródło: </w:t>
      </w:r>
      <w:proofErr w:type="spellStart"/>
      <w:r w:rsidRPr="004F7A80">
        <w:t>GfK</w:t>
      </w:r>
      <w:proofErr w:type="spellEnd"/>
      <w:r w:rsidRPr="004F7A80">
        <w:t xml:space="preserve"> Shopping Monitor 2022 (produkty markowe, tj. nie marki własnej), dane za rok 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C0E6" w14:textId="77777777" w:rsidR="00B80ECC" w:rsidRDefault="004E7FA2" w:rsidP="00B80ECC">
    <w:pPr>
      <w:pStyle w:val="Nagwek"/>
    </w:pPr>
    <w:r>
      <w:rPr>
        <w:noProof/>
      </w:rPr>
      <w:pict w14:anchorId="2503F4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26597" o:spid="_x0000_s2050" type="#_x0000_t75" style="position:absolute;margin-left:0;margin-top:0;width:595.4pt;height:841.9pt;z-index:-251656192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3733" w14:textId="77777777" w:rsidR="00725ED4" w:rsidRDefault="004E7FA2" w:rsidP="00B80ECC">
    <w:pPr>
      <w:pStyle w:val="Nagwek"/>
    </w:pPr>
    <w:r>
      <w:rPr>
        <w:noProof/>
      </w:rPr>
      <w:pict w14:anchorId="23C4E9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26598" o:spid="_x0000_s2051" type="#_x0000_t75" style="position:absolute;margin-left:-52.95pt;margin-top:-109.9pt;width:595.4pt;height:841.9pt;z-index:-251655168;mso-wrap-edited:f;mso-position-horizontal-relative:margin;mso-position-vertical-relative:margin" o:allowincell="f">
          <v:imagedata r:id="rId1" o:title=""/>
          <w10:wrap anchorx="margin" anchory="margin"/>
        </v:shape>
      </w:pict>
    </w:r>
  </w:p>
  <w:p w14:paraId="4C369E88" w14:textId="77777777" w:rsidR="00B80ECC" w:rsidRDefault="004E7FA2" w:rsidP="00B80ECC">
    <w:pPr>
      <w:pStyle w:val="Nagwek"/>
    </w:pPr>
  </w:p>
  <w:p w14:paraId="666C9CBF" w14:textId="77777777" w:rsidR="00B80ECC" w:rsidRDefault="004E7FA2" w:rsidP="00B80ECC">
    <w:pPr>
      <w:pStyle w:val="Nagwek"/>
    </w:pPr>
  </w:p>
  <w:p w14:paraId="6FC64751" w14:textId="77777777" w:rsidR="00B80ECC" w:rsidRDefault="004E7FA2" w:rsidP="00B80ECC">
    <w:pPr>
      <w:pStyle w:val="Nagwek"/>
    </w:pPr>
  </w:p>
  <w:p w14:paraId="24AAD8E7" w14:textId="77777777" w:rsidR="00B80ECC" w:rsidRDefault="004E7FA2" w:rsidP="00B80ECC">
    <w:pPr>
      <w:pStyle w:val="Nagwek"/>
    </w:pPr>
  </w:p>
  <w:p w14:paraId="494FCDBD" w14:textId="77777777" w:rsidR="00B80ECC" w:rsidRDefault="004E7FA2" w:rsidP="00B80ECC">
    <w:pPr>
      <w:pStyle w:val="Nagwek"/>
    </w:pPr>
  </w:p>
  <w:p w14:paraId="1594B1DE" w14:textId="77777777" w:rsidR="00B80ECC" w:rsidRPr="00725ED4" w:rsidRDefault="004E7FA2" w:rsidP="00B80E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EE9E" w14:textId="77777777" w:rsidR="00B80ECC" w:rsidRDefault="004E7FA2" w:rsidP="00B80ECC">
    <w:pPr>
      <w:pStyle w:val="Nagwek"/>
    </w:pPr>
    <w:r>
      <w:rPr>
        <w:noProof/>
      </w:rPr>
      <w:pict w14:anchorId="54517A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26596" o:spid="_x0000_s2049" type="#_x0000_t75" style="position:absolute;margin-left:0;margin-top:0;width:595.4pt;height:841.9pt;z-index:-251657216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40"/>
    <w:rsid w:val="00000DC1"/>
    <w:rsid w:val="00006336"/>
    <w:rsid w:val="0001222C"/>
    <w:rsid w:val="0002367A"/>
    <w:rsid w:val="00041D00"/>
    <w:rsid w:val="000456B3"/>
    <w:rsid w:val="000746BC"/>
    <w:rsid w:val="00084FFE"/>
    <w:rsid w:val="000A799D"/>
    <w:rsid w:val="000A7A97"/>
    <w:rsid w:val="000C5928"/>
    <w:rsid w:val="000D2017"/>
    <w:rsid w:val="000D3891"/>
    <w:rsid w:val="00105E3C"/>
    <w:rsid w:val="00165613"/>
    <w:rsid w:val="00173659"/>
    <w:rsid w:val="00195949"/>
    <w:rsid w:val="001A55F9"/>
    <w:rsid w:val="001B5210"/>
    <w:rsid w:val="001C2296"/>
    <w:rsid w:val="00215277"/>
    <w:rsid w:val="00296565"/>
    <w:rsid w:val="002B1A73"/>
    <w:rsid w:val="002B7BFC"/>
    <w:rsid w:val="002D4D84"/>
    <w:rsid w:val="002D505A"/>
    <w:rsid w:val="002F6047"/>
    <w:rsid w:val="00301DBE"/>
    <w:rsid w:val="0030291D"/>
    <w:rsid w:val="00332E47"/>
    <w:rsid w:val="00355A71"/>
    <w:rsid w:val="00356414"/>
    <w:rsid w:val="003B0A79"/>
    <w:rsid w:val="003B19CC"/>
    <w:rsid w:val="003D77D6"/>
    <w:rsid w:val="003E2177"/>
    <w:rsid w:val="003F159A"/>
    <w:rsid w:val="003F7596"/>
    <w:rsid w:val="004101BF"/>
    <w:rsid w:val="0041452D"/>
    <w:rsid w:val="00416CAB"/>
    <w:rsid w:val="0042262F"/>
    <w:rsid w:val="004272EB"/>
    <w:rsid w:val="004701A3"/>
    <w:rsid w:val="0047163F"/>
    <w:rsid w:val="00495E9F"/>
    <w:rsid w:val="004E0765"/>
    <w:rsid w:val="004E7FA2"/>
    <w:rsid w:val="004F7A80"/>
    <w:rsid w:val="00501966"/>
    <w:rsid w:val="00502A8E"/>
    <w:rsid w:val="0053156A"/>
    <w:rsid w:val="00554692"/>
    <w:rsid w:val="00567F7C"/>
    <w:rsid w:val="0057057A"/>
    <w:rsid w:val="0057164B"/>
    <w:rsid w:val="00581C45"/>
    <w:rsid w:val="005A5E01"/>
    <w:rsid w:val="005B595E"/>
    <w:rsid w:val="005D2948"/>
    <w:rsid w:val="005E5DDB"/>
    <w:rsid w:val="006134ED"/>
    <w:rsid w:val="006244AA"/>
    <w:rsid w:val="006337C6"/>
    <w:rsid w:val="00636CAA"/>
    <w:rsid w:val="006411E2"/>
    <w:rsid w:val="0066394F"/>
    <w:rsid w:val="006D4FEA"/>
    <w:rsid w:val="006F293C"/>
    <w:rsid w:val="00766F35"/>
    <w:rsid w:val="00780478"/>
    <w:rsid w:val="00786E00"/>
    <w:rsid w:val="007A3F50"/>
    <w:rsid w:val="007A63F3"/>
    <w:rsid w:val="007A683F"/>
    <w:rsid w:val="007B12B7"/>
    <w:rsid w:val="007C165C"/>
    <w:rsid w:val="007E2D2F"/>
    <w:rsid w:val="007E317E"/>
    <w:rsid w:val="007E6DF6"/>
    <w:rsid w:val="007E7CA3"/>
    <w:rsid w:val="007F2B1A"/>
    <w:rsid w:val="00811F27"/>
    <w:rsid w:val="0083689A"/>
    <w:rsid w:val="00840C2C"/>
    <w:rsid w:val="00860DA5"/>
    <w:rsid w:val="00883629"/>
    <w:rsid w:val="008B6C28"/>
    <w:rsid w:val="008C3145"/>
    <w:rsid w:val="008C6445"/>
    <w:rsid w:val="008D460F"/>
    <w:rsid w:val="008E3334"/>
    <w:rsid w:val="008F1CE6"/>
    <w:rsid w:val="009318D9"/>
    <w:rsid w:val="00942D39"/>
    <w:rsid w:val="00956883"/>
    <w:rsid w:val="00974963"/>
    <w:rsid w:val="00984197"/>
    <w:rsid w:val="00991882"/>
    <w:rsid w:val="009B0F5E"/>
    <w:rsid w:val="009D13A3"/>
    <w:rsid w:val="009E1B0D"/>
    <w:rsid w:val="009F4E0E"/>
    <w:rsid w:val="009F6AF7"/>
    <w:rsid w:val="00A071AE"/>
    <w:rsid w:val="00A168BB"/>
    <w:rsid w:val="00A47DA2"/>
    <w:rsid w:val="00A60D2B"/>
    <w:rsid w:val="00AA3EDC"/>
    <w:rsid w:val="00AC0A9F"/>
    <w:rsid w:val="00B236EB"/>
    <w:rsid w:val="00B2797E"/>
    <w:rsid w:val="00B31C13"/>
    <w:rsid w:val="00B34D9B"/>
    <w:rsid w:val="00B47492"/>
    <w:rsid w:val="00B506BC"/>
    <w:rsid w:val="00B718D6"/>
    <w:rsid w:val="00B73284"/>
    <w:rsid w:val="00B769C6"/>
    <w:rsid w:val="00B914D0"/>
    <w:rsid w:val="00BA2873"/>
    <w:rsid w:val="00BD6B40"/>
    <w:rsid w:val="00BE5E73"/>
    <w:rsid w:val="00C04BD9"/>
    <w:rsid w:val="00C30660"/>
    <w:rsid w:val="00C72222"/>
    <w:rsid w:val="00C85D15"/>
    <w:rsid w:val="00CA1A5E"/>
    <w:rsid w:val="00CC4186"/>
    <w:rsid w:val="00CD0602"/>
    <w:rsid w:val="00CD083A"/>
    <w:rsid w:val="00D01C88"/>
    <w:rsid w:val="00D607A5"/>
    <w:rsid w:val="00D77CEA"/>
    <w:rsid w:val="00D921AE"/>
    <w:rsid w:val="00D94F7C"/>
    <w:rsid w:val="00DA1AE8"/>
    <w:rsid w:val="00DA2ACD"/>
    <w:rsid w:val="00DC0FF0"/>
    <w:rsid w:val="00DC26FB"/>
    <w:rsid w:val="00DD58FA"/>
    <w:rsid w:val="00DE2F43"/>
    <w:rsid w:val="00DF66E5"/>
    <w:rsid w:val="00E130C4"/>
    <w:rsid w:val="00E5116B"/>
    <w:rsid w:val="00E51BE1"/>
    <w:rsid w:val="00E75792"/>
    <w:rsid w:val="00E905A1"/>
    <w:rsid w:val="00EA2674"/>
    <w:rsid w:val="00EB061C"/>
    <w:rsid w:val="00EB085D"/>
    <w:rsid w:val="00ED660A"/>
    <w:rsid w:val="00EF71AB"/>
    <w:rsid w:val="00F430FA"/>
    <w:rsid w:val="00F448E3"/>
    <w:rsid w:val="00F66553"/>
    <w:rsid w:val="00F737F1"/>
    <w:rsid w:val="00FA2782"/>
    <w:rsid w:val="00FB1B7B"/>
    <w:rsid w:val="00FB6E82"/>
    <w:rsid w:val="00FD02F3"/>
    <w:rsid w:val="00FF7B2D"/>
    <w:rsid w:val="465D7004"/>
    <w:rsid w:val="53B42BFD"/>
    <w:rsid w:val="6FC78B62"/>
    <w:rsid w:val="78B7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B9923E"/>
  <w15:chartTrackingRefBased/>
  <w15:docId w15:val="{6672E22F-0F84-4FC5-BA01-209E9DE9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D6B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55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55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D6B40"/>
    <w:rPr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6B40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B40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Stopka">
    <w:name w:val="footer"/>
    <w:basedOn w:val="Normalny"/>
    <w:link w:val="StopkaZnak"/>
    <w:uiPriority w:val="99"/>
    <w:unhideWhenUsed/>
    <w:rsid w:val="00BD6B40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B40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6B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6B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6B4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A55F9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</w:rPr>
  </w:style>
  <w:style w:type="character" w:customStyle="1" w:styleId="Nagwek2Znak">
    <w:name w:val="Nagłówek 2 Znak"/>
    <w:basedOn w:val="Domylnaczcionkaakapitu"/>
    <w:link w:val="Nagwek2"/>
    <w:uiPriority w:val="9"/>
    <w:rsid w:val="001A55F9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7B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B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7BFC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7B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7BFC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4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445"/>
    <w:rPr>
      <w:rFonts w:ascii="Segoe UI" w:eastAsia="Arial Unicode MS" w:hAnsi="Segoe UI" w:cs="Segoe UI"/>
      <w:sz w:val="18"/>
      <w:szCs w:val="18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C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CAB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CAB"/>
    <w:rPr>
      <w:vertAlign w:val="superscript"/>
    </w:rPr>
  </w:style>
  <w:style w:type="paragraph" w:styleId="Poprawka">
    <w:name w:val="Revision"/>
    <w:hidden/>
    <w:uiPriority w:val="99"/>
    <w:semiHidden/>
    <w:rsid w:val="006D4FE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rmalnyWeb">
    <w:name w:val="Normal (Web)"/>
    <w:basedOn w:val="Normalny"/>
    <w:uiPriority w:val="99"/>
    <w:semiHidden/>
    <w:unhideWhenUsed/>
    <w:rsid w:val="007C16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4FF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01C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grupaeurocash.pl/przedsiebiorca/sila-zakupowa/ranking-rowni-w-biznesi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529cef-37cb-4337-bd37-3a0b560e385b">
      <Terms xmlns="http://schemas.microsoft.com/office/infopath/2007/PartnerControls"/>
    </lcf76f155ced4ddcb4097134ff3c332f>
    <TaxCatchAll xmlns="ed690a04-c28e-4bda-bbc1-d5380dd701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990502723F0441BBAC4E228CB24E23" ma:contentTypeVersion="15" ma:contentTypeDescription="Utwórz nowy dokument." ma:contentTypeScope="" ma:versionID="966f403a7e9adc66c10ff29cb5f8d290">
  <xsd:schema xmlns:xsd="http://www.w3.org/2001/XMLSchema" xmlns:xs="http://www.w3.org/2001/XMLSchema" xmlns:p="http://schemas.microsoft.com/office/2006/metadata/properties" xmlns:ns2="47529cef-37cb-4337-bd37-3a0b560e385b" xmlns:ns3="ed690a04-c28e-4bda-bbc1-d5380dd70147" targetNamespace="http://schemas.microsoft.com/office/2006/metadata/properties" ma:root="true" ma:fieldsID="6dc8c436affbd95b12583f179747a8b8" ns2:_="" ns3:_="">
    <xsd:import namespace="47529cef-37cb-4337-bd37-3a0b560e385b"/>
    <xsd:import namespace="ed690a04-c28e-4bda-bbc1-d5380dd70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29cef-37cb-4337-bd37-3a0b560e3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cd42811-8ae3-4c72-bc2f-44d769012d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90a04-c28e-4bda-bbc1-d5380dd70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d158b49-9bfc-473e-bc40-d1de62a9a792}" ma:internalName="TaxCatchAll" ma:showField="CatchAllData" ma:web="ed690a04-c28e-4bda-bbc1-d5380dd701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D6B80-0E69-46AE-A0FC-8DA29049CE44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47529cef-37cb-4337-bd37-3a0b560e385b"/>
    <ds:schemaRef ds:uri="http://purl.org/dc/dcmitype/"/>
    <ds:schemaRef ds:uri="http://schemas.microsoft.com/office/infopath/2007/PartnerControls"/>
    <ds:schemaRef ds:uri="ed690a04-c28e-4bda-bbc1-d5380dd7014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9F8A6D-0850-41B1-98A4-DCBE96F69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40C47-26B0-447F-8D38-0887873A8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29cef-37cb-4337-bd37-3a0b560e385b"/>
    <ds:schemaRef ds:uri="ed690a04-c28e-4bda-bbc1-d5380dd70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BFDD87-7D17-4170-ADCB-B14106CD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Dalkowska</dc:creator>
  <cp:keywords/>
  <dc:description/>
  <cp:lastModifiedBy>Karolina Niedziolka</cp:lastModifiedBy>
  <cp:revision>3</cp:revision>
  <dcterms:created xsi:type="dcterms:W3CDTF">2022-11-22T12:02:00Z</dcterms:created>
  <dcterms:modified xsi:type="dcterms:W3CDTF">2022-11-23T09:35:00Z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0x010100DA990502723F0441BBAC4E228CB24E23</vt:lpwstr>
  </property>
  <property fmtid="{D5CDD505-2E9C-101B-9397-08002B2CF9AE}" pid="3" name="MediaServiceImageTags">
    <vt:lpwstr/>
  </property>
</Properties>
</file>