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Gender gap wśród polskich freelancerów [raport Useme]</w:t>
      </w:r>
    </w:p>
    <w:p w:rsidR="00000000" w:rsidDel="00000000" w:rsidP="00000000" w:rsidRDefault="00000000" w:rsidRPr="00000000" w14:paraId="00000002">
      <w:pPr>
        <w:spacing w:after="0"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Według raportu World Economic Forum „Global Gender Gap Report 2022” Polska jest na 77. miejscu na 146 państw pod względem dostępu kobiet i mężczyzn do różnego rodzaju zasobów i możliwości. Z kolei jeśli chodzi o równość wynagrodzeń otrzymywanych za tę samą pracę, plasuje się dopiero na 119. miejscu. Gender gap to zjawisko powszechne nie tylko na rynku pracy, ale również wśród freelancerów i freelancerek. </w:t>
      </w:r>
    </w:p>
    <w:p w:rsidR="00000000" w:rsidDel="00000000" w:rsidP="00000000" w:rsidRDefault="00000000" w:rsidRPr="00000000" w14:paraId="00000004">
      <w:pPr>
        <w:spacing w:after="0" w:line="276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 Polsce jest już ponad 303 tys. wolnych strzelców, co oznacza wzrost o 11,4 proc. w stosunku do ubiegłego roku. Freelancing jako sposób zarobku jest coraz częściej wybierany przez osoby chcące zapewnić sobie większą niezależność finansową. Jednak jak wynika z badania przeprowadzonego na ponad tysiącu specjalistów, miesięczne zarobki wolnych strzelców zależą przede wszystkim od tego, jak traktują oni tę formę pracy, a także tego, w jakiej branży realizują zlecenia. </w:t>
      </w:r>
    </w:p>
    <w:p w:rsidR="00000000" w:rsidDel="00000000" w:rsidP="00000000" w:rsidRDefault="00000000" w:rsidRPr="00000000" w14:paraId="00000006">
      <w:pPr>
        <w:spacing w:after="0"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76" w:lineRule="auto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–</w:t>
      </w:r>
      <w:r w:rsidDel="00000000" w:rsidR="00000000" w:rsidRPr="00000000">
        <w:rPr>
          <w:i w:val="1"/>
          <w:sz w:val="22"/>
          <w:szCs w:val="22"/>
          <w:rtl w:val="0"/>
        </w:rPr>
        <w:t xml:space="preserve"> Freelancing w Polsce jest popularny wśród obu płci. Podział ten utrzymuje się konsekwentnie od kilku lat, co wskazuje na jednakową popularność pracy zdalnej wśród kobiet (51,4 proc.) i mężczyzn (48,6 proc.). Co ciekawe średni udział freelancerek na świecie to zaledwie 29 proc.</w:t>
      </w:r>
      <w:r w:rsidDel="00000000" w:rsidR="00000000" w:rsidRPr="00000000">
        <w:rPr>
          <w:i w:val="1"/>
          <w:sz w:val="22"/>
          <w:szCs w:val="22"/>
          <w:vertAlign w:val="superscript"/>
        </w:rPr>
        <w:footnoteReference w:customMarkFollows="0" w:id="0"/>
      </w:r>
      <w:r w:rsidDel="00000000" w:rsidR="00000000" w:rsidRPr="00000000">
        <w:rPr>
          <w:i w:val="1"/>
          <w:sz w:val="22"/>
          <w:szCs w:val="22"/>
          <w:rtl w:val="0"/>
        </w:rPr>
        <w:t xml:space="preserve">.</w:t>
      </w:r>
      <w:r w:rsidDel="00000000" w:rsidR="00000000" w:rsidRPr="00000000">
        <w:rPr>
          <w:sz w:val="22"/>
          <w:szCs w:val="22"/>
          <w:rtl w:val="0"/>
        </w:rPr>
        <w:t xml:space="preserve"> - </w:t>
      </w:r>
      <w:r w:rsidDel="00000000" w:rsidR="00000000" w:rsidRPr="00000000">
        <w:rPr>
          <w:b w:val="1"/>
          <w:sz w:val="22"/>
          <w:szCs w:val="22"/>
          <w:rtl w:val="0"/>
        </w:rPr>
        <w:t xml:space="preserve">komentuje Przemysław Głośny, CEO Useme</w:t>
      </w:r>
      <w:r w:rsidDel="00000000" w:rsidR="00000000" w:rsidRPr="00000000">
        <w:rPr>
          <w:sz w:val="22"/>
          <w:szCs w:val="22"/>
          <w:rtl w:val="0"/>
        </w:rPr>
        <w:t xml:space="preserve">. – </w:t>
      </w:r>
      <w:r w:rsidDel="00000000" w:rsidR="00000000" w:rsidRPr="00000000">
        <w:rPr>
          <w:i w:val="1"/>
          <w:sz w:val="22"/>
          <w:szCs w:val="22"/>
          <w:rtl w:val="0"/>
        </w:rPr>
        <w:t xml:space="preserve">Chcieliśmy pogłębić to zagadnienie, dlatego przeprowadziliśmy badanie wśród polskich freelancerów. Jego wnioski zostały zebrane w raporcie "Freelancing w Polsce 2022", w którym przedstawione są m.in. różnice w średnich dochodach osiąganych przez wykonawców i wykonawczynie w najpopularniejszych branżach pracy zdalnej w Polsce</w:t>
      </w:r>
      <w:r w:rsidDel="00000000" w:rsidR="00000000" w:rsidRPr="00000000">
        <w:rPr>
          <w:sz w:val="22"/>
          <w:szCs w:val="22"/>
          <w:rtl w:val="0"/>
        </w:rPr>
        <w:t xml:space="preserve"> – </w:t>
      </w:r>
      <w:r w:rsidDel="00000000" w:rsidR="00000000" w:rsidRPr="00000000">
        <w:rPr>
          <w:b w:val="1"/>
          <w:sz w:val="22"/>
          <w:szCs w:val="22"/>
          <w:rtl w:val="0"/>
        </w:rPr>
        <w:t xml:space="preserve">dodaje.</w:t>
      </w:r>
    </w:p>
    <w:p w:rsidR="00000000" w:rsidDel="00000000" w:rsidP="00000000" w:rsidRDefault="00000000" w:rsidRPr="00000000" w14:paraId="00000008">
      <w:pPr>
        <w:spacing w:after="0"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Freelancerzy i freelancerki – staż i czas pracy</w:t>
      </w:r>
    </w:p>
    <w:p w:rsidR="00000000" w:rsidDel="00000000" w:rsidP="00000000" w:rsidRDefault="00000000" w:rsidRPr="00000000" w14:paraId="0000000A">
      <w:pPr>
        <w:spacing w:after="0"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Wśród wolnych strzelców ze stażem poniżej jednego roku nieznacznie dominują kobiety (26 proc. w porównaniu do 18 proc. mężczyzn w analogicznej grupie), natomiast ta tendencja odwraca się, jeżeli mówimy o freelancerach ze stażem powyżej 10 lat (21 proc. mężczyzn do 7 proc. kobiet). W pozostałych grupach dot. długości stażu pracy wartości są do siebie zbliżone.</w:t>
      </w:r>
    </w:p>
    <w:p w:rsidR="00000000" w:rsidDel="00000000" w:rsidP="00000000" w:rsidRDefault="00000000" w:rsidRPr="00000000" w14:paraId="0000000B">
      <w:pPr>
        <w:spacing w:after="0"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Podobieństwa możemy zaobserwować również w kontekście ilości czasu, jaką specjaliści i specjalistki poświęcają w ciągu dnia na pracę zdalną. Różnice możemy zaobserwować tylko w przedziale najbardziej zapracowanych, czyli osób, które poświęcają na freelancing więcej, niż wymaga praca na etacie, ale mniej niż 10 godzin dziennie. W tej grupie wyraźnie dominują mężczyźni – 18 proc. ankietowanych w porównaniu do 8 proc. biorących udział w badaniu kobiet. </w:t>
      </w:r>
    </w:p>
    <w:p w:rsidR="00000000" w:rsidDel="00000000" w:rsidP="00000000" w:rsidRDefault="00000000" w:rsidRPr="00000000" w14:paraId="0000000C">
      <w:pPr>
        <w:spacing w:after="0"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Freelancerzy i freelancerki - dla kogo pracują? </w:t>
      </w:r>
    </w:p>
    <w:p w:rsidR="00000000" w:rsidDel="00000000" w:rsidP="00000000" w:rsidRDefault="00000000" w:rsidRPr="00000000" w14:paraId="0000000E">
      <w:pPr>
        <w:spacing w:after="0"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Z tegorocznego badania ponad tysiąca specjalistów wynika, że z usług wolnych strzelców korzystają przede wszystkim jednoosobowe działalności gospodarcze i firmy zatrudniające do 10 pracowników – 42,6 proc. oraz małe i średnie przedsiębiorstwa — 35,8 proc. W tym aspekcie różnice w podziale na płcie pozostają niewielkie. </w:t>
      </w:r>
    </w:p>
    <w:p w:rsidR="00000000" w:rsidDel="00000000" w:rsidP="00000000" w:rsidRDefault="00000000" w:rsidRPr="00000000" w14:paraId="0000000F">
      <w:pPr>
        <w:spacing w:after="0"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Wśród wolnych strzelców, którzy najczęściej współpracują z polskimi firmami dominują kobiety (68 proc. w porównaniu do 54 proc. mężczyzn), jednak ta różnica może wynikać również ze specyfiki branż, w których najczęściej pracują specjaliści.</w:t>
      </w:r>
    </w:p>
    <w:p w:rsidR="00000000" w:rsidDel="00000000" w:rsidP="00000000" w:rsidRDefault="00000000" w:rsidRPr="00000000" w14:paraId="00000010">
      <w:pPr>
        <w:spacing w:after="0"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Wśród freelancerek największą popularnością cieszy się copywriting (41 proc. ankietowanych), natomiast wśród mężczyzn najpopularniejsze są usługi IT (15 proc.), a także projektowanie stron www i e-sklepów (16 proc.). Jak wynika z poprzednich części raportu Useme “Freelancing w Polsce 2022”, wspomniane powyżej branże wykazują skrajne wartości, jeśli chodzi o pracę dla klientów spoza Polski. Aż 74 proc. ankietowanych zajmujących się copywritingiem nie realizowało zleceń z zagranicy, podczas gdy wśród programistów oraz wolnych strzelców świadczących usługi webdeveloperskie (dotyczące stron i sklepów online) brak współpracy z klientami spoza Polski zadeklarowało kolejno 48 proc. i 65 proc. badanych.</w:t>
      </w:r>
    </w:p>
    <w:p w:rsidR="00000000" w:rsidDel="00000000" w:rsidP="00000000" w:rsidRDefault="00000000" w:rsidRPr="00000000" w14:paraId="00000012">
      <w:pPr>
        <w:spacing w:after="0"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Freelancerzy i freelancerki - wykształcenie i praca</w:t>
      </w:r>
    </w:p>
    <w:p w:rsidR="00000000" w:rsidDel="00000000" w:rsidP="00000000" w:rsidRDefault="00000000" w:rsidRPr="00000000" w14:paraId="00000014">
      <w:pPr>
        <w:spacing w:after="0"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Największą liczbę wolnych strzelców z wyższym wykształceniem stanowią kobiety – 80 proc. ankietowanych, z kolei mężczyźni – 59 proc. </w:t>
      </w:r>
    </w:p>
    <w:p w:rsidR="00000000" w:rsidDel="00000000" w:rsidP="00000000" w:rsidRDefault="00000000" w:rsidRPr="00000000" w14:paraId="00000015">
      <w:pPr>
        <w:spacing w:after="0"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Freelancerki i freelancerzy realizują w ciągu miesiąca podobną liczbę zleceń. Mężczyźni nieznacznie dominują w przedziale 1-2 zleceń miesięcznie, z kolei to panie przeważają w grupie powyżej 10 zleceń (14 proc. w porównaniu do 10 proc. mężczyzn). Jednak te liczby mogą wynikać również z faktu, że branżą najczęściej wybieraną przez freelancerki jest copywriting, a aż 22 proc. copywriterów zadeklarowało realizację ponad 10 zleceń w ciągu miesiąca i stanowiło to najwyższy odsetek wśród wszystkich przebadanych profesji.</w:t>
      </w:r>
    </w:p>
    <w:p w:rsidR="00000000" w:rsidDel="00000000" w:rsidP="00000000" w:rsidRDefault="00000000" w:rsidRPr="00000000" w14:paraId="00000016">
      <w:pPr>
        <w:spacing w:after="0"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Gender gap</w:t>
      </w:r>
    </w:p>
    <w:p w:rsidR="00000000" w:rsidDel="00000000" w:rsidP="00000000" w:rsidRDefault="00000000" w:rsidRPr="00000000" w14:paraId="00000018">
      <w:pPr>
        <w:spacing w:after="0"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Z badania Useme wynika, że gender gap nie omija również wolnych strzelców. Wśród ankietowanych 10 proc. mężczyzn zarabia powyżej 10 tys. zł miesięcznie, natomiast jeśli chodzi o kobiety, to taki dochód deklaruje zaledwie 2 proc. z nich. Bez wątpienia na poziom zarobków ma wpływ także branża, w jakiej wolni strzelcy najczęściej wykonują zlecenia. Jak zatem przedstawia się gender gap na poziomie najpopularniejszych wśród freelancerów profesji?</w:t>
      </w:r>
    </w:p>
    <w:p w:rsidR="00000000" w:rsidDel="00000000" w:rsidP="00000000" w:rsidRDefault="00000000" w:rsidRPr="00000000" w14:paraId="00000019">
      <w:pPr>
        <w:spacing w:after="0" w:line="276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Gender gap – copywriting i tłumaczenie</w:t>
      </w:r>
    </w:p>
    <w:p w:rsidR="00000000" w:rsidDel="00000000" w:rsidP="00000000" w:rsidRDefault="00000000" w:rsidRPr="00000000" w14:paraId="0000001B">
      <w:pPr>
        <w:spacing w:after="0"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 dziedzinie najczęściej wybieranej przez freelancerki – copywritingu najmocniej uwidacznia się dominacja kobiet w przedziale zarobków do 3 tysięcy złotych netto na miesiąc. Taki dochód zadeklarowało łącznie 78 proc. kobiet w porównaniu do 45 proc. mężczyzn. </w:t>
      </w:r>
    </w:p>
    <w:p w:rsidR="00000000" w:rsidDel="00000000" w:rsidP="00000000" w:rsidRDefault="00000000" w:rsidRPr="00000000" w14:paraId="0000001C">
      <w:pPr>
        <w:spacing w:after="0"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Wyraźnie kształtuje się też dysproporcja w zarobkach powyżej 10 tysięcy złotych. Tutaj zaledwie 2 proc. kobiet deklaruje taki przychód z nich w porównaniu do 10 proc. mężczyzn. Natomiast jeżeli chodzi o tłumaczenia – kobiety dominują w przedziale średnich zarobków (od 3 i do 5 tys. zł miesięcznie). To także jedyna specjalizacja, w której wolni strzelcy niezależnie od płci jednakowo często zarabiają miesięcznie powyżej 10 tysięcy złotych. </w:t>
      </w:r>
    </w:p>
    <w:p w:rsidR="00000000" w:rsidDel="00000000" w:rsidP="00000000" w:rsidRDefault="00000000" w:rsidRPr="00000000" w14:paraId="0000001D">
      <w:pPr>
        <w:spacing w:after="0"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Gender gap – projektowania graficzne, fotografia, animacja i wideo</w:t>
      </w:r>
    </w:p>
    <w:p w:rsidR="00000000" w:rsidDel="00000000" w:rsidP="00000000" w:rsidRDefault="00000000" w:rsidRPr="00000000" w14:paraId="0000001F">
      <w:pPr>
        <w:spacing w:after="0"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Podobnie jak w tłumaczeniach, w branży graficznej widzimy największe wyrównanie zarobków. Niemal znika tu różnica w przedziale powyżej 3 tysięcy złotych na miesiąc i powyżej 5 tysięcy. Takie dochody uzyskuje odpowiednio 19 proc. i 16 proc. ankietowanych.</w:t>
      </w:r>
    </w:p>
    <w:p w:rsidR="00000000" w:rsidDel="00000000" w:rsidP="00000000" w:rsidRDefault="00000000" w:rsidRPr="00000000" w14:paraId="00000020">
      <w:pPr>
        <w:spacing w:after="0"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Natomiast wśród fotografów, animatorów i specjalistów od obróbki wideo panuje największa różnorodność pod względem zarobków netto. Mimo stosunkowo dużej liczby freelancerek deklarujących dochody do 10 tysięcy złotych – 18 proc. łącznie, jednak w grupie zarabiającej więcej niż 3 tysiące złotych netto na miesiąc dominują mężczyźni - łącznie 36 proc. w porównaniu do 27 proc. kobiet. </w:t>
      </w:r>
    </w:p>
    <w:p w:rsidR="00000000" w:rsidDel="00000000" w:rsidP="00000000" w:rsidRDefault="00000000" w:rsidRPr="00000000" w14:paraId="00000021">
      <w:pPr>
        <w:spacing w:after="0"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Gender gap – programiści i webdeveloperzy</w:t>
      </w:r>
    </w:p>
    <w:p w:rsidR="00000000" w:rsidDel="00000000" w:rsidP="00000000" w:rsidRDefault="00000000" w:rsidRPr="00000000" w14:paraId="00000023">
      <w:pPr>
        <w:spacing w:after="0"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Usługi programistyczne są domeną mężczyzn - jako swoją specjalizację wskazało ją zaledwie 6 proc. kobiet. Nie oznacza to jednak, że freelancerki w IT zarabiają gorzej. Chociaż ponownie to mężczyźni są grupą dominującą, jeśli chodzi o wynagrodzenia powyżej 10 tysięcy złotych, programistki przeważają w przedziałach między 3 a 5 tysięcy złotych dochodu oraz pomiędzy 5 a 10 tysięcy. </w:t>
      </w:r>
    </w:p>
    <w:p w:rsidR="00000000" w:rsidDel="00000000" w:rsidP="00000000" w:rsidRDefault="00000000" w:rsidRPr="00000000" w14:paraId="00000024">
      <w:pPr>
        <w:spacing w:after="0"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Podobnie jak w przypadku usług programistycznych, w dziedzinie tworzenia sklepów online i stron www dominują freelancerzy. Ponownie zaznacza się dysproporcja w wyższych przedziałach wynagrodzeń: powyżej 3 tysięcy miesięcznie zarabia 18 proc. webdeveloperek oraz 42 proc. webdeveloperów. </w:t>
      </w:r>
    </w:p>
    <w:p w:rsidR="00000000" w:rsidDel="00000000" w:rsidP="00000000" w:rsidRDefault="00000000" w:rsidRPr="00000000" w14:paraId="00000025">
      <w:pPr>
        <w:spacing w:after="0"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76" w:lineRule="auto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Gender gap – wirtualna asystentura</w:t>
      </w: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7">
      <w:pPr>
        <w:spacing w:after="0"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Wirtualna asystentura to stanowisko, które wciąż zyskuje na popularności. Ta mocno sfeminizowana branża jest jedyną, w której wyraźnie widoczna jest również finansowa dominacja kobiet. Niskie dochody rozkładają się podobnie między obie płcie, ale dysproporcja uwidacznia się wraz ze wzrostem wynagrodzenia – 10 proc. ankietowanych freelancerek zadeklarowało zarobki od 3 tys. zł do 5 tys. zł, a 3 proc. osiąga dochody powyżej 10 tys. złotych miesięcznie.</w:t>
      </w:r>
    </w:p>
    <w:p w:rsidR="00000000" w:rsidDel="00000000" w:rsidP="00000000" w:rsidRDefault="00000000" w:rsidRPr="00000000" w14:paraId="00000028">
      <w:pPr>
        <w:spacing w:after="0" w:line="276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9">
      <w:pPr>
        <w:spacing w:after="0"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Grupa wolnych strzelców w Polsce jest coraz większa. Są to zarówno osoby, które traktują tę formę pracy jako główny sposób utrzymania, jak i dodatkowe źródło dochodów. Choć freelancing jest tak samo popularny wśród obu płci, to niestety równouprawnienie nie dotyczy zarobków. Największe dysproporcje widoczne są wśród copywriterów oraz webdeveloperów, najmniejsze natomiast w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branży projektowania graficznego i usługach programistycznych.</w:t>
      </w:r>
    </w:p>
    <w:p w:rsidR="00000000" w:rsidDel="00000000" w:rsidP="00000000" w:rsidRDefault="00000000" w:rsidRPr="00000000" w14:paraId="0000002A">
      <w:pPr>
        <w:spacing w:after="0"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76" w:lineRule="auto"/>
        <w:rPr>
          <w:sz w:val="18"/>
          <w:szCs w:val="18"/>
        </w:rPr>
      </w:pPr>
      <w:r w:rsidDel="00000000" w:rsidR="00000000" w:rsidRPr="00000000">
        <w:rPr>
          <w:sz w:val="17"/>
          <w:szCs w:val="17"/>
          <w:highlight w:val="white"/>
          <w:rtl w:val="0"/>
        </w:rPr>
        <w:t xml:space="preserve">Materiał powstał na podstawie raportów “Freelancing w Polsce: zarobki, inflacja i pokolenie Y na rynku pracy” oraz “Raport Useme – branże freelancingu w Polsce” opracowanych przez Useme.com w maju 2022 roku, na próbie 1132 polskich freelancerów. Badanie rynku freelancingu w Polsce realizowane jest corocznie od 2014 roku.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320" w:line="240" w:lineRule="auto"/>
        <w:ind w:left="0" w:right="0" w:firstLine="0"/>
        <w:jc w:val="both"/>
        <w:rPr>
          <w:rFonts w:ascii="Calibri" w:cs="Calibri" w:eastAsia="Calibri" w:hAnsi="Calibri"/>
        </w:rPr>
      </w:pPr>
      <w:bookmarkStart w:colFirst="0" w:colLast="0" w:name="_heading=h.xlbms6fp0ady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16"/>
          <w:szCs w:val="16"/>
        </w:rPr>
      </w:pPr>
      <w:hyperlink r:id="rId8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Useme</w:t>
        </w:r>
      </w:hyperlink>
      <w:r w:rsidDel="00000000" w:rsidR="00000000" w:rsidRPr="00000000">
        <w:rPr>
          <w:sz w:val="16"/>
          <w:szCs w:val="16"/>
          <w:rtl w:val="0"/>
        </w:rPr>
        <w:t xml:space="preserve"> to istniejąca od 2013 roku platforma dla freelancerów oraz zleceniodawców z siedzibą we Wrocławiu. W bazie Useme znajduje się prawie 100 000 freelancerów z takich dziedzin jak IT, grafika, copywriting, marketing, tłumaczenia i inne. Platforma zajmuje się wszystkimi kwestiami prawnymi i podatkowymi po stronie freelancera i zleceniodawcy, a także umożliwia rozliczanie podwykonawców zagranicznych. Obecnie Useme jest liderem rozliczeń pracy zdalnej w Polsce, Europie Centralnej i Wschodniej.</w:t>
      </w:r>
    </w:p>
    <w:p w:rsidR="00000000" w:rsidDel="00000000" w:rsidP="00000000" w:rsidRDefault="00000000" w:rsidRPr="00000000" w14:paraId="0000002F">
      <w:pPr>
        <w:widowControl w:val="0"/>
        <w:spacing w:after="120" w:line="276" w:lineRule="auto"/>
        <w:ind w:firstLine="709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Kontakt dla mediów:</w:t>
      </w:r>
    </w:p>
    <w:p w:rsidR="00000000" w:rsidDel="00000000" w:rsidP="00000000" w:rsidRDefault="00000000" w:rsidRPr="00000000" w14:paraId="00000030">
      <w:pPr>
        <w:widowControl w:val="0"/>
        <w:spacing w:after="120" w:line="240" w:lineRule="auto"/>
        <w:ind w:firstLine="709"/>
        <w:jc w:val="right"/>
        <w:rPr/>
      </w:pPr>
      <w:r w:rsidDel="00000000" w:rsidR="00000000" w:rsidRPr="00000000">
        <w:rPr>
          <w:rtl w:val="0"/>
        </w:rPr>
        <w:t xml:space="preserve">Paulina Bartkowska</w:t>
      </w:r>
    </w:p>
    <w:p w:rsidR="00000000" w:rsidDel="00000000" w:rsidP="00000000" w:rsidRDefault="00000000" w:rsidRPr="00000000" w14:paraId="00000031">
      <w:pPr>
        <w:widowControl w:val="0"/>
        <w:spacing w:after="120" w:line="240" w:lineRule="auto"/>
        <w:ind w:firstLine="709"/>
        <w:jc w:val="right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paulina.bartkowska@goodonepr.pl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after="120" w:line="240" w:lineRule="auto"/>
        <w:ind w:firstLine="709"/>
        <w:jc w:val="right"/>
        <w:rPr/>
      </w:pPr>
      <w:r w:rsidDel="00000000" w:rsidR="00000000" w:rsidRPr="00000000">
        <w:rPr>
          <w:rtl w:val="0"/>
        </w:rPr>
        <w:t xml:space="preserve">+48 796 996 844 </w:t>
      </w:r>
    </w:p>
    <w:p w:rsidR="00000000" w:rsidDel="00000000" w:rsidP="00000000" w:rsidRDefault="00000000" w:rsidRPr="00000000" w14:paraId="00000033">
      <w:pPr>
        <w:rPr>
          <w:i w:val="1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default"/>
      <w:footerReference r:id="rId13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T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rPr/>
    </w:pPr>
    <w:hyperlink r:id="rId1"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5731200" cy="228600"/>
            <wp:effectExtent b="0" l="0" r="0" t="0"/>
            <wp:docPr id="1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4">
      <w:pPr>
        <w:spacing w:after="0" w:line="240" w:lineRule="auto"/>
        <w:jc w:val="left"/>
        <w:rPr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6"/>
          <w:szCs w:val="16"/>
          <w:rtl w:val="0"/>
        </w:rPr>
        <w:t xml:space="preserve">https://blog.payoneer.com/enterprise-hub/payoneer-insights/2022-global-freelancer-income-report-the-ongoing-rise-of-the-freelance-revolution/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jc w:val="left"/>
      <w:rPr/>
    </w:pPr>
    <w:r w:rsidDel="00000000" w:rsidR="00000000" w:rsidRPr="00000000">
      <w:rPr>
        <w:rtl w:val="0"/>
      </w:rPr>
    </w:r>
  </w:p>
  <w:tbl>
    <w:tblPr>
      <w:tblStyle w:val="Table1"/>
      <w:tblW w:w="9252.0" w:type="dxa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4500"/>
      <w:gridCol w:w="4752"/>
      <w:tblGridChange w:id="0">
        <w:tblGrid>
          <w:gridCol w:w="4500"/>
          <w:gridCol w:w="4752"/>
        </w:tblGrid>
      </w:tblGridChange>
    </w:tblGrid>
    <w:tr>
      <w:trPr>
        <w:cantSplit w:val="0"/>
        <w:trHeight w:val="993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36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line="240" w:lineRule="auto"/>
            <w:jc w:val="left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1228725" cy="619125"/>
                <wp:effectExtent b="0" l="0" r="0" t="0"/>
                <wp:docPr id="1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78571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8725" cy="6191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37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line="240" w:lineRule="auto"/>
            <w:jc w:val="right"/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8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line="240" w:lineRule="auto"/>
            <w:jc w:val="right"/>
            <w:rPr/>
          </w:pPr>
          <w:r w:rsidDel="00000000" w:rsidR="00000000" w:rsidRPr="00000000">
            <w:rPr>
              <w:rFonts w:ascii="PT Sans" w:cs="PT Sans" w:eastAsia="PT Sans" w:hAnsi="PT Sans"/>
              <w:i w:val="1"/>
              <w:color w:val="787b93"/>
              <w:sz w:val="18"/>
              <w:szCs w:val="18"/>
              <w:rtl w:val="0"/>
            </w:rPr>
            <w:t xml:space="preserve">13 gru 2022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9">
    <w:pPr>
      <w:jc w:val="lef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rPr/>
    </w:pPr>
    <w:r w:rsidDel="00000000" w:rsidR="00000000" w:rsidRPr="00000000">
      <w:rPr/>
      <w:drawing>
        <wp:inline distB="114300" distT="114300" distL="114300" distR="114300">
          <wp:extent cx="5731200" cy="508000"/>
          <wp:effectExtent b="0" l="0" r="0" t="0"/>
          <wp:docPr id="1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508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lang w:val="pl"/>
      </w:rPr>
    </w:rPrDefault>
    <w:pPrDefault>
      <w:pPr>
        <w:spacing w:after="320"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rFonts w:ascii="PT Sans" w:cs="PT Sans" w:eastAsia="PT Sans" w:hAnsi="PT Sans"/>
      <w:b w:val="1"/>
      <w:color w:val="303458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rFonts w:ascii="PT Sans" w:cs="PT Sans" w:eastAsia="PT Sans" w:hAnsi="PT Sans"/>
      <w:b w:val="1"/>
      <w:color w:val="303458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1"/>
      <w:color w:val="434343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rFonts w:ascii="PT Sans" w:cs="PT Sans" w:eastAsia="PT Sans" w:hAnsi="PT Sans"/>
      <w:b w:val="1"/>
      <w:color w:val="303458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rFonts w:ascii="PT Sans" w:cs="PT Sans" w:eastAsia="PT Sans" w:hAnsi="PT Sans"/>
      <w:b w:val="1"/>
      <w:color w:val="303458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rFonts w:ascii="PT Sans" w:cs="PT Sans" w:eastAsia="PT Sans" w:hAnsi="PT Sans"/>
      <w:b w:val="1"/>
      <w:color w:val="303458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1"/>
      <w:color w:val="434343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rFonts w:ascii="PT Sans" w:cs="PT Sans" w:eastAsia="PT Sans" w:hAnsi="PT Sans"/>
      <w:b w:val="1"/>
      <w:color w:val="303458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rFonts w:ascii="PT Sans" w:cs="PT Sans" w:eastAsia="PT Sans" w:hAnsi="PT Sans"/>
      <w:b w:val="1"/>
      <w:color w:val="303458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rFonts w:ascii="PT Sans" w:cs="PT Sans" w:eastAsia="PT Sans" w:hAnsi="PT Sans"/>
      <w:b w:val="1"/>
      <w:color w:val="303458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1"/>
      <w:color w:val="434343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rFonts w:ascii="PT Sans" w:cs="PT Sans" w:eastAsia="PT Sans" w:hAnsi="PT Sans"/>
      <w:b w:val="1"/>
      <w:color w:val="303458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rFonts w:ascii="PT Sans" w:cs="PT Sans" w:eastAsia="PT Sans" w:hAnsi="PT Sans"/>
      <w:b w:val="1"/>
      <w:color w:val="303458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rFonts w:ascii="PT Sans" w:cs="PT Sans" w:eastAsia="PT Sans" w:hAnsi="PT Sans"/>
      <w:b w:val="1"/>
      <w:color w:val="303458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1"/>
      <w:color w:val="434343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rFonts w:ascii="PT Sans" w:cs="PT Sans" w:eastAsia="PT Sans" w:hAnsi="PT Sans"/>
      <w:b w:val="1"/>
      <w:color w:val="303458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rFonts w:ascii="PT Sans" w:cs="PT Sans" w:eastAsia="PT Sans" w:hAnsi="PT Sans"/>
      <w:b w:val="1"/>
      <w:color w:val="303458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rFonts w:ascii="PT Sans" w:cs="PT Sans" w:eastAsia="PT Sans" w:hAnsi="PT Sans"/>
      <w:b w:val="1"/>
      <w:color w:val="303458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1"/>
      <w:color w:val="434343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rFonts w:ascii="PT Sans" w:cs="PT Sans" w:eastAsia="PT Sans" w:hAnsi="PT Sans"/>
      <w:b w:val="1"/>
      <w:color w:val="303458"/>
      <w:sz w:val="52"/>
      <w:szCs w:val="52"/>
    </w:rPr>
  </w:style>
  <w:style w:type="paragraph" w:styleId="Normalny" w:default="1">
    <w:name w:val="Normal"/>
  </w:style>
  <w:style w:type="paragraph" w:styleId="Nagwek1">
    <w:name w:val="heading 1"/>
    <w:basedOn w:val="Normalny"/>
    <w:next w:val="Normalny"/>
    <w:pPr>
      <w:keepNext w:val="1"/>
      <w:keepLines w:val="1"/>
      <w:spacing w:after="120" w:before="400"/>
      <w:outlineLvl w:val="0"/>
    </w:pPr>
    <w:rPr>
      <w:rFonts w:ascii="PT Sans" w:cs="PT Sans" w:eastAsia="PT Sans" w:hAnsi="PT Sans"/>
      <w:b w:val="1"/>
      <w:color w:val="303458"/>
      <w:sz w:val="28"/>
      <w:szCs w:val="28"/>
    </w:rPr>
  </w:style>
  <w:style w:type="paragraph" w:styleId="Nagwek2">
    <w:name w:val="heading 2"/>
    <w:basedOn w:val="Normalny"/>
    <w:next w:val="Normalny"/>
    <w:pPr>
      <w:keepNext w:val="1"/>
      <w:keepLines w:val="1"/>
      <w:spacing w:after="120" w:before="360"/>
      <w:outlineLvl w:val="1"/>
    </w:pPr>
    <w:rPr>
      <w:rFonts w:ascii="PT Sans" w:cs="PT Sans" w:eastAsia="PT Sans" w:hAnsi="PT Sans"/>
      <w:b w:val="1"/>
      <w:color w:val="303458"/>
      <w:sz w:val="24"/>
      <w:szCs w:val="24"/>
    </w:rPr>
  </w:style>
  <w:style w:type="paragraph" w:styleId="Nagwek3">
    <w:name w:val="heading 3"/>
    <w:basedOn w:val="Normalny"/>
    <w:next w:val="Normalny"/>
    <w:pPr>
      <w:keepNext w:val="1"/>
      <w:keepLines w:val="1"/>
      <w:spacing w:after="80" w:before="320"/>
      <w:outlineLvl w:val="2"/>
    </w:pPr>
    <w:rPr>
      <w:b w:val="1"/>
      <w:color w:val="434343"/>
    </w:rPr>
  </w:style>
  <w:style w:type="paragraph" w:styleId="Nagwek4">
    <w:name w:val="heading 4"/>
    <w:basedOn w:val="Normalny"/>
    <w:next w:val="Normalny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 w:val="1"/>
      <w:keepLines w:val="1"/>
      <w:spacing w:after="80" w:before="240"/>
      <w:outlineLvl w:val="4"/>
    </w:pPr>
    <w:rPr>
      <w:color w:val="666666"/>
      <w:sz w:val="22"/>
      <w:szCs w:val="22"/>
    </w:rPr>
  </w:style>
  <w:style w:type="paragraph" w:styleId="Nagwek6">
    <w:name w:val="heading 6"/>
    <w:basedOn w:val="Normalny"/>
    <w:next w:val="Normalny"/>
    <w:pPr>
      <w:keepNext w:val="1"/>
      <w:keepLines w:val="1"/>
      <w:spacing w:after="80" w:before="240"/>
      <w:outlineLvl w:val="5"/>
    </w:pPr>
    <w:rPr>
      <w:i w:val="1"/>
      <w:color w:val="666666"/>
      <w:sz w:val="22"/>
      <w:szCs w:val="22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pPr>
      <w:keepNext w:val="1"/>
      <w:keepLines w:val="1"/>
      <w:spacing w:after="60"/>
    </w:pPr>
    <w:rPr>
      <w:rFonts w:ascii="PT Sans" w:cs="PT Sans" w:eastAsia="PT Sans" w:hAnsi="PT Sans"/>
      <w:b w:val="1"/>
      <w:color w:val="303458"/>
      <w:sz w:val="52"/>
      <w:szCs w:val="52"/>
    </w:rPr>
  </w:style>
  <w:style w:type="paragraph" w:styleId="Podtytu">
    <w:name w:val="Subtitle"/>
    <w:basedOn w:val="Normalny"/>
    <w:next w:val="Normalny"/>
    <w:pPr>
      <w:keepNext w:val="1"/>
      <w:keepLines w:val="1"/>
    </w:pPr>
    <w:rPr>
      <w:rFonts w:ascii="Arial" w:cs="Arial" w:eastAsia="Arial" w:hAnsi="Arial"/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381A1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381A1D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360" w:lineRule="auto"/>
      <w:ind w:left="0" w:right="0" w:firstLine="0"/>
      <w:jc w:val="both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360" w:lineRule="auto"/>
      <w:ind w:left="0" w:right="0" w:firstLine="0"/>
      <w:jc w:val="both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360" w:lineRule="auto"/>
      <w:ind w:left="0" w:right="0" w:firstLine="0"/>
      <w:jc w:val="both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360" w:lineRule="auto"/>
      <w:ind w:left="0" w:right="0" w:firstLine="0"/>
      <w:jc w:val="both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paulina.bartkowska@goodonepr.pl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https://useme.com/pl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5" Type="http://schemas.openxmlformats.org/officeDocument/2006/relationships/font" Target="fonts/PTSans-regular.ttf"/><Relationship Id="rId6" Type="http://schemas.openxmlformats.org/officeDocument/2006/relationships/font" Target="fonts/PTSans-bold.ttf"/><Relationship Id="rId7" Type="http://schemas.openxmlformats.org/officeDocument/2006/relationships/font" Target="fonts/PTSans-italic.ttf"/><Relationship Id="rId8" Type="http://schemas.openxmlformats.org/officeDocument/2006/relationships/font" Target="fonts/PTSans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useme.com" TargetMode="External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5D4Ke2SpDnYaloMOBMn9Vmn2jw==">AMUW2mX4+nQndMb761d0jm9kNn7qGXdtVJzhuKxOoymqyVIHglvqisv3zSK/c0ONfP6Sd7Wy+BJDnW3SrIUPJqcNtwTmfhOYQoYwQ0/wOBbFKz1WBY0twoDSey8VZUQqyob1RrGdDto3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2022-06-02T06:55:00Z</dcterms:created>
</cp:coreProperties>
</file>