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509" w14:textId="77777777" w:rsidR="003E0BC4" w:rsidRPr="003E0BC4" w:rsidRDefault="003E0BC4" w:rsidP="002E4EF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bookmarkStart w:id="0" w:name="_Hlk103858513"/>
    </w:p>
    <w:p w14:paraId="5F3E1E55" w14:textId="7D9FB31D" w:rsidR="002C6210" w:rsidRDefault="002C6210" w:rsidP="00880CF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  <w:lang w:val="pl-PL"/>
        </w:rPr>
      </w:pPr>
    </w:p>
    <w:p w14:paraId="5830F0B6" w14:textId="3EF16CE7" w:rsidR="00A12ACF" w:rsidRPr="00266CDE" w:rsidRDefault="003F1B70" w:rsidP="00266CDE">
      <w:pPr>
        <w:pStyle w:val="Tytu"/>
        <w:jc w:val="center"/>
        <w:rPr>
          <w:b/>
          <w:bCs/>
          <w:sz w:val="24"/>
          <w:szCs w:val="24"/>
          <w:lang w:val="pl-PL"/>
        </w:rPr>
      </w:pPr>
      <w:proofErr w:type="spellStart"/>
      <w:r>
        <w:rPr>
          <w:rFonts w:ascii="Styrene A" w:hAnsi="Styrene A" w:cs="Arial"/>
          <w:b/>
          <w:bCs/>
          <w:color w:val="000000" w:themeColor="text1"/>
          <w:sz w:val="24"/>
          <w:szCs w:val="24"/>
          <w:shd w:val="clear" w:color="auto" w:fill="FFFFFF"/>
          <w:lang w:val="pl-PL"/>
        </w:rPr>
        <w:t>CTPark</w:t>
      </w:r>
      <w:proofErr w:type="spellEnd"/>
      <w:r>
        <w:rPr>
          <w:rFonts w:ascii="Styrene A" w:hAnsi="Styrene A" w:cs="Arial"/>
          <w:b/>
          <w:bCs/>
          <w:color w:val="000000" w:themeColor="text1"/>
          <w:sz w:val="24"/>
          <w:szCs w:val="24"/>
          <w:shd w:val="clear" w:color="auto" w:fill="FFFFFF"/>
          <w:lang w:val="pl-PL"/>
        </w:rPr>
        <w:t xml:space="preserve"> Sulechów prawie gotowy </w:t>
      </w:r>
    </w:p>
    <w:p w14:paraId="239DE95A" w14:textId="77777777" w:rsidR="00DC3664" w:rsidRPr="00897764" w:rsidRDefault="00DC3664" w:rsidP="00545D70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B62BCEA" w14:textId="6544F054" w:rsidR="003F1B70" w:rsidRPr="002E0A14" w:rsidRDefault="00DC3664" w:rsidP="0093646C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2E0A14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Warszawa, </w:t>
      </w:r>
      <w:r w:rsidR="00793602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26 stycznia</w:t>
      </w:r>
      <w:r w:rsidRPr="002E0A14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202</w:t>
      </w:r>
      <w:r w:rsidR="000F3B52" w:rsidRPr="002E0A14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3</w:t>
      </w:r>
      <w:r w:rsidR="004B5B13" w:rsidRPr="002E0A14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r</w:t>
      </w:r>
      <w:r w:rsidR="00E845E5" w:rsidRPr="002E0A14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oku</w:t>
      </w:r>
      <w:r w:rsidRPr="002E0A14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–</w:t>
      </w:r>
      <w:r w:rsidRPr="002E0A14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D97F1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Deweloper </w:t>
      </w:r>
      <w:r w:rsidR="0077328E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i </w:t>
      </w:r>
      <w:r w:rsidR="003F1B7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inwestor</w:t>
      </w:r>
      <w:r w:rsidR="00E43C5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D97F1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CTP</w:t>
      </w:r>
      <w:r w:rsidR="003F1B7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wchodzi w decydującą fazę realizacji</w:t>
      </w:r>
      <w:r w:rsidR="00974B1F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pierwszego etapu</w:t>
      </w:r>
      <w:r w:rsidR="003F1B7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3F1B7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CTPark</w:t>
      </w:r>
      <w:proofErr w:type="spellEnd"/>
      <w:r w:rsidR="003F1B7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Sulechów – inwestycji umożliwiającej prowadzenie</w:t>
      </w:r>
      <w:r w:rsidR="00974B1F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szerokiego zakresu</w:t>
      </w:r>
      <w:r w:rsidR="003F1B7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operacji </w:t>
      </w:r>
      <w:proofErr w:type="spellStart"/>
      <w:r w:rsidR="003F1B7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magazynowo-produkcyjnych</w:t>
      </w:r>
      <w:proofErr w:type="spellEnd"/>
      <w:r w:rsidR="003F1B7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974B1F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Nowy obiekt</w:t>
      </w:r>
      <w:r w:rsidR="004D321A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, zlokalizowany w województwie lubuskim, </w:t>
      </w:r>
      <w:r w:rsidR="00974B1F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dostarczy na rynek</w:t>
      </w:r>
      <w:r w:rsidR="00D063D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F203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w pierwsz</w:t>
      </w:r>
      <w:r w:rsidR="000C57E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ej fazie </w:t>
      </w:r>
      <w:r w:rsidR="00974B1F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ponad 81 000 mkw. przestrzeni najmu. </w:t>
      </w:r>
    </w:p>
    <w:p w14:paraId="12BD8739" w14:textId="4D7EE364" w:rsidR="00B3750B" w:rsidRPr="00B3750B" w:rsidRDefault="00974B1F" w:rsidP="0093646C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„W drugim kwartale tego roku oddamy pierwszy z dwóch budynków </w:t>
      </w:r>
      <w:proofErr w:type="spellStart"/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CTPark</w:t>
      </w:r>
      <w:proofErr w:type="spellEnd"/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Sulechów</w:t>
      </w:r>
      <w:r w:rsidR="004D321A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, umacniając naszą obecność na polskim rynku </w:t>
      </w:r>
      <w:proofErr w:type="spellStart"/>
      <w:r w:rsidR="004D321A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magazynowo-przemysłowym</w:t>
      </w:r>
      <w:proofErr w:type="spellEnd"/>
      <w:r w:rsidR="004D321A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. Tym projektem odpowiadamy na potrzeby najemców szukających powierzchni o wysokich parametrach technicznych</w:t>
      </w:r>
      <w:r w:rsidR="00967436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. To ważne z punktu widzenia płynności prowadzonych działań i jakości realizowanych operacji produkcyjno-logistycznych</w:t>
      </w:r>
      <w:r w:rsidR="00BE01B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”</w:t>
      </w:r>
      <w:r w:rsid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B3750B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wyjaśnia </w:t>
      </w:r>
      <w:r w:rsidR="00B3750B" w:rsidRPr="007C07C6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Piotr Flugel, Country Construction </w:t>
      </w:r>
      <w:proofErr w:type="spellStart"/>
      <w:r w:rsidR="00B3750B" w:rsidRPr="007C07C6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Director</w:t>
      </w:r>
      <w:proofErr w:type="spellEnd"/>
      <w:r w:rsidR="00B3750B" w:rsidRPr="007C07C6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&amp; COO w CTP Polska</w:t>
      </w:r>
      <w:r w:rsidR="00B3750B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.</w:t>
      </w:r>
      <w:r w:rsid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E01B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„</w:t>
      </w:r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Z racji na nasz model biznesowy, który zakłada, że jesteśmy „</w:t>
      </w:r>
      <w:proofErr w:type="spellStart"/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asset</w:t>
      </w:r>
      <w:proofErr w:type="spellEnd"/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 </w:t>
      </w:r>
      <w:proofErr w:type="spellStart"/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holderem</w:t>
      </w:r>
      <w:proofErr w:type="spellEnd"/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”, budujemy nasze nieruchomości</w:t>
      </w:r>
      <w:r w:rsidR="008857A0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</w:t>
      </w:r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E01B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przykładając szczególną uwagę</w:t>
      </w:r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E01B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do jakości</w:t>
      </w:r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materiałów, tak</w:t>
      </w:r>
      <w:r w:rsidR="00BE01B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</w:t>
      </w:r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aby</w:t>
      </w:r>
      <w:r w:rsidR="008857A0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realizowane obiekty</w:t>
      </w:r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mogły służyć naszym najemcom w niezmiennym stanie przez długie lata. To podejście dotyczy także naszego parku w Sulechowie</w:t>
      </w:r>
      <w:r w:rsidR="00BE01B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”</w:t>
      </w:r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 dod</w:t>
      </w:r>
      <w:r w:rsidR="00BE01B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aje</w:t>
      </w:r>
      <w:r w:rsidR="00B3750B" w:rsidRPr="00B3750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333AD243" w14:textId="7F59B53C" w:rsidR="008A7F11" w:rsidRPr="002E0A14" w:rsidRDefault="008A7F11" w:rsidP="0093646C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CTPark</w:t>
      </w:r>
      <w:proofErr w:type="spellEnd"/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Sulechów jest odpowiedzią na postępujący trend automatyzacji łańcuchów dostaw. Projekt parku magazynowego uwzględnia system samoczynnego odczytu tablic rejestracyjnych, co przyspiesza ruch samochodów na terenie </w:t>
      </w:r>
      <w:r w:rsidR="007C07C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inwestycji</w:t>
      </w:r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Dla podniesienia jakości pracy i </w:t>
      </w:r>
      <w:r w:rsidR="003656EA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dbałości o dostęp do zielonej energii </w:t>
      </w:r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hale </w:t>
      </w:r>
      <w:proofErr w:type="spellStart"/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magazynowo-produkcyjne</w:t>
      </w:r>
      <w:proofErr w:type="spellEnd"/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zostały doświetlone światłem dziennym</w:t>
      </w:r>
      <w:r w:rsidR="00CF203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– w strefie dokowej na pozi</w:t>
      </w:r>
      <w:r w:rsidR="000513ED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o</w:t>
      </w:r>
      <w:r w:rsidR="00CF203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mie 8</w:t>
      </w:r>
      <w:r w:rsidR="008857A0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proc.</w:t>
      </w:r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 a dachy budynków przystosowane do zabudowy instalacjami fotowoltaicznymi</w:t>
      </w:r>
      <w:r w:rsidR="003656EA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E237ED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P</w:t>
      </w:r>
      <w:r w:rsidR="003656EA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rośrodowiskowe parametry </w:t>
      </w:r>
      <w:proofErr w:type="spellStart"/>
      <w:r w:rsidR="00E237ED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CTPark</w:t>
      </w:r>
      <w:proofErr w:type="spellEnd"/>
      <w:r w:rsidR="00E237ED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Sulechów </w:t>
      </w:r>
      <w:r w:rsidR="003656EA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potwierdzi certyfikat w systemie BREEAM. </w:t>
      </w:r>
    </w:p>
    <w:p w14:paraId="623A0838" w14:textId="56181DA4" w:rsidR="003656EA" w:rsidRPr="002E0A14" w:rsidRDefault="003656EA" w:rsidP="0093646C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Inwestycja, zlokalizowana w pobliżu autostrady A2 i trasy ekspresowej S3, docelowo będzie składać </w:t>
      </w:r>
      <w:r w:rsidR="007C07C6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się </w:t>
      </w:r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z dwóch budynków. </w:t>
      </w:r>
      <w:r w:rsidR="00E237ED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Plany firmy </w:t>
      </w:r>
      <w:r w:rsidR="006C4BF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zakładają</w:t>
      </w:r>
      <w:r w:rsidR="00E237ED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 że c</w:t>
      </w:r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ały kompleks liczyć będzie ponad 93 400 mkw. </w:t>
      </w:r>
    </w:p>
    <w:p w14:paraId="107360F2" w14:textId="32E54C72" w:rsidR="001F4380" w:rsidRPr="002E0A14" w:rsidRDefault="004D321A" w:rsidP="0093646C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CTPark</w:t>
      </w:r>
      <w:proofErr w:type="spellEnd"/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Sulechów to druga inwestycja </w:t>
      </w:r>
      <w:r w:rsidR="001F438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dewelopera</w:t>
      </w:r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w </w:t>
      </w:r>
      <w:proofErr w:type="spellStart"/>
      <w:r w:rsidR="0093646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L</w:t>
      </w:r>
      <w:r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ubuskiem</w:t>
      </w:r>
      <w:proofErr w:type="spellEnd"/>
      <w:r w:rsidR="001F438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W realizacji jest także </w:t>
      </w:r>
      <w:proofErr w:type="spellStart"/>
      <w:r w:rsidR="001F438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CTPark</w:t>
      </w:r>
      <w:proofErr w:type="spellEnd"/>
      <w:r w:rsidR="001F4380" w:rsidRPr="002E0A1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Iłowa, kompleks trzech budynków o łącznej powierzchni 170 000 mkw. GLA. </w:t>
      </w:r>
    </w:p>
    <w:p w14:paraId="6C1AB5AB" w14:textId="39EBD7C6" w:rsidR="00DA73A3" w:rsidRPr="007C2080" w:rsidRDefault="00DA73A3" w:rsidP="002E0A14">
      <w:pPr>
        <w:pStyle w:val="entry-lead"/>
        <w:spacing w:after="75" w:line="480" w:lineRule="auto"/>
        <w:jc w:val="both"/>
        <w:textAlignment w:val="baseline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</w:rPr>
        <w:t>O CTP</w:t>
      </w:r>
    </w:p>
    <w:p w14:paraId="57B8582E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CTP jest największym w Europie kontynentalnej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pod względem powierzchni najmu brutto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właścicielem, deweloperem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oraz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zarządcą nieruchomości logistycznych i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 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przemysłowych notowanym na giełdzie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 Firma posiada w portfelu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ponad 9,5 mln mkw.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powierzchni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w dziesięciu krajach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 w tym w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Holandii, Niemczech, Austrii i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na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siedmiu rynkach Europy Środkowo-Wschodniej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(CEE)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takich, jak Czechy, Słowacja, Węgry, Serbia, Rumunia, Bułgaria i Polska. CTP jest jedynym inwestorem w regionie CEE posiadającym portfel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budynków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w całości certyfikowany w systemie BREEAM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 W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2021 roku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firma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osiągn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ęła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neutralność pod względem emisji dwutlenku węgla na poziomie operacyjnym, co podkreśla ambicje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CTP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w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obszarze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prowadzenia zrównoważonego biznesu.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</w:p>
    <w:p w14:paraId="561BCEAD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03D4A741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Grupa CTP jest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także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największym właścicielem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-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deweloperem najwyższej jakości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powierzchni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przemysłowych i logistycznych w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regionie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Europ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y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Środkowo-Wschodniej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 zapewniającym swoim klientom kompleksowy pakiet usług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. Główny portfel Grupy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w CEE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obejmuje 6 mln mkw. nieruchomości klasy A w ponad 100 strategicznych lokalizacjach.</w:t>
      </w:r>
    </w:p>
    <w:p w14:paraId="10212B61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6389D5A5" w14:textId="77777777" w:rsidR="00DA73A3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lastRenderedPageBreak/>
        <w:t xml:space="preserve">Firma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CTP weszł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na polski rynek w 2021 roku. W 2022 nabyła 2,5 mln mkw. gruntów, które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gwarantują budowę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około 1,25 mln mkw. powierzchni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najmu brutto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 Łącznie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na koniec czerwca 2022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roku, polski bank ziemi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CTP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liczył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ponad 2,9 mln mkw.,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rozw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ój potencjału tych gruntów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firma zaplanowała na ok.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dw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a-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trz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y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lat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 działalności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. </w:t>
      </w:r>
    </w:p>
    <w:p w14:paraId="39D5F7A1" w14:textId="77777777" w:rsidR="00DA73A3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6089A969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Więcej informacji można znaleźć na stronie: </w:t>
      </w:r>
      <w:hyperlink r:id="rId8" w:history="1">
        <w:r w:rsidRPr="000D37AC">
          <w:rPr>
            <w:rStyle w:val="Hipercze"/>
            <w:rFonts w:ascii="Styrene A" w:hAnsi="Styrene A" w:cs="Arial"/>
            <w:sz w:val="20"/>
            <w:szCs w:val="20"/>
            <w:shd w:val="clear" w:color="auto" w:fill="FFFFFF"/>
            <w:lang w:val="pl-PL"/>
          </w:rPr>
          <w:t>https://www.ctp.eu/</w:t>
        </w:r>
      </w:hyperlink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</w:t>
      </w:r>
    </w:p>
    <w:p w14:paraId="1C351DC1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3CC32B36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Kontakt dla mediów:</w:t>
      </w:r>
    </w:p>
    <w:p w14:paraId="265D9601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6F50609A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Przemysław Wardęga </w:t>
      </w:r>
    </w:p>
    <w:p w14:paraId="7996F5A5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proofErr w:type="spellStart"/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Head</w:t>
      </w:r>
      <w:proofErr w:type="spellEnd"/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of Marketing</w:t>
      </w:r>
    </w:p>
    <w:p w14:paraId="2F5AA4F7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CTP Invest Poland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s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p. z o. o</w:t>
      </w:r>
    </w:p>
    <w:p w14:paraId="43777278" w14:textId="77777777" w:rsidR="00DA73A3" w:rsidRPr="00A70646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A70646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E: przemyslaw.wardega@ctp.eu</w:t>
      </w:r>
    </w:p>
    <w:p w14:paraId="586F3E28" w14:textId="77777777" w:rsidR="00DA73A3" w:rsidRPr="00A70646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A70646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M: +48 734 108 586</w:t>
      </w:r>
    </w:p>
    <w:p w14:paraId="3EB07932" w14:textId="77777777" w:rsidR="00DA73A3" w:rsidRPr="00A70646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</w:p>
    <w:p w14:paraId="132645E3" w14:textId="77777777" w:rsidR="00DA73A3" w:rsidRPr="00A70646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A70646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</w:rPr>
        <w:t>Monika Sadowska</w:t>
      </w:r>
    </w:p>
    <w:p w14:paraId="3E53DD52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Senior Consultant</w:t>
      </w:r>
    </w:p>
    <w:p w14:paraId="325E740C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Linkleaders</w:t>
      </w:r>
    </w:p>
    <w:p w14:paraId="6C96C15B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E: monika.sadowska@linkleaders.pl</w:t>
      </w:r>
    </w:p>
    <w:p w14:paraId="6E84A775" w14:textId="77777777" w:rsidR="00DA73A3" w:rsidRPr="007C2080" w:rsidRDefault="00DA73A3" w:rsidP="00DA73A3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M: +48 502 243 620</w:t>
      </w:r>
    </w:p>
    <w:p w14:paraId="29196727" w14:textId="4E9702C8" w:rsidR="00DA73A3" w:rsidRDefault="00DA73A3" w:rsidP="00433919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</w:p>
    <w:p w14:paraId="6782E95F" w14:textId="77777777" w:rsidR="00E87099" w:rsidRPr="00221326" w:rsidRDefault="00E87099" w:rsidP="00F65525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</w:p>
    <w:bookmarkEnd w:id="0"/>
    <w:p w14:paraId="21E70A3B" w14:textId="77777777" w:rsidR="002670F9" w:rsidRPr="00221326" w:rsidRDefault="002670F9" w:rsidP="00880CF5">
      <w:pPr>
        <w:shd w:val="clear" w:color="auto" w:fill="FFFFFF"/>
        <w:spacing w:line="276" w:lineRule="auto"/>
        <w:jc w:val="both"/>
        <w:rPr>
          <w:rFonts w:ascii="Styrene A" w:eastAsia="Times New Roman" w:hAnsi="Styrene A" w:cs="Arial"/>
          <w:color w:val="222222"/>
          <w:sz w:val="21"/>
          <w:szCs w:val="21"/>
          <w:lang w:val="pl-PL"/>
        </w:rPr>
      </w:pPr>
    </w:p>
    <w:sectPr w:rsidR="002670F9" w:rsidRPr="00221326" w:rsidSect="00574BD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8FC3" w14:textId="77777777" w:rsidR="005E0A58" w:rsidRDefault="005E0A58" w:rsidP="0042316E">
      <w:r>
        <w:separator/>
      </w:r>
    </w:p>
  </w:endnote>
  <w:endnote w:type="continuationSeparator" w:id="0">
    <w:p w14:paraId="54CF7EFE" w14:textId="77777777" w:rsidR="005E0A58" w:rsidRDefault="005E0A58" w:rsidP="004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yrene A">
    <w:altName w:val="Calibri"/>
    <w:charset w:val="00"/>
    <w:family w:val="auto"/>
    <w:pitch w:val="variable"/>
    <w:sig w:usb0="A000002F" w:usb1="500004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DC77" w14:textId="77777777" w:rsidR="005E0A58" w:rsidRDefault="005E0A58" w:rsidP="0042316E">
      <w:r>
        <w:separator/>
      </w:r>
    </w:p>
  </w:footnote>
  <w:footnote w:type="continuationSeparator" w:id="0">
    <w:p w14:paraId="481416A1" w14:textId="77777777" w:rsidR="005E0A58" w:rsidRDefault="005E0A58" w:rsidP="0042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2C69" w14:textId="6CB031BF" w:rsidR="0042316E" w:rsidRDefault="003E0BC4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7157FC" wp14:editId="4BF90554">
          <wp:simplePos x="0" y="0"/>
          <wp:positionH relativeFrom="page">
            <wp:posOffset>95250</wp:posOffset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" b="3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82A"/>
    <w:multiLevelType w:val="multilevel"/>
    <w:tmpl w:val="3E1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3305E3"/>
    <w:multiLevelType w:val="multilevel"/>
    <w:tmpl w:val="30A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5E4FC7"/>
    <w:multiLevelType w:val="hybridMultilevel"/>
    <w:tmpl w:val="A9DCE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1122F"/>
    <w:multiLevelType w:val="multilevel"/>
    <w:tmpl w:val="914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0690095">
    <w:abstractNumId w:val="1"/>
  </w:num>
  <w:num w:numId="2" w16cid:durableId="1865558708">
    <w:abstractNumId w:val="0"/>
  </w:num>
  <w:num w:numId="3" w16cid:durableId="2012097604">
    <w:abstractNumId w:val="3"/>
  </w:num>
  <w:num w:numId="4" w16cid:durableId="150077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9F"/>
    <w:rsid w:val="000007AA"/>
    <w:rsid w:val="00004C0C"/>
    <w:rsid w:val="00005C7B"/>
    <w:rsid w:val="00010B2A"/>
    <w:rsid w:val="00017DFB"/>
    <w:rsid w:val="00036B6D"/>
    <w:rsid w:val="00042CF2"/>
    <w:rsid w:val="000513ED"/>
    <w:rsid w:val="0005234D"/>
    <w:rsid w:val="00054288"/>
    <w:rsid w:val="00060879"/>
    <w:rsid w:val="000634FE"/>
    <w:rsid w:val="00064B20"/>
    <w:rsid w:val="00070299"/>
    <w:rsid w:val="00070F29"/>
    <w:rsid w:val="000769C3"/>
    <w:rsid w:val="00080029"/>
    <w:rsid w:val="00080476"/>
    <w:rsid w:val="00081EFF"/>
    <w:rsid w:val="000853A9"/>
    <w:rsid w:val="0009092A"/>
    <w:rsid w:val="000930D8"/>
    <w:rsid w:val="00097E94"/>
    <w:rsid w:val="000B5F82"/>
    <w:rsid w:val="000B79A4"/>
    <w:rsid w:val="000C57E1"/>
    <w:rsid w:val="000D028A"/>
    <w:rsid w:val="000D3CE2"/>
    <w:rsid w:val="000D5D1B"/>
    <w:rsid w:val="000F03F7"/>
    <w:rsid w:val="000F07FE"/>
    <w:rsid w:val="000F3B52"/>
    <w:rsid w:val="000F7D51"/>
    <w:rsid w:val="0010081A"/>
    <w:rsid w:val="00106DC8"/>
    <w:rsid w:val="0011497B"/>
    <w:rsid w:val="00115DDB"/>
    <w:rsid w:val="0012028E"/>
    <w:rsid w:val="00141689"/>
    <w:rsid w:val="00151FF7"/>
    <w:rsid w:val="0016359F"/>
    <w:rsid w:val="00164CAD"/>
    <w:rsid w:val="0016703C"/>
    <w:rsid w:val="00170874"/>
    <w:rsid w:val="00171134"/>
    <w:rsid w:val="00173FC4"/>
    <w:rsid w:val="001748BA"/>
    <w:rsid w:val="00185566"/>
    <w:rsid w:val="0019752B"/>
    <w:rsid w:val="001A4C7A"/>
    <w:rsid w:val="001B4404"/>
    <w:rsid w:val="001B4B20"/>
    <w:rsid w:val="001C57C7"/>
    <w:rsid w:val="001D788A"/>
    <w:rsid w:val="001E495E"/>
    <w:rsid w:val="001E66CB"/>
    <w:rsid w:val="001F4380"/>
    <w:rsid w:val="002023F3"/>
    <w:rsid w:val="00217563"/>
    <w:rsid w:val="00221326"/>
    <w:rsid w:val="00223561"/>
    <w:rsid w:val="00227C4E"/>
    <w:rsid w:val="00243AE6"/>
    <w:rsid w:val="0026277D"/>
    <w:rsid w:val="00266CDE"/>
    <w:rsid w:val="002670F9"/>
    <w:rsid w:val="002725BE"/>
    <w:rsid w:val="00272E18"/>
    <w:rsid w:val="00274A81"/>
    <w:rsid w:val="00283E5A"/>
    <w:rsid w:val="0028705A"/>
    <w:rsid w:val="0029176D"/>
    <w:rsid w:val="002A418A"/>
    <w:rsid w:val="002B209F"/>
    <w:rsid w:val="002B4CA0"/>
    <w:rsid w:val="002C25D4"/>
    <w:rsid w:val="002C6210"/>
    <w:rsid w:val="002D6A8F"/>
    <w:rsid w:val="002E0A14"/>
    <w:rsid w:val="002E39CB"/>
    <w:rsid w:val="002E4EF2"/>
    <w:rsid w:val="0032662A"/>
    <w:rsid w:val="0034023C"/>
    <w:rsid w:val="00345520"/>
    <w:rsid w:val="0035447F"/>
    <w:rsid w:val="00363E86"/>
    <w:rsid w:val="003656EA"/>
    <w:rsid w:val="00366599"/>
    <w:rsid w:val="00375680"/>
    <w:rsid w:val="00377202"/>
    <w:rsid w:val="00392834"/>
    <w:rsid w:val="003B01C4"/>
    <w:rsid w:val="003B2000"/>
    <w:rsid w:val="003C0A33"/>
    <w:rsid w:val="003D2B6D"/>
    <w:rsid w:val="003D3F8B"/>
    <w:rsid w:val="003D657C"/>
    <w:rsid w:val="003E0BC4"/>
    <w:rsid w:val="003E2CAB"/>
    <w:rsid w:val="003E514A"/>
    <w:rsid w:val="003F10CF"/>
    <w:rsid w:val="003F1B70"/>
    <w:rsid w:val="00405FE9"/>
    <w:rsid w:val="00407C13"/>
    <w:rsid w:val="0042316E"/>
    <w:rsid w:val="00427D6E"/>
    <w:rsid w:val="0043082A"/>
    <w:rsid w:val="00433919"/>
    <w:rsid w:val="00434071"/>
    <w:rsid w:val="00444217"/>
    <w:rsid w:val="0044604D"/>
    <w:rsid w:val="0045133C"/>
    <w:rsid w:val="004519E1"/>
    <w:rsid w:val="004564B4"/>
    <w:rsid w:val="00456840"/>
    <w:rsid w:val="00462C4F"/>
    <w:rsid w:val="00466E26"/>
    <w:rsid w:val="00467C3A"/>
    <w:rsid w:val="00476232"/>
    <w:rsid w:val="00481505"/>
    <w:rsid w:val="004961BC"/>
    <w:rsid w:val="00496344"/>
    <w:rsid w:val="004976FB"/>
    <w:rsid w:val="004A3CCF"/>
    <w:rsid w:val="004A7101"/>
    <w:rsid w:val="004B4623"/>
    <w:rsid w:val="004B5B13"/>
    <w:rsid w:val="004C58C3"/>
    <w:rsid w:val="004C5BFB"/>
    <w:rsid w:val="004D0971"/>
    <w:rsid w:val="004D321A"/>
    <w:rsid w:val="004E09F7"/>
    <w:rsid w:val="004E6503"/>
    <w:rsid w:val="004F5DF9"/>
    <w:rsid w:val="005026BE"/>
    <w:rsid w:val="005027FC"/>
    <w:rsid w:val="005033F0"/>
    <w:rsid w:val="005171BC"/>
    <w:rsid w:val="00517EA6"/>
    <w:rsid w:val="00525EA0"/>
    <w:rsid w:val="00545D70"/>
    <w:rsid w:val="00552A3D"/>
    <w:rsid w:val="005557F4"/>
    <w:rsid w:val="00560967"/>
    <w:rsid w:val="00573AA2"/>
    <w:rsid w:val="00574BD0"/>
    <w:rsid w:val="00574C97"/>
    <w:rsid w:val="005A1C9C"/>
    <w:rsid w:val="005A23BF"/>
    <w:rsid w:val="005B6948"/>
    <w:rsid w:val="005C01AE"/>
    <w:rsid w:val="005C7636"/>
    <w:rsid w:val="005D5CA4"/>
    <w:rsid w:val="005E0A58"/>
    <w:rsid w:val="005E17A6"/>
    <w:rsid w:val="005E5CE3"/>
    <w:rsid w:val="005F38C4"/>
    <w:rsid w:val="005F3E8D"/>
    <w:rsid w:val="005F589B"/>
    <w:rsid w:val="00605430"/>
    <w:rsid w:val="00615337"/>
    <w:rsid w:val="0061577A"/>
    <w:rsid w:val="0061781E"/>
    <w:rsid w:val="00627816"/>
    <w:rsid w:val="0063653A"/>
    <w:rsid w:val="00637720"/>
    <w:rsid w:val="00647F96"/>
    <w:rsid w:val="0065061B"/>
    <w:rsid w:val="00650AA6"/>
    <w:rsid w:val="006548C1"/>
    <w:rsid w:val="00662FC4"/>
    <w:rsid w:val="006634F3"/>
    <w:rsid w:val="00675182"/>
    <w:rsid w:val="00692C02"/>
    <w:rsid w:val="006B41FE"/>
    <w:rsid w:val="006C4BF1"/>
    <w:rsid w:val="006C7368"/>
    <w:rsid w:val="006D0E7F"/>
    <w:rsid w:val="006D13EE"/>
    <w:rsid w:val="006D14A3"/>
    <w:rsid w:val="006D38F8"/>
    <w:rsid w:val="006E5483"/>
    <w:rsid w:val="006F511F"/>
    <w:rsid w:val="00701D9C"/>
    <w:rsid w:val="00702884"/>
    <w:rsid w:val="00706E25"/>
    <w:rsid w:val="007142F7"/>
    <w:rsid w:val="00714D0A"/>
    <w:rsid w:val="00716D9F"/>
    <w:rsid w:val="00722342"/>
    <w:rsid w:val="00725502"/>
    <w:rsid w:val="0073642E"/>
    <w:rsid w:val="00736F90"/>
    <w:rsid w:val="00747C6B"/>
    <w:rsid w:val="00753F5D"/>
    <w:rsid w:val="00754A97"/>
    <w:rsid w:val="0077023E"/>
    <w:rsid w:val="0077328E"/>
    <w:rsid w:val="0077451D"/>
    <w:rsid w:val="00776482"/>
    <w:rsid w:val="0078517A"/>
    <w:rsid w:val="00793602"/>
    <w:rsid w:val="007973F1"/>
    <w:rsid w:val="007A7E1B"/>
    <w:rsid w:val="007B4FB1"/>
    <w:rsid w:val="007C07C6"/>
    <w:rsid w:val="007C2080"/>
    <w:rsid w:val="007D1DE0"/>
    <w:rsid w:val="007E0D1E"/>
    <w:rsid w:val="007E4C30"/>
    <w:rsid w:val="007E696A"/>
    <w:rsid w:val="007E6B4D"/>
    <w:rsid w:val="007F18DF"/>
    <w:rsid w:val="007F1C41"/>
    <w:rsid w:val="007F4B9B"/>
    <w:rsid w:val="007F5FB7"/>
    <w:rsid w:val="00814C48"/>
    <w:rsid w:val="0083019E"/>
    <w:rsid w:val="008340BF"/>
    <w:rsid w:val="008474A6"/>
    <w:rsid w:val="00865EC5"/>
    <w:rsid w:val="0086654B"/>
    <w:rsid w:val="00880CF5"/>
    <w:rsid w:val="0088576B"/>
    <w:rsid w:val="008857A0"/>
    <w:rsid w:val="00893C5E"/>
    <w:rsid w:val="008944B2"/>
    <w:rsid w:val="00895EF7"/>
    <w:rsid w:val="00897764"/>
    <w:rsid w:val="008A7F11"/>
    <w:rsid w:val="008B09E4"/>
    <w:rsid w:val="008B6D23"/>
    <w:rsid w:val="008C39FB"/>
    <w:rsid w:val="008F20D1"/>
    <w:rsid w:val="009148E1"/>
    <w:rsid w:val="0093646C"/>
    <w:rsid w:val="00945D56"/>
    <w:rsid w:val="00966580"/>
    <w:rsid w:val="00967436"/>
    <w:rsid w:val="00971E3F"/>
    <w:rsid w:val="0097431F"/>
    <w:rsid w:val="00974B1F"/>
    <w:rsid w:val="00990127"/>
    <w:rsid w:val="00992E8D"/>
    <w:rsid w:val="009A1177"/>
    <w:rsid w:val="009A5EAE"/>
    <w:rsid w:val="009B2916"/>
    <w:rsid w:val="009B33D7"/>
    <w:rsid w:val="009D2A2D"/>
    <w:rsid w:val="009E1529"/>
    <w:rsid w:val="009E5AF2"/>
    <w:rsid w:val="009F0B24"/>
    <w:rsid w:val="009F2397"/>
    <w:rsid w:val="00A00AEA"/>
    <w:rsid w:val="00A05EC8"/>
    <w:rsid w:val="00A12ACF"/>
    <w:rsid w:val="00A14608"/>
    <w:rsid w:val="00A16896"/>
    <w:rsid w:val="00A16C25"/>
    <w:rsid w:val="00A22908"/>
    <w:rsid w:val="00A231D2"/>
    <w:rsid w:val="00A31CBA"/>
    <w:rsid w:val="00A35291"/>
    <w:rsid w:val="00A4768A"/>
    <w:rsid w:val="00A51B76"/>
    <w:rsid w:val="00A73DE8"/>
    <w:rsid w:val="00A75A99"/>
    <w:rsid w:val="00A76DC7"/>
    <w:rsid w:val="00A9602E"/>
    <w:rsid w:val="00AB0495"/>
    <w:rsid w:val="00AD4B40"/>
    <w:rsid w:val="00AE3911"/>
    <w:rsid w:val="00AE68B4"/>
    <w:rsid w:val="00AF6A29"/>
    <w:rsid w:val="00B00F8D"/>
    <w:rsid w:val="00B22DE2"/>
    <w:rsid w:val="00B23AF1"/>
    <w:rsid w:val="00B3750B"/>
    <w:rsid w:val="00B456F5"/>
    <w:rsid w:val="00B532A3"/>
    <w:rsid w:val="00B54BA8"/>
    <w:rsid w:val="00B75F91"/>
    <w:rsid w:val="00B90973"/>
    <w:rsid w:val="00B9546D"/>
    <w:rsid w:val="00B961C3"/>
    <w:rsid w:val="00B96277"/>
    <w:rsid w:val="00BA5537"/>
    <w:rsid w:val="00BB192F"/>
    <w:rsid w:val="00BC07E9"/>
    <w:rsid w:val="00BC2A47"/>
    <w:rsid w:val="00BD0105"/>
    <w:rsid w:val="00BD0FF1"/>
    <w:rsid w:val="00BE01B3"/>
    <w:rsid w:val="00BF7C87"/>
    <w:rsid w:val="00C007FC"/>
    <w:rsid w:val="00C01E1D"/>
    <w:rsid w:val="00C065C4"/>
    <w:rsid w:val="00C067AE"/>
    <w:rsid w:val="00C232B7"/>
    <w:rsid w:val="00C25FD3"/>
    <w:rsid w:val="00C322DC"/>
    <w:rsid w:val="00C34904"/>
    <w:rsid w:val="00C36297"/>
    <w:rsid w:val="00C43D29"/>
    <w:rsid w:val="00C52D49"/>
    <w:rsid w:val="00C57609"/>
    <w:rsid w:val="00C71820"/>
    <w:rsid w:val="00C87275"/>
    <w:rsid w:val="00C92B28"/>
    <w:rsid w:val="00CA20EF"/>
    <w:rsid w:val="00CA6BD3"/>
    <w:rsid w:val="00CB25AF"/>
    <w:rsid w:val="00CC0C4D"/>
    <w:rsid w:val="00CC27DF"/>
    <w:rsid w:val="00CC6C66"/>
    <w:rsid w:val="00CE067A"/>
    <w:rsid w:val="00CE305C"/>
    <w:rsid w:val="00CE466E"/>
    <w:rsid w:val="00CF203B"/>
    <w:rsid w:val="00CF460D"/>
    <w:rsid w:val="00D01E26"/>
    <w:rsid w:val="00D02BEE"/>
    <w:rsid w:val="00D063D9"/>
    <w:rsid w:val="00D07245"/>
    <w:rsid w:val="00D36375"/>
    <w:rsid w:val="00D41546"/>
    <w:rsid w:val="00D426E6"/>
    <w:rsid w:val="00D45AFD"/>
    <w:rsid w:val="00D50A00"/>
    <w:rsid w:val="00D52995"/>
    <w:rsid w:val="00D56AE0"/>
    <w:rsid w:val="00D5729A"/>
    <w:rsid w:val="00D6104B"/>
    <w:rsid w:val="00D65419"/>
    <w:rsid w:val="00D742D7"/>
    <w:rsid w:val="00D77248"/>
    <w:rsid w:val="00D927DA"/>
    <w:rsid w:val="00D973E5"/>
    <w:rsid w:val="00D97F10"/>
    <w:rsid w:val="00DA16E9"/>
    <w:rsid w:val="00DA54A1"/>
    <w:rsid w:val="00DA73A3"/>
    <w:rsid w:val="00DB2D54"/>
    <w:rsid w:val="00DC3664"/>
    <w:rsid w:val="00DD459B"/>
    <w:rsid w:val="00DE2FC1"/>
    <w:rsid w:val="00DE3664"/>
    <w:rsid w:val="00DF11F3"/>
    <w:rsid w:val="00DF7232"/>
    <w:rsid w:val="00E04766"/>
    <w:rsid w:val="00E10D53"/>
    <w:rsid w:val="00E16177"/>
    <w:rsid w:val="00E237ED"/>
    <w:rsid w:val="00E27CB7"/>
    <w:rsid w:val="00E33917"/>
    <w:rsid w:val="00E34336"/>
    <w:rsid w:val="00E40600"/>
    <w:rsid w:val="00E43C50"/>
    <w:rsid w:val="00E44CBF"/>
    <w:rsid w:val="00E47FBE"/>
    <w:rsid w:val="00E52A26"/>
    <w:rsid w:val="00E530D0"/>
    <w:rsid w:val="00E653DE"/>
    <w:rsid w:val="00E7338E"/>
    <w:rsid w:val="00E76635"/>
    <w:rsid w:val="00E845E5"/>
    <w:rsid w:val="00E87099"/>
    <w:rsid w:val="00E913EC"/>
    <w:rsid w:val="00EA7B3D"/>
    <w:rsid w:val="00EB5DC6"/>
    <w:rsid w:val="00ED74A8"/>
    <w:rsid w:val="00ED7C0C"/>
    <w:rsid w:val="00EE23DE"/>
    <w:rsid w:val="00EF0827"/>
    <w:rsid w:val="00F175FF"/>
    <w:rsid w:val="00F230FD"/>
    <w:rsid w:val="00F24095"/>
    <w:rsid w:val="00F35471"/>
    <w:rsid w:val="00F41AB9"/>
    <w:rsid w:val="00F50769"/>
    <w:rsid w:val="00F554A8"/>
    <w:rsid w:val="00F560CF"/>
    <w:rsid w:val="00F5739D"/>
    <w:rsid w:val="00F578F7"/>
    <w:rsid w:val="00F600EA"/>
    <w:rsid w:val="00F60461"/>
    <w:rsid w:val="00F62727"/>
    <w:rsid w:val="00F63156"/>
    <w:rsid w:val="00F65525"/>
    <w:rsid w:val="00F747A5"/>
    <w:rsid w:val="00F83306"/>
    <w:rsid w:val="00F849A0"/>
    <w:rsid w:val="00F86A6E"/>
    <w:rsid w:val="00F912CE"/>
    <w:rsid w:val="00F960A6"/>
    <w:rsid w:val="00FA0FF0"/>
    <w:rsid w:val="00FC7525"/>
    <w:rsid w:val="00FD21D3"/>
    <w:rsid w:val="00FD4E1C"/>
    <w:rsid w:val="00FD6716"/>
    <w:rsid w:val="00FD7BCA"/>
    <w:rsid w:val="00FE799E"/>
    <w:rsid w:val="00FF44E3"/>
    <w:rsid w:val="00FF5007"/>
    <w:rsid w:val="00FF6516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B55C"/>
  <w15:chartTrackingRefBased/>
  <w15:docId w15:val="{85BB91DC-3A51-3143-8920-33BFED9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0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D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6818054952375267062msolistparagraph">
    <w:name w:val="gmail-m_6818054952375267062msolistparagraph"/>
    <w:basedOn w:val="Normalny"/>
    <w:rsid w:val="002B2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6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16E"/>
  </w:style>
  <w:style w:type="paragraph" w:styleId="Stopka">
    <w:name w:val="footer"/>
    <w:basedOn w:val="Normalny"/>
    <w:link w:val="Stopka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16E"/>
  </w:style>
  <w:style w:type="character" w:styleId="Hipercze">
    <w:name w:val="Hyperlink"/>
    <w:basedOn w:val="Domylnaczcionkaakapitu"/>
    <w:uiPriority w:val="99"/>
    <w:unhideWhenUsed/>
    <w:rsid w:val="008857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7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63E86"/>
    <w:pPr>
      <w:widowControl w:val="0"/>
      <w:autoSpaceDE w:val="0"/>
      <w:autoSpaceDN w:val="0"/>
    </w:pPr>
    <w:rPr>
      <w:rFonts w:ascii="Calibri" w:eastAsia="Calibri" w:hAnsi="Calibri" w:cs="Calibri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86"/>
    <w:rPr>
      <w:rFonts w:ascii="Calibri" w:eastAsia="Calibri" w:hAnsi="Calibri" w:cs="Calibri"/>
      <w:sz w:val="15"/>
      <w:szCs w:val="15"/>
    </w:rPr>
  </w:style>
  <w:style w:type="paragraph" w:styleId="Poprawka">
    <w:name w:val="Revision"/>
    <w:hidden/>
    <w:uiPriority w:val="99"/>
    <w:semiHidden/>
    <w:rsid w:val="0097431F"/>
  </w:style>
  <w:style w:type="paragraph" w:styleId="Akapitzlist">
    <w:name w:val="List Paragraph"/>
    <w:basedOn w:val="Normalny"/>
    <w:uiPriority w:val="34"/>
    <w:qFormat/>
    <w:rsid w:val="002C6210"/>
    <w:pPr>
      <w:ind w:left="720"/>
      <w:contextualSpacing/>
    </w:pPr>
  </w:style>
  <w:style w:type="paragraph" w:customStyle="1" w:styleId="bn">
    <w:name w:val="bn"/>
    <w:basedOn w:val="Normalny"/>
    <w:rsid w:val="002E39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ntry-lead">
    <w:name w:val="entry-lead"/>
    <w:basedOn w:val="Normalny"/>
    <w:rsid w:val="00DC36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0D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D5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">
    <w:name w:val="List"/>
    <w:basedOn w:val="Normalny"/>
    <w:uiPriority w:val="99"/>
    <w:unhideWhenUsed/>
    <w:rsid w:val="00E10D53"/>
    <w:pPr>
      <w:ind w:left="360" w:hanging="36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10D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0D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iddenspellerror">
    <w:name w:val="hiddenspellerror"/>
    <w:basedOn w:val="Domylnaczcionkaakapitu"/>
    <w:rsid w:val="00B3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p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9020-7FD7-49D9-9AEC-AF561A40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Serafim</dc:creator>
  <cp:keywords>, docId:219DB44CE48D430836ECBD804A642076</cp:keywords>
  <dc:description/>
  <cp:lastModifiedBy>Monika Sadowska</cp:lastModifiedBy>
  <cp:revision>13</cp:revision>
  <cp:lastPrinted>2023-01-12T06:28:00Z</cp:lastPrinted>
  <dcterms:created xsi:type="dcterms:W3CDTF">2023-01-25T10:53:00Z</dcterms:created>
  <dcterms:modified xsi:type="dcterms:W3CDTF">2023-01-26T09:34:00Z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63c282dd03b3c21159b4a86ad1cc96cb927bdc9ff9a4db30f866cd812d8f9984</vt:lpwstr>
  </property>
</Properties>
</file>