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606"/>
        <w:gridCol w:w="1608"/>
        <w:gridCol w:w="1606"/>
        <w:gridCol w:w="1606"/>
        <w:gridCol w:w="1606"/>
        <w:gridCol w:w="1606"/>
        <w:gridCol w:w="1608"/>
      </w:tblGrid>
      <w:tr w:rsidR="005D132A" w14:paraId="7B8B9F22" w14:textId="77777777" w:rsidTr="005D132A">
        <w:trPr>
          <w:cantSplit/>
          <w:trHeight w:val="542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45E5" w14:textId="063FB519" w:rsidR="005D132A" w:rsidRPr="00285EB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Justyna </w:t>
            </w:r>
            <w:proofErr w:type="spellStart"/>
            <w:r>
              <w:rPr>
                <w:rFonts w:ascii="Arial Narrow" w:hAnsi="Arial Narrow" w:cs="Arial Narrow"/>
                <w:sz w:val="20"/>
              </w:rPr>
              <w:t>Magrzyk</w:t>
            </w:r>
            <w:proofErr w:type="spellEnd"/>
            <w:r>
              <w:rPr>
                <w:rFonts w:ascii="Arial Narrow" w:hAnsi="Arial Narrow" w:cs="Arial Narrow"/>
                <w:sz w:val="20"/>
              </w:rPr>
              <w:t>-Flemming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7ACF0" w14:textId="534B8807" w:rsidR="005D132A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lang w:val="en-GB"/>
              </w:rPr>
              <w:t xml:space="preserve">Agata </w:t>
            </w:r>
            <w:proofErr w:type="spellStart"/>
            <w:r>
              <w:rPr>
                <w:rFonts w:ascii="Arial Narrow" w:hAnsi="Arial Narrow" w:cs="Arial Narrow"/>
                <w:sz w:val="20"/>
                <w:lang w:val="en-GB"/>
              </w:rPr>
              <w:t>Czarnecka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24861" w14:textId="77777777" w:rsidR="005D132A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Dominika Jędrak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25F6" w14:textId="4DC25B3A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</w:rPr>
              <w:t>Katarzyna Lipka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46C8" w14:textId="401C10A1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Mateusz Polkowski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162A" w14:textId="0FB6BD38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Elżbieta Czerpak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9F3B" w14:textId="64114CB8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Giermakowska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1F407" w14:textId="77777777" w:rsidR="005D132A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Wioleta Wojtczak</w:t>
            </w:r>
          </w:p>
        </w:tc>
      </w:tr>
      <w:tr w:rsidR="005D132A" w14:paraId="0B1852CF" w14:textId="77777777" w:rsidTr="005D132A">
        <w:trPr>
          <w:cantSplit/>
          <w:trHeight w:val="561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577E" w14:textId="55133462" w:rsidR="005D132A" w:rsidRPr="00285EBB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447272">
              <w:rPr>
                <w:rFonts w:ascii="Arial Narrow" w:hAnsi="Arial Narrow" w:cs="Arial Narrow"/>
                <w:b/>
                <w:bCs/>
                <w:sz w:val="20"/>
                <w:lang w:val="en-GB"/>
              </w:rPr>
              <w:t>BNP Paribas Real Estate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D219B" w14:textId="1F69A9A4" w:rsidR="005D132A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CBRE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F278C" w14:textId="77777777" w:rsidR="005D132A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Colliers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3F5D" w14:textId="7085C0D1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Cushman &amp; Wakefield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B385" w14:textId="564309F6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JLL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BBE6" w14:textId="64E1FBE8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Knight Frank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29CE" w14:textId="5A2B6BD7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Newmark Polska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7496B" w14:textId="77777777" w:rsidR="005D132A" w:rsidRDefault="005D132A" w:rsidP="005D132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Savills</w:t>
            </w:r>
          </w:p>
        </w:tc>
      </w:tr>
      <w:tr w:rsidR="005D132A" w14:paraId="45632FE7" w14:textId="77777777" w:rsidTr="005D132A">
        <w:trPr>
          <w:cantSplit/>
          <w:trHeight w:val="426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8B45" w14:textId="5CCD6532" w:rsidR="005D132A" w:rsidRPr="00285EB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</w:rPr>
            </w:pPr>
            <w:r w:rsidRPr="00447272">
              <w:rPr>
                <w:rFonts w:ascii="Arial Narrow" w:hAnsi="Arial Narrow" w:cs="Arial Narrow"/>
                <w:sz w:val="20"/>
                <w:lang w:val="en-GB"/>
              </w:rPr>
              <w:t xml:space="preserve">+48 </w:t>
            </w:r>
            <w:r>
              <w:rPr>
                <w:rFonts w:ascii="Arial Narrow" w:hAnsi="Arial Narrow" w:cs="Arial Narrow"/>
                <w:sz w:val="20"/>
              </w:rPr>
              <w:t>511 155 274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BF147" w14:textId="4442D6B9" w:rsidR="005D132A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lang w:val="en-GB"/>
              </w:rPr>
              <w:t>+48 500 000 053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40996" w14:textId="77777777" w:rsidR="005D132A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+ 48 22 331 7800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6D62" w14:textId="4C89CF71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</w:rPr>
              <w:t>+48 606 993 860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0345" w14:textId="5DE80BEC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+48 22 167 0000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5085" w14:textId="2A1E4FD3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+48 22 596 5050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07C56" w14:textId="2871C041" w:rsidR="005D132A" w:rsidRPr="007F164B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+48 734 141 435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D1C4B" w14:textId="77777777" w:rsidR="005D132A" w:rsidRDefault="005D132A" w:rsidP="005D132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+48 600 422 216</w:t>
            </w:r>
          </w:p>
        </w:tc>
      </w:tr>
    </w:tbl>
    <w:p w14:paraId="333E0708" w14:textId="77777777" w:rsidR="00002EC4" w:rsidRDefault="00002EC4">
      <w:pPr>
        <w:jc w:val="right"/>
        <w:rPr>
          <w:rFonts w:ascii="Arial Narrow" w:hAnsi="Arial Narrow" w:cs="Arial Narrow"/>
          <w:color w:val="000000"/>
          <w:sz w:val="22"/>
          <w:szCs w:val="22"/>
        </w:rPr>
      </w:pPr>
    </w:p>
    <w:p w14:paraId="6DA07DE4" w14:textId="77777777" w:rsidR="00002EC4" w:rsidRDefault="00002EC4">
      <w:pPr>
        <w:jc w:val="right"/>
        <w:rPr>
          <w:rFonts w:ascii="Arial Narrow" w:hAnsi="Arial Narrow" w:cs="Arial Narrow"/>
          <w:color w:val="000000"/>
          <w:sz w:val="22"/>
          <w:szCs w:val="22"/>
        </w:rPr>
      </w:pPr>
    </w:p>
    <w:p w14:paraId="410A98AD" w14:textId="325473B3" w:rsidR="00002EC4" w:rsidRDefault="38C5EBEF" w:rsidP="38C5EBEF">
      <w:pPr>
        <w:jc w:val="right"/>
        <w:rPr>
          <w:rFonts w:ascii="Arial Narrow" w:hAnsi="Arial Narrow" w:cs="Arial Narrow"/>
          <w:color w:val="000000" w:themeColor="text1"/>
          <w:sz w:val="22"/>
          <w:szCs w:val="22"/>
        </w:rPr>
      </w:pPr>
      <w:r w:rsidRPr="63E3B7C6">
        <w:rPr>
          <w:rFonts w:ascii="Arial Narrow" w:hAnsi="Arial Narrow" w:cs="Arial Narrow"/>
          <w:color w:val="000000" w:themeColor="text1"/>
          <w:sz w:val="22"/>
          <w:szCs w:val="22"/>
        </w:rPr>
        <w:t>Warszawa,</w:t>
      </w:r>
      <w:r w:rsidR="00A13063" w:rsidRPr="63E3B7C6">
        <w:rPr>
          <w:rFonts w:ascii="Arial Narrow" w:hAnsi="Arial Narrow" w:cs="Arial Narrow"/>
          <w:color w:val="000000" w:themeColor="text1"/>
          <w:sz w:val="22"/>
          <w:szCs w:val="22"/>
        </w:rPr>
        <w:t xml:space="preserve"> </w:t>
      </w:r>
      <w:r w:rsidR="0058279B">
        <w:rPr>
          <w:rFonts w:ascii="Arial Narrow" w:hAnsi="Arial Narrow" w:cs="Arial Narrow"/>
          <w:color w:val="000000" w:themeColor="text1"/>
          <w:sz w:val="22"/>
          <w:szCs w:val="22"/>
        </w:rPr>
        <w:t>2</w:t>
      </w:r>
      <w:r w:rsidR="00C50C18">
        <w:rPr>
          <w:rFonts w:ascii="Arial Narrow" w:hAnsi="Arial Narrow" w:cs="Arial Narrow"/>
          <w:color w:val="000000" w:themeColor="text1"/>
          <w:sz w:val="22"/>
          <w:szCs w:val="22"/>
        </w:rPr>
        <w:t xml:space="preserve">4 </w:t>
      </w:r>
      <w:r w:rsidR="00607287">
        <w:rPr>
          <w:rFonts w:ascii="Arial Narrow" w:hAnsi="Arial Narrow" w:cs="Arial Narrow"/>
          <w:color w:val="000000" w:themeColor="text1"/>
          <w:sz w:val="22"/>
          <w:szCs w:val="22"/>
        </w:rPr>
        <w:t>stycznia</w:t>
      </w:r>
      <w:r w:rsidR="00C50C18">
        <w:rPr>
          <w:rFonts w:ascii="Arial Narrow" w:hAnsi="Arial Narrow" w:cs="Arial Narrow"/>
          <w:color w:val="000000" w:themeColor="text1"/>
          <w:sz w:val="22"/>
          <w:szCs w:val="22"/>
        </w:rPr>
        <w:t xml:space="preserve"> 2023</w:t>
      </w:r>
      <w:r w:rsidRPr="63E3B7C6">
        <w:rPr>
          <w:rFonts w:ascii="Arial Narrow" w:hAnsi="Arial Narrow" w:cs="Arial Narrow"/>
          <w:color w:val="000000" w:themeColor="text1"/>
          <w:sz w:val="22"/>
          <w:szCs w:val="22"/>
        </w:rPr>
        <w:t xml:space="preserve"> r.</w:t>
      </w:r>
    </w:p>
    <w:p w14:paraId="4E9000A2" w14:textId="77777777" w:rsidR="00002EC4" w:rsidRDefault="00002EC4">
      <w:pPr>
        <w:rPr>
          <w:rFonts w:cs="Times New Roman"/>
        </w:rPr>
      </w:pPr>
    </w:p>
    <w:p w14:paraId="05753440" w14:textId="6E7D6701" w:rsidR="00002EC4" w:rsidRDefault="6494AAA3" w:rsidP="6494AAA3">
      <w:pPr>
        <w:pStyle w:val="Nagwek3"/>
        <w:widowControl/>
        <w:jc w:val="center"/>
        <w:rPr>
          <w:rFonts w:ascii="Arial Narrow" w:hAnsi="Arial Narrow" w:cs="Arial Narrow"/>
          <w:u w:val="none"/>
          <w:lang w:val="pl-PL"/>
        </w:rPr>
      </w:pPr>
      <w:r w:rsidRPr="6494AAA3">
        <w:rPr>
          <w:rFonts w:ascii="Arial Narrow" w:hAnsi="Arial Narrow" w:cs="Arial Narrow"/>
          <w:u w:val="none"/>
          <w:lang w:val="pl-PL"/>
        </w:rPr>
        <w:t>PINK OPUBLIKOWAŁ DANE DOTYCZĄCE RYNKU BIUROWEGO NA GŁÓWNYCH RYNKACH REGIONALNYCH ZA</w:t>
      </w:r>
      <w:r w:rsidR="0058279B">
        <w:rPr>
          <w:rFonts w:ascii="Arial Narrow" w:hAnsi="Arial Narrow" w:cs="Arial Narrow"/>
          <w:u w:val="none"/>
          <w:lang w:val="pl-PL"/>
        </w:rPr>
        <w:t xml:space="preserve"> </w:t>
      </w:r>
      <w:r w:rsidR="00C50C18">
        <w:rPr>
          <w:rFonts w:ascii="Arial Narrow" w:hAnsi="Arial Narrow" w:cs="Arial Narrow"/>
          <w:u w:val="none"/>
          <w:lang w:val="pl-PL"/>
        </w:rPr>
        <w:t>CZWARTY</w:t>
      </w:r>
      <w:r w:rsidR="00A56B91">
        <w:rPr>
          <w:rFonts w:ascii="Arial Narrow" w:hAnsi="Arial Narrow" w:cs="Arial Narrow"/>
          <w:u w:val="none"/>
          <w:lang w:val="pl-PL"/>
        </w:rPr>
        <w:t xml:space="preserve"> </w:t>
      </w:r>
      <w:r w:rsidRPr="6494AAA3">
        <w:rPr>
          <w:rFonts w:ascii="Arial Narrow" w:hAnsi="Arial Narrow" w:cs="Arial Narrow"/>
          <w:u w:val="none"/>
          <w:lang w:val="pl-PL"/>
        </w:rPr>
        <w:t>KWARTAŁ 20</w:t>
      </w:r>
      <w:r w:rsidR="006330EB">
        <w:rPr>
          <w:rFonts w:ascii="Arial Narrow" w:hAnsi="Arial Narrow" w:cs="Arial Narrow"/>
          <w:u w:val="none"/>
          <w:lang w:val="pl-PL"/>
        </w:rPr>
        <w:t>2</w:t>
      </w:r>
      <w:r w:rsidR="003B49F8">
        <w:rPr>
          <w:rFonts w:ascii="Arial Narrow" w:hAnsi="Arial Narrow" w:cs="Arial Narrow"/>
          <w:u w:val="none"/>
          <w:lang w:val="pl-PL"/>
        </w:rPr>
        <w:t>2</w:t>
      </w:r>
      <w:r w:rsidR="006330EB">
        <w:rPr>
          <w:rFonts w:ascii="Arial Narrow" w:hAnsi="Arial Narrow" w:cs="Arial Narrow"/>
          <w:u w:val="none"/>
          <w:lang w:val="pl-PL"/>
        </w:rPr>
        <w:t xml:space="preserve"> </w:t>
      </w:r>
      <w:r w:rsidRPr="6494AAA3">
        <w:rPr>
          <w:rFonts w:ascii="Arial Narrow" w:hAnsi="Arial Narrow" w:cs="Arial Narrow"/>
          <w:u w:val="none"/>
          <w:lang w:val="pl-PL"/>
        </w:rPr>
        <w:t>ROKU</w:t>
      </w:r>
    </w:p>
    <w:p w14:paraId="7C623637" w14:textId="77777777" w:rsidR="00002EC4" w:rsidRDefault="00002EC4">
      <w:pPr>
        <w:rPr>
          <w:rFonts w:cs="Times New Roman"/>
        </w:rPr>
      </w:pPr>
    </w:p>
    <w:p w14:paraId="5EC6DA4F" w14:textId="53E624BC" w:rsidR="00002EC4" w:rsidRPr="00BE4D26" w:rsidRDefault="38C5EBEF" w:rsidP="6494AAA3">
      <w:pPr>
        <w:spacing w:before="240"/>
        <w:jc w:val="both"/>
        <w:rPr>
          <w:rFonts w:ascii="Arial Narrow" w:hAnsi="Arial Narrow" w:cs="Arial Narrow"/>
        </w:rPr>
      </w:pPr>
      <w:r w:rsidRPr="420CCBE4">
        <w:rPr>
          <w:rFonts w:ascii="Arial Narrow" w:hAnsi="Arial Narrow" w:cs="Arial Narrow"/>
        </w:rPr>
        <w:t xml:space="preserve">Polska Izba Nieruchomości Komercyjnych (PINK) opublikowała dane dotyczące rynku powierzchni biurowych na ośmiu głównych rynkach regionalnych </w:t>
      </w:r>
      <w:r>
        <w:br/>
      </w:r>
      <w:r w:rsidRPr="420CCBE4">
        <w:rPr>
          <w:rFonts w:ascii="Arial Narrow" w:hAnsi="Arial Narrow" w:cs="Arial Narrow"/>
        </w:rPr>
        <w:t xml:space="preserve">w Polsce (Kraków, Wrocław, Trójmiasto, </w:t>
      </w:r>
      <w:r w:rsidR="006330EB" w:rsidRPr="420CCBE4">
        <w:rPr>
          <w:rFonts w:ascii="Arial Narrow" w:hAnsi="Arial Narrow" w:cs="Arial Narrow"/>
        </w:rPr>
        <w:t>Katowice</w:t>
      </w:r>
      <w:r w:rsidRPr="420CCBE4">
        <w:rPr>
          <w:rFonts w:ascii="Arial Narrow" w:hAnsi="Arial Narrow" w:cs="Arial Narrow"/>
        </w:rPr>
        <w:t xml:space="preserve">, Poznań, Łódź, </w:t>
      </w:r>
      <w:r w:rsidR="00C11ABA" w:rsidRPr="420CCBE4">
        <w:rPr>
          <w:rFonts w:ascii="Arial Narrow" w:hAnsi="Arial Narrow" w:cs="Arial Narrow"/>
        </w:rPr>
        <w:t xml:space="preserve">Lublin, </w:t>
      </w:r>
      <w:r w:rsidRPr="420CCBE4">
        <w:rPr>
          <w:rFonts w:ascii="Arial Narrow" w:hAnsi="Arial Narrow" w:cs="Arial Narrow"/>
        </w:rPr>
        <w:t>Szczeci</w:t>
      </w:r>
      <w:r w:rsidR="00C11ABA" w:rsidRPr="420CCBE4">
        <w:rPr>
          <w:rFonts w:ascii="Arial Narrow" w:hAnsi="Arial Narrow" w:cs="Arial Narrow"/>
        </w:rPr>
        <w:t>n</w:t>
      </w:r>
      <w:r w:rsidRPr="420CCBE4">
        <w:rPr>
          <w:rFonts w:ascii="Arial Narrow" w:hAnsi="Arial Narrow" w:cs="Arial Narrow"/>
        </w:rPr>
        <w:t xml:space="preserve">) za </w:t>
      </w:r>
      <w:r w:rsidR="1A18AA0B" w:rsidRPr="420CCBE4">
        <w:rPr>
          <w:rFonts w:ascii="Arial Narrow" w:hAnsi="Arial Narrow" w:cs="Arial Narrow"/>
        </w:rPr>
        <w:t>czwarty</w:t>
      </w:r>
      <w:r w:rsidR="00C11ABA" w:rsidRPr="420CCBE4">
        <w:rPr>
          <w:rFonts w:ascii="Arial Narrow" w:hAnsi="Arial Narrow" w:cs="Arial Narrow"/>
        </w:rPr>
        <w:t xml:space="preserve"> kwartał </w:t>
      </w:r>
      <w:r w:rsidRPr="420CCBE4">
        <w:rPr>
          <w:rFonts w:ascii="Arial Narrow" w:hAnsi="Arial Narrow" w:cs="Arial Narrow"/>
        </w:rPr>
        <w:t>20</w:t>
      </w:r>
      <w:r w:rsidR="006330EB" w:rsidRPr="420CCBE4">
        <w:rPr>
          <w:rFonts w:ascii="Arial Narrow" w:hAnsi="Arial Narrow" w:cs="Arial Narrow"/>
        </w:rPr>
        <w:t>2</w:t>
      </w:r>
      <w:r w:rsidR="003B49F8" w:rsidRPr="420CCBE4">
        <w:rPr>
          <w:rFonts w:ascii="Arial Narrow" w:hAnsi="Arial Narrow" w:cs="Arial Narrow"/>
        </w:rPr>
        <w:t>2</w:t>
      </w:r>
      <w:r w:rsidRPr="420CCBE4">
        <w:rPr>
          <w:rFonts w:ascii="Arial Narrow" w:hAnsi="Arial Narrow" w:cs="Arial Narrow"/>
        </w:rPr>
        <w:t xml:space="preserve"> roku. Źródłem informacji są firmy doradcze działające na rynku nieruchomości komercyjnych (BNP </w:t>
      </w:r>
      <w:proofErr w:type="spellStart"/>
      <w:r w:rsidRPr="420CCBE4">
        <w:rPr>
          <w:rFonts w:ascii="Arial Narrow" w:hAnsi="Arial Narrow" w:cs="Arial Narrow"/>
        </w:rPr>
        <w:t>Paribas</w:t>
      </w:r>
      <w:proofErr w:type="spellEnd"/>
      <w:r w:rsidRPr="420CCBE4">
        <w:rPr>
          <w:rFonts w:ascii="Arial Narrow" w:hAnsi="Arial Narrow" w:cs="Arial Narrow"/>
        </w:rPr>
        <w:t xml:space="preserve"> Real </w:t>
      </w:r>
      <w:proofErr w:type="spellStart"/>
      <w:r w:rsidRPr="420CCBE4">
        <w:rPr>
          <w:rFonts w:ascii="Arial Narrow" w:hAnsi="Arial Narrow" w:cs="Arial Narrow"/>
        </w:rPr>
        <w:t>Estate</w:t>
      </w:r>
      <w:proofErr w:type="spellEnd"/>
      <w:r w:rsidRPr="420CCBE4">
        <w:rPr>
          <w:rFonts w:ascii="Arial Narrow" w:hAnsi="Arial Narrow" w:cs="Arial Narrow"/>
        </w:rPr>
        <w:t xml:space="preserve">, CBRE, </w:t>
      </w:r>
      <w:proofErr w:type="spellStart"/>
      <w:r w:rsidRPr="420CCBE4">
        <w:rPr>
          <w:rFonts w:ascii="Arial Narrow" w:hAnsi="Arial Narrow" w:cs="Arial Narrow"/>
        </w:rPr>
        <w:t>Colliers</w:t>
      </w:r>
      <w:proofErr w:type="spellEnd"/>
      <w:r w:rsidRPr="420CCBE4">
        <w:rPr>
          <w:rFonts w:ascii="Arial Narrow" w:hAnsi="Arial Narrow" w:cs="Arial Narrow"/>
        </w:rPr>
        <w:t xml:space="preserve">, </w:t>
      </w:r>
      <w:proofErr w:type="spellStart"/>
      <w:r w:rsidRPr="420CCBE4">
        <w:rPr>
          <w:rFonts w:ascii="Arial Narrow" w:hAnsi="Arial Narrow" w:cs="Arial Narrow"/>
        </w:rPr>
        <w:t>Cushman&amp;Wakefield</w:t>
      </w:r>
      <w:proofErr w:type="spellEnd"/>
      <w:r w:rsidRPr="420CCBE4">
        <w:rPr>
          <w:rFonts w:ascii="Arial Narrow" w:hAnsi="Arial Narrow" w:cs="Arial Narrow"/>
        </w:rPr>
        <w:t xml:space="preserve">, JLL, Knight Frank, </w:t>
      </w:r>
      <w:proofErr w:type="spellStart"/>
      <w:r w:rsidR="00A56B91" w:rsidRPr="420CCBE4">
        <w:rPr>
          <w:rFonts w:ascii="Arial Narrow" w:hAnsi="Arial Narrow" w:cs="Arial Narrow"/>
        </w:rPr>
        <w:t>Newmark</w:t>
      </w:r>
      <w:proofErr w:type="spellEnd"/>
      <w:r w:rsidR="00A56B91" w:rsidRPr="420CCBE4">
        <w:rPr>
          <w:rFonts w:ascii="Arial Narrow" w:hAnsi="Arial Narrow" w:cs="Arial Narrow"/>
        </w:rPr>
        <w:t xml:space="preserve"> Polska, </w:t>
      </w:r>
      <w:proofErr w:type="spellStart"/>
      <w:r w:rsidRPr="420CCBE4">
        <w:rPr>
          <w:rFonts w:ascii="Arial Narrow" w:hAnsi="Arial Narrow" w:cs="Arial Narrow"/>
        </w:rPr>
        <w:t>Savills</w:t>
      </w:r>
      <w:proofErr w:type="spellEnd"/>
      <w:r w:rsidRPr="420CCBE4">
        <w:rPr>
          <w:rFonts w:ascii="Arial Narrow" w:hAnsi="Arial Narrow" w:cs="Arial Narrow"/>
        </w:rPr>
        <w:t xml:space="preserve">), a podsumowanie dotyczy </w:t>
      </w:r>
      <w:r w:rsidR="00C11ABA" w:rsidRPr="420CCBE4">
        <w:rPr>
          <w:rFonts w:ascii="Arial Narrow" w:hAnsi="Arial Narrow" w:cs="Arial Narrow"/>
        </w:rPr>
        <w:t xml:space="preserve">istniejących </w:t>
      </w:r>
      <w:r w:rsidRPr="420CCBE4">
        <w:rPr>
          <w:rFonts w:ascii="Arial Narrow" w:hAnsi="Arial Narrow" w:cs="Arial Narrow"/>
        </w:rPr>
        <w:t>zasobów nowoczesnej powierzchni biurowej, nowych obiektów oddanych do użytku, wielkości transakcji wynajmu oraz ilości powierzchni niewynajętej.</w:t>
      </w:r>
      <w:bookmarkStart w:id="0" w:name="_Hlk6408425"/>
      <w:bookmarkEnd w:id="0"/>
    </w:p>
    <w:p w14:paraId="0DB1EC22" w14:textId="142A41B6" w:rsidR="00002EC4" w:rsidRDefault="00002EC4">
      <w:pPr>
        <w:ind w:right="261"/>
        <w:rPr>
          <w:rFonts w:ascii="Arial Narrow" w:hAnsi="Arial Narrow" w:cs="Arial Narrow"/>
        </w:rPr>
      </w:pPr>
    </w:p>
    <w:p w14:paraId="66BAD683" w14:textId="3E1BC567" w:rsidR="00C11ABA" w:rsidRPr="00D31578" w:rsidRDefault="00C11ABA" w:rsidP="6606D34B">
      <w:pPr>
        <w:numPr>
          <w:ilvl w:val="0"/>
          <w:numId w:val="15"/>
        </w:numPr>
        <w:textAlignment w:val="auto"/>
        <w:rPr>
          <w:rFonts w:ascii="Arial Narrow" w:hAnsi="Arial Narrow" w:cs="Arial Narrow"/>
        </w:rPr>
      </w:pPr>
      <w:r w:rsidRPr="162ABFB3">
        <w:rPr>
          <w:rFonts w:ascii="Arial Narrow" w:hAnsi="Arial Narrow" w:cs="Arial Narrow"/>
        </w:rPr>
        <w:t xml:space="preserve">Na koniec </w:t>
      </w:r>
      <w:r w:rsidR="00C50C18" w:rsidRPr="162ABFB3">
        <w:rPr>
          <w:rFonts w:ascii="Arial Narrow" w:hAnsi="Arial Narrow" w:cs="Arial Narrow"/>
        </w:rPr>
        <w:t>czwarte</w:t>
      </w:r>
      <w:r w:rsidR="0058279B" w:rsidRPr="162ABFB3">
        <w:rPr>
          <w:rFonts w:ascii="Arial Narrow" w:hAnsi="Arial Narrow" w:cs="Arial Narrow"/>
        </w:rPr>
        <w:t>go</w:t>
      </w:r>
      <w:r w:rsidR="00A13063" w:rsidRPr="162ABFB3">
        <w:rPr>
          <w:rFonts w:ascii="Arial Narrow" w:hAnsi="Arial Narrow" w:cs="Arial Narrow"/>
        </w:rPr>
        <w:t xml:space="preserve"> kwartału </w:t>
      </w:r>
      <w:r w:rsidRPr="162ABFB3">
        <w:rPr>
          <w:rFonts w:ascii="Arial Narrow" w:hAnsi="Arial Narrow" w:cs="Arial Narrow"/>
        </w:rPr>
        <w:t>20</w:t>
      </w:r>
      <w:r w:rsidR="006330EB" w:rsidRPr="162ABFB3">
        <w:rPr>
          <w:rFonts w:ascii="Arial Narrow" w:hAnsi="Arial Narrow" w:cs="Arial Narrow"/>
        </w:rPr>
        <w:t>2</w:t>
      </w:r>
      <w:r w:rsidR="003B49F8" w:rsidRPr="162ABFB3">
        <w:rPr>
          <w:rFonts w:ascii="Arial Narrow" w:hAnsi="Arial Narrow" w:cs="Arial Narrow"/>
        </w:rPr>
        <w:t>2</w:t>
      </w:r>
      <w:r w:rsidRPr="162ABFB3">
        <w:rPr>
          <w:rFonts w:ascii="Arial Narrow" w:hAnsi="Arial Narrow" w:cs="Arial Narrow"/>
        </w:rPr>
        <w:t xml:space="preserve"> roku całkowite istniejące zasoby nowoczesnej powierzchni biurowej na ośmiu głównych rynkach regionalnych wyniosły</w:t>
      </w:r>
      <w:r w:rsidR="001D1341" w:rsidRPr="162ABFB3">
        <w:rPr>
          <w:rFonts w:ascii="Arial Narrow" w:hAnsi="Arial Narrow" w:cs="Arial Narrow"/>
        </w:rPr>
        <w:t xml:space="preserve"> </w:t>
      </w:r>
      <w:r w:rsidR="00A56B91" w:rsidRPr="162ABFB3">
        <w:rPr>
          <w:rFonts w:ascii="Arial Narrow" w:hAnsi="Arial Narrow" w:cs="Arial Narrow"/>
        </w:rPr>
        <w:t>6</w:t>
      </w:r>
      <w:r w:rsidR="270606B3" w:rsidRPr="162ABFB3">
        <w:rPr>
          <w:rFonts w:ascii="Arial Narrow" w:hAnsi="Arial Narrow" w:cs="Arial Narrow"/>
        </w:rPr>
        <w:t xml:space="preserve"> 438 1</w:t>
      </w:r>
      <w:r w:rsidR="009E0159" w:rsidRPr="162ABFB3">
        <w:rPr>
          <w:rFonts w:ascii="Arial Narrow" w:hAnsi="Arial Narrow" w:cs="Arial Narrow"/>
        </w:rPr>
        <w:t>00</w:t>
      </w:r>
      <w:r w:rsidRPr="162ABFB3">
        <w:rPr>
          <w:rFonts w:ascii="Arial Narrow" w:hAnsi="Arial Narrow" w:cs="Arial Narrow"/>
        </w:rPr>
        <w:t xml:space="preserve"> m kw. Niezmiennie największymi rynkami biurowymi w Polsce (po Warszawie) pozostawały Kraków (1 </w:t>
      </w:r>
      <w:r w:rsidR="00C50C18" w:rsidRPr="162ABFB3">
        <w:rPr>
          <w:rFonts w:ascii="Arial Narrow" w:hAnsi="Arial Narrow" w:cs="Arial Narrow"/>
        </w:rPr>
        <w:t>708 0</w:t>
      </w:r>
      <w:r w:rsidR="001D1341" w:rsidRPr="162ABFB3">
        <w:rPr>
          <w:rFonts w:ascii="Arial Narrow" w:hAnsi="Arial Narrow" w:cs="Arial Narrow"/>
        </w:rPr>
        <w:t>00</w:t>
      </w:r>
      <w:r w:rsidRPr="162ABFB3">
        <w:rPr>
          <w:rFonts w:ascii="Arial Narrow" w:hAnsi="Arial Narrow" w:cs="Arial Narrow"/>
        </w:rPr>
        <w:t xml:space="preserve"> m kw.), </w:t>
      </w:r>
      <w:r>
        <w:br/>
      </w:r>
      <w:r w:rsidRPr="162ABFB3">
        <w:rPr>
          <w:rFonts w:ascii="Arial Narrow" w:hAnsi="Arial Narrow" w:cs="Arial Narrow"/>
        </w:rPr>
        <w:t>Wrocław (1 </w:t>
      </w:r>
      <w:r w:rsidR="0058279B" w:rsidRPr="162ABFB3">
        <w:rPr>
          <w:rFonts w:ascii="Arial Narrow" w:hAnsi="Arial Narrow" w:cs="Arial Narrow"/>
        </w:rPr>
        <w:t>32</w:t>
      </w:r>
      <w:r w:rsidR="00C50C18" w:rsidRPr="162ABFB3">
        <w:rPr>
          <w:rFonts w:ascii="Arial Narrow" w:hAnsi="Arial Narrow" w:cs="Arial Narrow"/>
        </w:rPr>
        <w:t>8 0</w:t>
      </w:r>
      <w:r w:rsidR="00A56B91" w:rsidRPr="162ABFB3">
        <w:rPr>
          <w:rFonts w:ascii="Arial Narrow" w:hAnsi="Arial Narrow" w:cs="Arial Narrow"/>
        </w:rPr>
        <w:t>00</w:t>
      </w:r>
      <w:r w:rsidRPr="162ABFB3">
        <w:rPr>
          <w:rFonts w:ascii="Arial Narrow" w:hAnsi="Arial Narrow" w:cs="Arial Narrow"/>
        </w:rPr>
        <w:t xml:space="preserve"> m kw.) oraz Trójmiasto (</w:t>
      </w:r>
      <w:r w:rsidR="009E0159" w:rsidRPr="162ABFB3">
        <w:rPr>
          <w:rFonts w:ascii="Arial Narrow" w:hAnsi="Arial Narrow" w:cs="Arial Narrow"/>
        </w:rPr>
        <w:t>1 01</w:t>
      </w:r>
      <w:r w:rsidR="00C50C18" w:rsidRPr="162ABFB3">
        <w:rPr>
          <w:rFonts w:ascii="Arial Narrow" w:hAnsi="Arial Narrow" w:cs="Arial Narrow"/>
        </w:rPr>
        <w:t>2</w:t>
      </w:r>
      <w:r w:rsidRPr="162ABFB3">
        <w:rPr>
          <w:rFonts w:ascii="Arial Narrow" w:hAnsi="Arial Narrow" w:cs="Arial Narrow"/>
        </w:rPr>
        <w:t> </w:t>
      </w:r>
      <w:r w:rsidR="00C50C18" w:rsidRPr="162ABFB3">
        <w:rPr>
          <w:rFonts w:ascii="Arial Narrow" w:hAnsi="Arial Narrow" w:cs="Arial Narrow"/>
        </w:rPr>
        <w:t>1</w:t>
      </w:r>
      <w:r w:rsidR="001D1341" w:rsidRPr="162ABFB3">
        <w:rPr>
          <w:rFonts w:ascii="Arial Narrow" w:hAnsi="Arial Narrow" w:cs="Arial Narrow"/>
        </w:rPr>
        <w:t>00</w:t>
      </w:r>
      <w:r w:rsidRPr="162ABFB3">
        <w:rPr>
          <w:rFonts w:ascii="Arial Narrow" w:hAnsi="Arial Narrow" w:cs="Arial Narrow"/>
        </w:rPr>
        <w:t xml:space="preserve"> m kw.).</w:t>
      </w:r>
    </w:p>
    <w:p w14:paraId="5275F730" w14:textId="77777777" w:rsidR="00C11ABA" w:rsidRPr="00D31578" w:rsidRDefault="00C11ABA" w:rsidP="00C11ABA">
      <w:pPr>
        <w:textAlignment w:val="auto"/>
        <w:rPr>
          <w:rFonts w:ascii="Arial Narrow" w:hAnsi="Arial Narrow" w:cs="Arial Narrow"/>
        </w:rPr>
      </w:pPr>
    </w:p>
    <w:p w14:paraId="211D662F" w14:textId="5A28B548" w:rsidR="00276D42" w:rsidRDefault="15B2D93A" w:rsidP="00FC2B53">
      <w:pPr>
        <w:numPr>
          <w:ilvl w:val="0"/>
          <w:numId w:val="17"/>
        </w:numPr>
        <w:textAlignment w:val="auto"/>
        <w:rPr>
          <w:rFonts w:ascii="Arial Narrow" w:hAnsi="Arial Narrow" w:cs="Arial Narrow"/>
        </w:rPr>
      </w:pPr>
      <w:r w:rsidRPr="7DA64ADE">
        <w:rPr>
          <w:rFonts w:ascii="Arial Narrow" w:hAnsi="Arial Narrow" w:cs="Arial Narrow"/>
        </w:rPr>
        <w:t xml:space="preserve">W </w:t>
      </w:r>
      <w:r w:rsidR="00C50C18" w:rsidRPr="7DA64ADE">
        <w:rPr>
          <w:rFonts w:ascii="Arial Narrow" w:hAnsi="Arial Narrow" w:cs="Arial Narrow"/>
        </w:rPr>
        <w:t>czwartym</w:t>
      </w:r>
      <w:r w:rsidR="003B49F8" w:rsidRPr="7DA64ADE">
        <w:rPr>
          <w:rFonts w:ascii="Arial Narrow" w:hAnsi="Arial Narrow" w:cs="Arial Narrow"/>
        </w:rPr>
        <w:t xml:space="preserve"> kwartale </w:t>
      </w:r>
      <w:r w:rsidR="00276D42" w:rsidRPr="7DA64ADE">
        <w:rPr>
          <w:rFonts w:ascii="Arial Narrow" w:hAnsi="Arial Narrow" w:cs="Arial Narrow"/>
        </w:rPr>
        <w:t>202</w:t>
      </w:r>
      <w:r w:rsidR="003B49F8" w:rsidRPr="7DA64ADE">
        <w:rPr>
          <w:rFonts w:ascii="Arial Narrow" w:hAnsi="Arial Narrow" w:cs="Arial Narrow"/>
        </w:rPr>
        <w:t>2</w:t>
      </w:r>
      <w:r w:rsidR="00276D42" w:rsidRPr="7DA64ADE">
        <w:rPr>
          <w:rFonts w:ascii="Arial Narrow" w:hAnsi="Arial Narrow" w:cs="Arial Narrow"/>
        </w:rPr>
        <w:t xml:space="preserve"> roku do użytkowania oddano</w:t>
      </w:r>
      <w:r w:rsidR="40133D2E" w:rsidRPr="7DA64ADE">
        <w:rPr>
          <w:rFonts w:ascii="Arial Narrow" w:hAnsi="Arial Narrow" w:cs="Arial Narrow"/>
        </w:rPr>
        <w:t xml:space="preserve"> obiekty</w:t>
      </w:r>
      <w:r w:rsidR="00276D42" w:rsidRPr="7DA64ADE">
        <w:rPr>
          <w:rFonts w:ascii="Arial Narrow" w:hAnsi="Arial Narrow" w:cs="Arial Narrow"/>
        </w:rPr>
        <w:t xml:space="preserve"> o łącznej powierzchni </w:t>
      </w:r>
      <w:r w:rsidR="00C50C18" w:rsidRPr="7DA64ADE">
        <w:rPr>
          <w:rFonts w:ascii="Arial Narrow" w:hAnsi="Arial Narrow" w:cs="Arial Narrow"/>
        </w:rPr>
        <w:t>73 800</w:t>
      </w:r>
      <w:r w:rsidR="00276D42" w:rsidRPr="7DA64ADE">
        <w:rPr>
          <w:rFonts w:ascii="Arial Narrow" w:hAnsi="Arial Narrow" w:cs="Arial Narrow"/>
        </w:rPr>
        <w:t xml:space="preserve"> m kw.</w:t>
      </w:r>
      <w:r w:rsidR="0058279B" w:rsidRPr="7DA64ADE">
        <w:rPr>
          <w:rFonts w:ascii="Arial Narrow" w:hAnsi="Arial Narrow" w:cs="Arial Narrow"/>
        </w:rPr>
        <w:t xml:space="preserve"> </w:t>
      </w:r>
      <w:r w:rsidR="00C50C18" w:rsidRPr="7DA64ADE">
        <w:rPr>
          <w:rFonts w:ascii="Arial Narrow" w:hAnsi="Arial Narrow" w:cs="Arial Narrow"/>
        </w:rPr>
        <w:t xml:space="preserve">Największymi projektami były Brain Park A </w:t>
      </w:r>
      <w:r>
        <w:br/>
      </w:r>
      <w:r w:rsidR="00C50C18" w:rsidRPr="7DA64ADE">
        <w:rPr>
          <w:rFonts w:ascii="Arial Narrow" w:hAnsi="Arial Narrow" w:cs="Arial Narrow"/>
        </w:rPr>
        <w:t>oraz Brain Park B (</w:t>
      </w:r>
      <w:r w:rsidR="0058279B" w:rsidRPr="7DA64ADE">
        <w:rPr>
          <w:rFonts w:ascii="Arial Narrow" w:hAnsi="Arial Narrow" w:cs="Arial Narrow"/>
        </w:rPr>
        <w:t xml:space="preserve">deweloper </w:t>
      </w:r>
      <w:r w:rsidR="00C50C18" w:rsidRPr="7DA64ADE">
        <w:rPr>
          <w:rFonts w:ascii="Arial Narrow" w:hAnsi="Arial Narrow" w:cs="Arial Narrow"/>
        </w:rPr>
        <w:t>Echo Investment, 13 900 m kw. oraz 17 100</w:t>
      </w:r>
      <w:r w:rsidR="0058279B" w:rsidRPr="7DA64ADE">
        <w:rPr>
          <w:rFonts w:ascii="Arial Narrow" w:hAnsi="Arial Narrow" w:cs="Arial Narrow"/>
        </w:rPr>
        <w:t xml:space="preserve"> m kw.) oraz </w:t>
      </w:r>
      <w:r w:rsidR="00C50C18" w:rsidRPr="7DA64ADE">
        <w:rPr>
          <w:rFonts w:ascii="Arial Narrow" w:hAnsi="Arial Narrow" w:cs="Arial Narrow"/>
        </w:rPr>
        <w:t>kolejne fazy kompleksu biurowego Fabryczna Office Park – budynek B4 (Inter-Bud, 12 200</w:t>
      </w:r>
      <w:r w:rsidR="0058279B" w:rsidRPr="7DA64ADE">
        <w:rPr>
          <w:rFonts w:ascii="Arial Narrow" w:hAnsi="Arial Narrow" w:cs="Arial Narrow"/>
        </w:rPr>
        <w:t xml:space="preserve"> m kw.)</w:t>
      </w:r>
      <w:r w:rsidR="00C50C18" w:rsidRPr="7DA64ADE">
        <w:rPr>
          <w:rFonts w:ascii="Arial Narrow" w:hAnsi="Arial Narrow" w:cs="Arial Narrow"/>
        </w:rPr>
        <w:t xml:space="preserve"> oraz H1 (Inter-Bud, 9 </w:t>
      </w:r>
      <w:r w:rsidR="6B842D15" w:rsidRPr="7DA64ADE">
        <w:rPr>
          <w:rFonts w:ascii="Arial Narrow" w:hAnsi="Arial Narrow" w:cs="Arial Narrow"/>
        </w:rPr>
        <w:t>6</w:t>
      </w:r>
      <w:r w:rsidR="00C50C18" w:rsidRPr="7DA64ADE">
        <w:rPr>
          <w:rFonts w:ascii="Arial Narrow" w:hAnsi="Arial Narrow" w:cs="Arial Narrow"/>
        </w:rPr>
        <w:t>00 m kw.)</w:t>
      </w:r>
      <w:r w:rsidR="0058279B" w:rsidRPr="7DA64ADE">
        <w:rPr>
          <w:rFonts w:ascii="Arial Narrow" w:hAnsi="Arial Narrow" w:cs="Arial Narrow"/>
        </w:rPr>
        <w:t>.</w:t>
      </w:r>
      <w:r w:rsidR="00C50C18" w:rsidRPr="7DA64ADE">
        <w:rPr>
          <w:rFonts w:ascii="Arial Narrow" w:hAnsi="Arial Narrow" w:cs="Arial Narrow"/>
        </w:rPr>
        <w:t xml:space="preserve"> Wszystkie </w:t>
      </w:r>
      <w:r w:rsidR="610A65AB" w:rsidRPr="7DA64ADE">
        <w:rPr>
          <w:rFonts w:ascii="Arial Narrow" w:hAnsi="Arial Narrow" w:cs="Arial Narrow"/>
        </w:rPr>
        <w:t xml:space="preserve">cztery </w:t>
      </w:r>
      <w:r w:rsidR="00C50C18" w:rsidRPr="7DA64ADE">
        <w:rPr>
          <w:rFonts w:ascii="Arial Narrow" w:hAnsi="Arial Narrow" w:cs="Arial Narrow"/>
        </w:rPr>
        <w:t>wymienione p</w:t>
      </w:r>
      <w:r w:rsidR="0058279B" w:rsidRPr="7DA64ADE">
        <w:rPr>
          <w:rFonts w:ascii="Arial Narrow" w:hAnsi="Arial Narrow" w:cs="Arial Narrow"/>
        </w:rPr>
        <w:t xml:space="preserve">rojekty </w:t>
      </w:r>
      <w:r w:rsidR="00C50C18" w:rsidRPr="7DA64ADE">
        <w:rPr>
          <w:rFonts w:ascii="Arial Narrow" w:hAnsi="Arial Narrow" w:cs="Arial Narrow"/>
        </w:rPr>
        <w:t xml:space="preserve">zlokalizowane są w Krakowie. </w:t>
      </w:r>
      <w:r>
        <w:br/>
      </w:r>
      <w:r w:rsidR="00C50C18" w:rsidRPr="7DA64ADE">
        <w:rPr>
          <w:rFonts w:ascii="Arial Narrow" w:hAnsi="Arial Narrow" w:cs="Arial Narrow"/>
        </w:rPr>
        <w:t xml:space="preserve">Poza tym rynkiem, nowoczesna podaż powierzchni biurowej wzrosła </w:t>
      </w:r>
      <w:r w:rsidR="70BA4BA5" w:rsidRPr="7DA64ADE">
        <w:rPr>
          <w:rFonts w:ascii="Arial Narrow" w:hAnsi="Arial Narrow" w:cs="Arial Narrow"/>
        </w:rPr>
        <w:t xml:space="preserve">po oddaniu do użytku nowych budynków </w:t>
      </w:r>
      <w:r w:rsidR="00C50C18" w:rsidRPr="7DA64ADE">
        <w:rPr>
          <w:rFonts w:ascii="Arial Narrow" w:hAnsi="Arial Narrow" w:cs="Arial Narrow"/>
        </w:rPr>
        <w:t>również w Katowicach, Wrocławiu, Łodzi i Lublinie.</w:t>
      </w:r>
    </w:p>
    <w:p w14:paraId="44B92E0E" w14:textId="77777777" w:rsidR="0058279B" w:rsidRPr="0058279B" w:rsidRDefault="0058279B" w:rsidP="0058279B">
      <w:pPr>
        <w:ind w:left="720"/>
        <w:textAlignment w:val="auto"/>
        <w:rPr>
          <w:rFonts w:ascii="Arial Narrow" w:hAnsi="Arial Narrow" w:cs="Arial Narrow"/>
        </w:rPr>
      </w:pPr>
    </w:p>
    <w:p w14:paraId="7FE5CE92" w14:textId="651CF8CB" w:rsidR="00276D42" w:rsidRPr="00661338" w:rsidRDefault="00276D42" w:rsidP="00276D42">
      <w:pPr>
        <w:numPr>
          <w:ilvl w:val="0"/>
          <w:numId w:val="17"/>
        </w:numPr>
        <w:textAlignment w:val="auto"/>
        <w:rPr>
          <w:rFonts w:ascii="Arial Narrow" w:hAnsi="Arial Narrow" w:cs="Arial Narrow"/>
        </w:rPr>
      </w:pPr>
      <w:r w:rsidRPr="729BC225">
        <w:rPr>
          <w:rFonts w:ascii="Arial Narrow" w:hAnsi="Arial Narrow" w:cs="Arial Narrow"/>
        </w:rPr>
        <w:t xml:space="preserve">Na koniec </w:t>
      </w:r>
      <w:r w:rsidR="00C50C18">
        <w:rPr>
          <w:rFonts w:ascii="Arial Narrow" w:hAnsi="Arial Narrow" w:cs="Arial Narrow"/>
        </w:rPr>
        <w:t>czwar</w:t>
      </w:r>
      <w:r w:rsidR="00C50C18" w:rsidRPr="729BC225">
        <w:rPr>
          <w:rFonts w:ascii="Arial Narrow" w:hAnsi="Arial Narrow" w:cs="Arial Narrow"/>
        </w:rPr>
        <w:t>tego</w:t>
      </w:r>
      <w:r w:rsidRPr="729BC225">
        <w:rPr>
          <w:rFonts w:ascii="Arial Narrow" w:hAnsi="Arial Narrow" w:cs="Arial Narrow"/>
        </w:rPr>
        <w:t xml:space="preserve"> kwartału 202</w:t>
      </w:r>
      <w:r w:rsidR="00242C0D" w:rsidRPr="729BC225">
        <w:rPr>
          <w:rFonts w:ascii="Arial Narrow" w:hAnsi="Arial Narrow" w:cs="Arial Narrow"/>
        </w:rPr>
        <w:t>2</w:t>
      </w:r>
      <w:r w:rsidRPr="729BC225">
        <w:rPr>
          <w:rFonts w:ascii="Arial Narrow" w:hAnsi="Arial Narrow" w:cs="Arial Narrow"/>
        </w:rPr>
        <w:t xml:space="preserve"> roku na ośmiu głównych rynkach regionalnych do wynajęcia od zaraz pozostawało </w:t>
      </w:r>
      <w:r w:rsidR="00242C0D" w:rsidRPr="729BC225">
        <w:rPr>
          <w:rFonts w:ascii="Arial Narrow" w:hAnsi="Arial Narrow" w:cs="Arial Narrow"/>
        </w:rPr>
        <w:t>9</w:t>
      </w:r>
      <w:r w:rsidR="00C50C18">
        <w:rPr>
          <w:rFonts w:ascii="Arial Narrow" w:hAnsi="Arial Narrow" w:cs="Arial Narrow"/>
        </w:rPr>
        <w:t>85 1</w:t>
      </w:r>
      <w:r w:rsidR="00242C0D" w:rsidRPr="729BC225">
        <w:rPr>
          <w:rFonts w:ascii="Arial Narrow" w:hAnsi="Arial Narrow" w:cs="Arial Narrow"/>
        </w:rPr>
        <w:t>00</w:t>
      </w:r>
      <w:r w:rsidRPr="729BC225">
        <w:rPr>
          <w:rFonts w:ascii="Arial Narrow" w:hAnsi="Arial Narrow" w:cs="Arial Narrow"/>
        </w:rPr>
        <w:t xml:space="preserve"> m kw. powierzchni biurowej, </w:t>
      </w:r>
      <w:r w:rsidR="00242C0D" w:rsidRPr="729BC225">
        <w:rPr>
          <w:rFonts w:ascii="Arial Narrow" w:hAnsi="Arial Narrow" w:cs="Arial Narrow"/>
        </w:rPr>
        <w:t>co odpowiada</w:t>
      </w:r>
      <w:r w:rsidRPr="729BC225">
        <w:rPr>
          <w:rFonts w:ascii="Arial Narrow" w:hAnsi="Arial Narrow" w:cs="Arial Narrow"/>
        </w:rPr>
        <w:t xml:space="preserve"> stop</w:t>
      </w:r>
      <w:r w:rsidR="00242C0D" w:rsidRPr="729BC225">
        <w:rPr>
          <w:rFonts w:ascii="Arial Narrow" w:hAnsi="Arial Narrow" w:cs="Arial Narrow"/>
        </w:rPr>
        <w:t>ie</w:t>
      </w:r>
      <w:r w:rsidRPr="729BC225">
        <w:rPr>
          <w:rFonts w:ascii="Arial Narrow" w:hAnsi="Arial Narrow" w:cs="Arial Narrow"/>
        </w:rPr>
        <w:t xml:space="preserve"> pustostanu na poziomie </w:t>
      </w:r>
      <w:r w:rsidR="00242C0D" w:rsidRPr="729BC225">
        <w:rPr>
          <w:rFonts w:ascii="Arial Narrow" w:hAnsi="Arial Narrow" w:cs="Arial Narrow"/>
        </w:rPr>
        <w:t>15</w:t>
      </w:r>
      <w:r w:rsidR="00DB6F74" w:rsidRPr="729BC225">
        <w:rPr>
          <w:rFonts w:ascii="Arial Narrow" w:hAnsi="Arial Narrow" w:cs="Arial Narrow"/>
        </w:rPr>
        <w:t>,</w:t>
      </w:r>
      <w:r w:rsidR="00C50C18">
        <w:rPr>
          <w:rFonts w:ascii="Arial Narrow" w:hAnsi="Arial Narrow" w:cs="Arial Narrow"/>
        </w:rPr>
        <w:t>3</w:t>
      </w:r>
      <w:r w:rsidRPr="729BC225">
        <w:rPr>
          <w:rFonts w:ascii="Arial Narrow" w:hAnsi="Arial Narrow" w:cs="Arial Narrow"/>
        </w:rPr>
        <w:t>% (</w:t>
      </w:r>
      <w:r w:rsidR="00D03A92" w:rsidRPr="729BC225">
        <w:rPr>
          <w:rFonts w:ascii="Arial Narrow" w:hAnsi="Arial Narrow" w:cs="Arial Narrow"/>
        </w:rPr>
        <w:t>wzrost</w:t>
      </w:r>
      <w:r w:rsidRPr="729BC225">
        <w:rPr>
          <w:rFonts w:ascii="Arial Narrow" w:hAnsi="Arial Narrow" w:cs="Arial Narrow"/>
        </w:rPr>
        <w:t xml:space="preserve"> o </w:t>
      </w:r>
      <w:r w:rsidR="009E0159" w:rsidRPr="729BC225">
        <w:rPr>
          <w:rFonts w:ascii="Arial Narrow" w:hAnsi="Arial Narrow" w:cs="Arial Narrow"/>
        </w:rPr>
        <w:t>0</w:t>
      </w:r>
      <w:r w:rsidRPr="729BC225">
        <w:rPr>
          <w:rFonts w:ascii="Arial Narrow" w:hAnsi="Arial Narrow" w:cs="Arial Narrow"/>
        </w:rPr>
        <w:t>,</w:t>
      </w:r>
      <w:r w:rsidR="00C50C18">
        <w:rPr>
          <w:rFonts w:ascii="Arial Narrow" w:hAnsi="Arial Narrow" w:cs="Arial Narrow"/>
        </w:rPr>
        <w:t>1</w:t>
      </w:r>
      <w:r w:rsidR="57F24805" w:rsidRPr="729BC225">
        <w:rPr>
          <w:rFonts w:ascii="Arial Narrow" w:hAnsi="Arial Narrow" w:cs="Arial Narrow"/>
        </w:rPr>
        <w:t xml:space="preserve"> </w:t>
      </w:r>
      <w:proofErr w:type="spellStart"/>
      <w:r w:rsidRPr="729BC225">
        <w:rPr>
          <w:rFonts w:ascii="Arial Narrow" w:hAnsi="Arial Narrow" w:cs="Arial Narrow"/>
        </w:rPr>
        <w:t>p.p</w:t>
      </w:r>
      <w:proofErr w:type="spellEnd"/>
      <w:r w:rsidRPr="729BC225">
        <w:rPr>
          <w:rFonts w:ascii="Arial Narrow" w:hAnsi="Arial Narrow" w:cs="Arial Narrow"/>
        </w:rPr>
        <w:t xml:space="preserve">. kw./kw. oraz wzrost o </w:t>
      </w:r>
      <w:r w:rsidR="00A43486" w:rsidRPr="729BC225">
        <w:rPr>
          <w:rFonts w:ascii="Arial Narrow" w:hAnsi="Arial Narrow" w:cs="Arial Narrow"/>
        </w:rPr>
        <w:t>1,</w:t>
      </w:r>
      <w:r w:rsidR="00607287">
        <w:rPr>
          <w:rFonts w:ascii="Arial Narrow" w:hAnsi="Arial Narrow" w:cs="Arial Narrow"/>
        </w:rPr>
        <w:t>2</w:t>
      </w:r>
      <w:r w:rsidRPr="729BC225">
        <w:rPr>
          <w:rFonts w:ascii="Arial Narrow" w:hAnsi="Arial Narrow" w:cs="Arial Narrow"/>
        </w:rPr>
        <w:t xml:space="preserve"> </w:t>
      </w:r>
      <w:proofErr w:type="spellStart"/>
      <w:r w:rsidRPr="729BC225">
        <w:rPr>
          <w:rFonts w:ascii="Arial Narrow" w:hAnsi="Arial Narrow" w:cs="Arial Narrow"/>
        </w:rPr>
        <w:t>p.p</w:t>
      </w:r>
      <w:proofErr w:type="spellEnd"/>
      <w:r w:rsidRPr="729BC225">
        <w:rPr>
          <w:rFonts w:ascii="Arial Narrow" w:hAnsi="Arial Narrow" w:cs="Arial Narrow"/>
        </w:rPr>
        <w:t xml:space="preserve">. w porównaniu do </w:t>
      </w:r>
      <w:r w:rsidR="00242C0D" w:rsidRPr="729BC225">
        <w:rPr>
          <w:rFonts w:ascii="Arial Narrow" w:hAnsi="Arial Narrow" w:cs="Arial Narrow"/>
        </w:rPr>
        <w:t>analogicznego okresu w</w:t>
      </w:r>
      <w:r w:rsidRPr="729BC225">
        <w:rPr>
          <w:rFonts w:ascii="Arial Narrow" w:hAnsi="Arial Narrow" w:cs="Arial Narrow"/>
        </w:rPr>
        <w:t xml:space="preserve"> 20</w:t>
      </w:r>
      <w:r w:rsidR="00DB6F74" w:rsidRPr="729BC225">
        <w:rPr>
          <w:rFonts w:ascii="Arial Narrow" w:hAnsi="Arial Narrow" w:cs="Arial Narrow"/>
        </w:rPr>
        <w:t>2</w:t>
      </w:r>
      <w:r w:rsidR="00242C0D" w:rsidRPr="729BC225">
        <w:rPr>
          <w:rFonts w:ascii="Arial Narrow" w:hAnsi="Arial Narrow" w:cs="Arial Narrow"/>
        </w:rPr>
        <w:t>1</w:t>
      </w:r>
      <w:r w:rsidRPr="729BC225">
        <w:rPr>
          <w:rFonts w:ascii="Arial Narrow" w:hAnsi="Arial Narrow" w:cs="Arial Narrow"/>
        </w:rPr>
        <w:t xml:space="preserve"> roku). Najwyższy współczynnik pustostanów odnotowano </w:t>
      </w:r>
      <w:r w:rsidRPr="729BC225">
        <w:rPr>
          <w:rFonts w:ascii="Arial Narrow" w:hAnsi="Arial Narrow"/>
        </w:rPr>
        <w:t>w</w:t>
      </w:r>
      <w:r w:rsidR="00DB6F74" w:rsidRPr="729BC225">
        <w:rPr>
          <w:rFonts w:ascii="Arial Narrow" w:hAnsi="Arial Narrow"/>
        </w:rPr>
        <w:t xml:space="preserve"> </w:t>
      </w:r>
      <w:r w:rsidR="009E0159" w:rsidRPr="729BC225">
        <w:rPr>
          <w:rFonts w:ascii="Arial Narrow" w:hAnsi="Arial Narrow"/>
        </w:rPr>
        <w:t>Łodzi</w:t>
      </w:r>
      <w:r w:rsidRPr="729BC225">
        <w:rPr>
          <w:rFonts w:ascii="Arial Narrow" w:hAnsi="Arial Narrow"/>
        </w:rPr>
        <w:t xml:space="preserve"> </w:t>
      </w:r>
      <w:r w:rsidRPr="729BC225">
        <w:rPr>
          <w:rFonts w:ascii="Arial Narrow" w:hAnsi="Arial Narrow" w:cs="Arial Narrow"/>
        </w:rPr>
        <w:t xml:space="preserve">– </w:t>
      </w:r>
      <w:r w:rsidR="00D03A92" w:rsidRPr="729BC225">
        <w:rPr>
          <w:rFonts w:ascii="Arial Narrow" w:hAnsi="Arial Narrow" w:cs="Arial Narrow"/>
        </w:rPr>
        <w:t>2</w:t>
      </w:r>
      <w:r w:rsidR="00607287">
        <w:rPr>
          <w:rFonts w:ascii="Arial Narrow" w:hAnsi="Arial Narrow" w:cs="Arial Narrow"/>
        </w:rPr>
        <w:t>1</w:t>
      </w:r>
      <w:r w:rsidR="44A835CB" w:rsidRPr="729BC225">
        <w:rPr>
          <w:rFonts w:ascii="Arial Narrow" w:hAnsi="Arial Narrow" w:cs="Arial Narrow"/>
        </w:rPr>
        <w:t>,</w:t>
      </w:r>
      <w:r w:rsidR="00D03A92" w:rsidRPr="729BC225">
        <w:rPr>
          <w:rFonts w:ascii="Arial Narrow" w:hAnsi="Arial Narrow" w:cs="Arial Narrow"/>
        </w:rPr>
        <w:t>0</w:t>
      </w:r>
      <w:r w:rsidRPr="729BC225">
        <w:rPr>
          <w:rFonts w:ascii="Arial Narrow" w:hAnsi="Arial Narrow" w:cs="Arial Narrow"/>
        </w:rPr>
        <w:t xml:space="preserve">%, najniższy w Szczecinie – </w:t>
      </w:r>
      <w:r w:rsidR="00607287">
        <w:rPr>
          <w:rFonts w:ascii="Arial Narrow" w:hAnsi="Arial Narrow" w:cs="Arial Narrow"/>
        </w:rPr>
        <w:t>5,8</w:t>
      </w:r>
      <w:r w:rsidRPr="729BC225">
        <w:rPr>
          <w:rFonts w:ascii="Arial Narrow" w:hAnsi="Arial Narrow" w:cs="Arial Narrow"/>
        </w:rPr>
        <w:t>%</w:t>
      </w:r>
      <w:r w:rsidR="00D03A92" w:rsidRPr="729BC225">
        <w:rPr>
          <w:rFonts w:ascii="Arial Narrow" w:hAnsi="Arial Narrow" w:cs="Arial Narrow"/>
        </w:rPr>
        <w:t xml:space="preserve"> (jedyne miasto ze stopą pustostanów poniżej 10</w:t>
      </w:r>
      <w:r w:rsidR="1B5DBD24" w:rsidRPr="729BC225">
        <w:rPr>
          <w:rFonts w:ascii="Arial Narrow" w:hAnsi="Arial Narrow" w:cs="Arial Narrow"/>
        </w:rPr>
        <w:t>,</w:t>
      </w:r>
      <w:r w:rsidR="00D03A92" w:rsidRPr="729BC225">
        <w:rPr>
          <w:rFonts w:ascii="Arial Narrow" w:hAnsi="Arial Narrow" w:cs="Arial Narrow"/>
        </w:rPr>
        <w:t>0%)</w:t>
      </w:r>
      <w:r w:rsidRPr="729BC225">
        <w:rPr>
          <w:rFonts w:ascii="Arial Narrow" w:hAnsi="Arial Narrow" w:cs="Arial Narrow"/>
        </w:rPr>
        <w:t>.</w:t>
      </w:r>
    </w:p>
    <w:p w14:paraId="2E32AB67" w14:textId="77777777" w:rsidR="00276D42" w:rsidRPr="0058279B" w:rsidRDefault="00276D42" w:rsidP="00276D42">
      <w:pPr>
        <w:pStyle w:val="Akapitzlist"/>
        <w:rPr>
          <w:rFonts w:ascii="Arial Narrow" w:hAnsi="Arial Narrow" w:cs="Arial Narrow"/>
        </w:rPr>
      </w:pPr>
    </w:p>
    <w:p w14:paraId="68E66BB4" w14:textId="2BC74060" w:rsidR="00276D42" w:rsidRPr="0058279B" w:rsidRDefault="00276D42" w:rsidP="00276D42">
      <w:pPr>
        <w:numPr>
          <w:ilvl w:val="0"/>
          <w:numId w:val="17"/>
        </w:numPr>
        <w:jc w:val="both"/>
        <w:textAlignment w:val="auto"/>
        <w:rPr>
          <w:rFonts w:ascii="Arial Narrow" w:hAnsi="Arial Narrow" w:cs="Arial Narrow"/>
        </w:rPr>
      </w:pPr>
      <w:r w:rsidRPr="2A335D0A">
        <w:rPr>
          <w:rFonts w:ascii="Arial Narrow" w:hAnsi="Arial Narrow" w:cs="Arial Narrow"/>
        </w:rPr>
        <w:lastRenderedPageBreak/>
        <w:t xml:space="preserve">Całkowity wolumen transakcji najmu zarejestrowanych w </w:t>
      </w:r>
      <w:r w:rsidR="00607287" w:rsidRPr="2A335D0A">
        <w:rPr>
          <w:rFonts w:ascii="Arial Narrow" w:hAnsi="Arial Narrow" w:cs="Arial Narrow"/>
        </w:rPr>
        <w:t>czwartym</w:t>
      </w:r>
      <w:r w:rsidR="00242C0D" w:rsidRPr="2A335D0A">
        <w:rPr>
          <w:rFonts w:ascii="Arial Narrow" w:hAnsi="Arial Narrow" w:cs="Arial Narrow"/>
        </w:rPr>
        <w:t xml:space="preserve"> kwartale </w:t>
      </w:r>
      <w:r w:rsidRPr="2A335D0A">
        <w:rPr>
          <w:rFonts w:ascii="Arial Narrow" w:hAnsi="Arial Narrow" w:cs="Arial Narrow"/>
        </w:rPr>
        <w:t>202</w:t>
      </w:r>
      <w:r w:rsidR="00242C0D" w:rsidRPr="2A335D0A">
        <w:rPr>
          <w:rFonts w:ascii="Arial Narrow" w:hAnsi="Arial Narrow" w:cs="Arial Narrow"/>
        </w:rPr>
        <w:t>2</w:t>
      </w:r>
      <w:r w:rsidRPr="2A335D0A">
        <w:rPr>
          <w:rFonts w:ascii="Arial Narrow" w:hAnsi="Arial Narrow" w:cs="Arial Narrow"/>
        </w:rPr>
        <w:t xml:space="preserve"> roku wyniósł </w:t>
      </w:r>
      <w:r w:rsidR="00242C0D" w:rsidRPr="2A335D0A">
        <w:rPr>
          <w:rFonts w:ascii="Arial Narrow" w:hAnsi="Arial Narrow" w:cs="Arial Narrow"/>
        </w:rPr>
        <w:t>1</w:t>
      </w:r>
      <w:r w:rsidR="00607287" w:rsidRPr="2A335D0A">
        <w:rPr>
          <w:rFonts w:ascii="Arial Narrow" w:hAnsi="Arial Narrow" w:cs="Arial Narrow"/>
        </w:rPr>
        <w:t>74 700</w:t>
      </w:r>
      <w:r w:rsidRPr="2A335D0A">
        <w:rPr>
          <w:rFonts w:ascii="Arial Narrow" w:hAnsi="Arial Narrow" w:cs="Arial Narrow"/>
          <w:b/>
          <w:bCs/>
        </w:rPr>
        <w:t xml:space="preserve"> </w:t>
      </w:r>
      <w:r w:rsidRPr="2A335D0A">
        <w:rPr>
          <w:rFonts w:ascii="Arial Narrow" w:hAnsi="Arial Narrow" w:cs="Arial Narrow"/>
        </w:rPr>
        <w:t xml:space="preserve">m kw., co jest wartością o </w:t>
      </w:r>
      <w:r w:rsidR="00607287" w:rsidRPr="2A335D0A">
        <w:rPr>
          <w:rFonts w:ascii="Arial Narrow" w:hAnsi="Arial Narrow" w:cs="Arial Narrow"/>
        </w:rPr>
        <w:t>65</w:t>
      </w:r>
      <w:r w:rsidR="00DB6F74" w:rsidRPr="2A335D0A">
        <w:rPr>
          <w:rFonts w:ascii="Arial Narrow" w:hAnsi="Arial Narrow" w:cs="Arial Narrow"/>
        </w:rPr>
        <w:t>%</w:t>
      </w:r>
      <w:r w:rsidRPr="2A335D0A">
        <w:rPr>
          <w:rFonts w:ascii="Arial Narrow" w:hAnsi="Arial Narrow" w:cs="Arial Narrow"/>
        </w:rPr>
        <w:t xml:space="preserve"> </w:t>
      </w:r>
      <w:r w:rsidR="00607287" w:rsidRPr="2A335D0A">
        <w:rPr>
          <w:rFonts w:ascii="Arial Narrow" w:hAnsi="Arial Narrow" w:cs="Arial Narrow"/>
        </w:rPr>
        <w:t>większą</w:t>
      </w:r>
      <w:r w:rsidRPr="2A335D0A">
        <w:rPr>
          <w:rFonts w:ascii="Arial Narrow" w:hAnsi="Arial Narrow" w:cs="Arial Narrow"/>
        </w:rPr>
        <w:t xml:space="preserve"> niż </w:t>
      </w:r>
      <w:r>
        <w:br/>
      </w:r>
      <w:r w:rsidR="00242C0D" w:rsidRPr="2A335D0A">
        <w:rPr>
          <w:rFonts w:ascii="Arial Narrow" w:hAnsi="Arial Narrow" w:cs="Arial Narrow"/>
        </w:rPr>
        <w:t xml:space="preserve">w kwartale </w:t>
      </w:r>
      <w:r w:rsidR="2687D60E" w:rsidRPr="2A335D0A">
        <w:rPr>
          <w:rFonts w:ascii="Arial Narrow" w:hAnsi="Arial Narrow" w:cs="Arial Narrow"/>
        </w:rPr>
        <w:t>ubiegłym</w:t>
      </w:r>
      <w:r w:rsidR="00242C0D" w:rsidRPr="2A335D0A">
        <w:rPr>
          <w:rFonts w:ascii="Arial Narrow" w:hAnsi="Arial Narrow" w:cs="Arial Narrow"/>
        </w:rPr>
        <w:t xml:space="preserve"> </w:t>
      </w:r>
      <w:r w:rsidR="009E0159" w:rsidRPr="2A335D0A">
        <w:rPr>
          <w:rFonts w:ascii="Arial Narrow" w:hAnsi="Arial Narrow" w:cs="Arial Narrow"/>
        </w:rPr>
        <w:t>i</w:t>
      </w:r>
      <w:r w:rsidR="00242C0D" w:rsidRPr="2A335D0A">
        <w:rPr>
          <w:rFonts w:ascii="Arial Narrow" w:hAnsi="Arial Narrow" w:cs="Arial Narrow"/>
        </w:rPr>
        <w:t xml:space="preserve"> o </w:t>
      </w:r>
      <w:r w:rsidR="00607287" w:rsidRPr="2A335D0A">
        <w:rPr>
          <w:rFonts w:ascii="Arial Narrow" w:hAnsi="Arial Narrow" w:cs="Arial Narrow"/>
        </w:rPr>
        <w:t>19</w:t>
      </w:r>
      <w:r w:rsidR="00242C0D" w:rsidRPr="2A335D0A">
        <w:rPr>
          <w:rFonts w:ascii="Arial Narrow" w:hAnsi="Arial Narrow" w:cs="Arial Narrow"/>
        </w:rPr>
        <w:t xml:space="preserve">% </w:t>
      </w:r>
      <w:r w:rsidR="00074156" w:rsidRPr="2A335D0A">
        <w:rPr>
          <w:rFonts w:ascii="Arial Narrow" w:hAnsi="Arial Narrow" w:cs="Arial Narrow"/>
        </w:rPr>
        <w:t>mniejszą</w:t>
      </w:r>
      <w:r w:rsidR="00242C0D" w:rsidRPr="2A335D0A">
        <w:rPr>
          <w:rFonts w:ascii="Arial Narrow" w:hAnsi="Arial Narrow" w:cs="Arial Narrow"/>
        </w:rPr>
        <w:t xml:space="preserve"> niż w analogicznym okresie 2021 roku</w:t>
      </w:r>
      <w:r w:rsidR="64BE6103" w:rsidRPr="2A335D0A">
        <w:rPr>
          <w:rFonts w:ascii="Arial Narrow" w:hAnsi="Arial Narrow" w:cs="Arial Narrow"/>
        </w:rPr>
        <w:t xml:space="preserve">. </w:t>
      </w:r>
      <w:r w:rsidR="00242C0D" w:rsidRPr="2A335D0A">
        <w:rPr>
          <w:rFonts w:ascii="Arial Narrow" w:hAnsi="Arial Narrow" w:cs="Arial Narrow"/>
        </w:rPr>
        <w:t>N</w:t>
      </w:r>
      <w:r w:rsidRPr="2A335D0A">
        <w:rPr>
          <w:rFonts w:ascii="Arial Narrow" w:hAnsi="Arial Narrow" w:cs="Arial Narrow"/>
        </w:rPr>
        <w:t xml:space="preserve">ajwięcej powierzchni zostało </w:t>
      </w:r>
      <w:r w:rsidR="009E0159" w:rsidRPr="2A335D0A">
        <w:rPr>
          <w:rFonts w:ascii="Arial Narrow" w:hAnsi="Arial Narrow" w:cs="Arial Narrow"/>
        </w:rPr>
        <w:t>wynajęte w</w:t>
      </w:r>
      <w:r w:rsidR="00074156" w:rsidRPr="2A335D0A">
        <w:rPr>
          <w:rFonts w:ascii="Arial Narrow" w:hAnsi="Arial Narrow" w:cs="Arial Narrow"/>
        </w:rPr>
        <w:t xml:space="preserve"> Krakowie</w:t>
      </w:r>
      <w:r w:rsidRPr="2A335D0A">
        <w:rPr>
          <w:rFonts w:ascii="Arial Narrow" w:hAnsi="Arial Narrow" w:cs="Arial Narrow"/>
        </w:rPr>
        <w:t xml:space="preserve"> (</w:t>
      </w:r>
      <w:r w:rsidR="00607287" w:rsidRPr="2A335D0A">
        <w:rPr>
          <w:rFonts w:ascii="Arial Narrow" w:hAnsi="Arial Narrow" w:cs="Arial Narrow"/>
        </w:rPr>
        <w:t>65</w:t>
      </w:r>
      <w:r w:rsidR="007F0C17" w:rsidRPr="2A335D0A">
        <w:rPr>
          <w:rFonts w:ascii="Arial Narrow" w:hAnsi="Arial Narrow" w:cs="Arial Narrow"/>
        </w:rPr>
        <w:t xml:space="preserve"> </w:t>
      </w:r>
      <w:r w:rsidR="00607287" w:rsidRPr="2A335D0A">
        <w:rPr>
          <w:rFonts w:ascii="Arial Narrow" w:hAnsi="Arial Narrow" w:cs="Arial Narrow"/>
        </w:rPr>
        <w:t>3</w:t>
      </w:r>
      <w:r w:rsidR="007F0C17" w:rsidRPr="2A335D0A">
        <w:rPr>
          <w:rFonts w:ascii="Arial Narrow" w:hAnsi="Arial Narrow" w:cs="Arial Narrow"/>
        </w:rPr>
        <w:t>00</w:t>
      </w:r>
      <w:r w:rsidR="009E0159" w:rsidRPr="2A335D0A">
        <w:rPr>
          <w:rFonts w:ascii="Arial Narrow" w:hAnsi="Arial Narrow" w:cs="Arial Narrow"/>
        </w:rPr>
        <w:t xml:space="preserve"> m kw.), </w:t>
      </w:r>
      <w:r>
        <w:br/>
      </w:r>
      <w:r w:rsidR="009E0159" w:rsidRPr="2A335D0A">
        <w:rPr>
          <w:rFonts w:ascii="Arial Narrow" w:hAnsi="Arial Narrow" w:cs="Arial Narrow"/>
        </w:rPr>
        <w:t>w</w:t>
      </w:r>
      <w:r w:rsidR="007F0C17" w:rsidRPr="2A335D0A">
        <w:rPr>
          <w:rFonts w:ascii="Arial Narrow" w:hAnsi="Arial Narrow" w:cs="Arial Narrow"/>
        </w:rPr>
        <w:t>e</w:t>
      </w:r>
      <w:r w:rsidR="00074156" w:rsidRPr="2A335D0A">
        <w:rPr>
          <w:rFonts w:ascii="Arial Narrow" w:hAnsi="Arial Narrow" w:cs="Arial Narrow"/>
        </w:rPr>
        <w:t xml:space="preserve"> </w:t>
      </w:r>
      <w:r w:rsidR="007F0C17" w:rsidRPr="2A335D0A">
        <w:rPr>
          <w:rFonts w:ascii="Arial Narrow" w:hAnsi="Arial Narrow" w:cs="Arial Narrow"/>
        </w:rPr>
        <w:t>Wrocławiu</w:t>
      </w:r>
      <w:r w:rsidRPr="2A335D0A">
        <w:rPr>
          <w:rFonts w:ascii="Arial Narrow" w:hAnsi="Arial Narrow" w:cs="Arial Narrow"/>
        </w:rPr>
        <w:t xml:space="preserve"> (</w:t>
      </w:r>
      <w:r w:rsidR="00607287" w:rsidRPr="2A335D0A">
        <w:rPr>
          <w:rFonts w:ascii="Arial Narrow" w:hAnsi="Arial Narrow" w:cs="Arial Narrow"/>
        </w:rPr>
        <w:t>52 800</w:t>
      </w:r>
      <w:r w:rsidRPr="2A335D0A">
        <w:rPr>
          <w:rFonts w:ascii="Arial Narrow" w:hAnsi="Arial Narrow" w:cs="Arial Narrow"/>
        </w:rPr>
        <w:t xml:space="preserve"> m kw.)</w:t>
      </w:r>
      <w:r w:rsidR="009E0159" w:rsidRPr="2A335D0A">
        <w:rPr>
          <w:rFonts w:ascii="Arial Narrow" w:hAnsi="Arial Narrow" w:cs="Arial Narrow"/>
          <w:vertAlign w:val="subscript"/>
        </w:rPr>
        <w:t xml:space="preserve"> </w:t>
      </w:r>
      <w:r w:rsidR="009E0159" w:rsidRPr="2A335D0A">
        <w:rPr>
          <w:rFonts w:ascii="Arial Narrow" w:hAnsi="Arial Narrow" w:cs="Arial Narrow"/>
        </w:rPr>
        <w:t xml:space="preserve">i w </w:t>
      </w:r>
      <w:r w:rsidR="007F0C17" w:rsidRPr="2A335D0A">
        <w:rPr>
          <w:rFonts w:ascii="Arial Narrow" w:hAnsi="Arial Narrow" w:cs="Arial Narrow"/>
        </w:rPr>
        <w:t>Gdańsku</w:t>
      </w:r>
      <w:r w:rsidR="009E0159" w:rsidRPr="2A335D0A">
        <w:rPr>
          <w:rFonts w:ascii="Arial Narrow" w:hAnsi="Arial Narrow" w:cs="Arial Narrow"/>
        </w:rPr>
        <w:t xml:space="preserve"> (</w:t>
      </w:r>
      <w:r w:rsidR="00607287" w:rsidRPr="2A335D0A">
        <w:rPr>
          <w:rFonts w:ascii="Arial Narrow" w:hAnsi="Arial Narrow" w:cs="Arial Narrow"/>
        </w:rPr>
        <w:t>14 0</w:t>
      </w:r>
      <w:r w:rsidR="009E0159" w:rsidRPr="2A335D0A">
        <w:rPr>
          <w:rFonts w:ascii="Arial Narrow" w:hAnsi="Arial Narrow" w:cs="Arial Narrow"/>
        </w:rPr>
        <w:t>00 m kw.).</w:t>
      </w:r>
    </w:p>
    <w:p w14:paraId="5E5B3893" w14:textId="6ECA409A" w:rsidR="1BD6FDAC" w:rsidRDefault="1BD6FDAC" w:rsidP="1BD6FDAC">
      <w:pPr>
        <w:jc w:val="both"/>
        <w:rPr>
          <w:rFonts w:ascii="Arial Narrow" w:hAnsi="Arial Narrow" w:cs="Arial Narrow"/>
        </w:rPr>
      </w:pPr>
    </w:p>
    <w:p w14:paraId="1A965131" w14:textId="77777777" w:rsidR="00285EBB" w:rsidRDefault="00276D42" w:rsidP="00285EBB">
      <w:pPr>
        <w:numPr>
          <w:ilvl w:val="0"/>
          <w:numId w:val="17"/>
        </w:numPr>
        <w:textAlignment w:val="auto"/>
        <w:rPr>
          <w:rFonts w:ascii="Arial Narrow" w:hAnsi="Arial Narrow" w:cs="Arial Narrow"/>
        </w:rPr>
      </w:pPr>
      <w:r w:rsidRPr="4098EC56">
        <w:rPr>
          <w:rFonts w:ascii="Arial Narrow" w:hAnsi="Arial Narrow" w:cs="Arial Narrow"/>
        </w:rPr>
        <w:t xml:space="preserve">W </w:t>
      </w:r>
      <w:r w:rsidR="00607287">
        <w:rPr>
          <w:rFonts w:ascii="Arial Narrow" w:hAnsi="Arial Narrow" w:cs="Arial Narrow"/>
        </w:rPr>
        <w:t>czwartym</w:t>
      </w:r>
      <w:r w:rsidR="002B6BED" w:rsidRPr="4098EC56">
        <w:rPr>
          <w:rFonts w:ascii="Arial Narrow" w:hAnsi="Arial Narrow" w:cs="Arial Narrow"/>
        </w:rPr>
        <w:t xml:space="preserve"> kwartale </w:t>
      </w:r>
      <w:r w:rsidRPr="4098EC56">
        <w:rPr>
          <w:rFonts w:ascii="Arial Narrow" w:hAnsi="Arial Narrow" w:cs="Arial Narrow"/>
        </w:rPr>
        <w:t>202</w:t>
      </w:r>
      <w:r w:rsidR="002B6BED" w:rsidRPr="4098EC56">
        <w:rPr>
          <w:rFonts w:ascii="Arial Narrow" w:hAnsi="Arial Narrow" w:cs="Arial Narrow"/>
        </w:rPr>
        <w:t>2</w:t>
      </w:r>
      <w:r w:rsidRPr="4098EC56">
        <w:rPr>
          <w:rFonts w:ascii="Arial Narrow" w:hAnsi="Arial Narrow" w:cs="Arial Narrow"/>
        </w:rPr>
        <w:t xml:space="preserve"> roku najwyższy udział w strukturze popytu przypadł nowym umowom</w:t>
      </w:r>
      <w:r w:rsidRPr="00661338">
        <w:rPr>
          <w:rFonts w:ascii="Arial Narrow" w:hAnsi="Arial Narrow" w:cs="Arial Narrow"/>
        </w:rPr>
        <w:t xml:space="preserve">: </w:t>
      </w:r>
      <w:r w:rsidR="00607287">
        <w:rPr>
          <w:rFonts w:ascii="Arial Narrow" w:hAnsi="Arial Narrow" w:cs="Arial Narrow"/>
        </w:rPr>
        <w:t>50</w:t>
      </w:r>
      <w:r w:rsidRPr="00661338">
        <w:rPr>
          <w:rFonts w:ascii="Arial Narrow" w:hAnsi="Arial Narrow" w:cs="Arial Narrow"/>
        </w:rPr>
        <w:t xml:space="preserve">% (włączając umowy </w:t>
      </w:r>
      <w:proofErr w:type="spellStart"/>
      <w:r w:rsidRPr="00661338">
        <w:rPr>
          <w:rFonts w:ascii="Arial Narrow" w:hAnsi="Arial Narrow" w:cs="Arial Narrow"/>
        </w:rPr>
        <w:t>przednajmu</w:t>
      </w:r>
      <w:proofErr w:type="spellEnd"/>
      <w:r w:rsidRPr="00661338">
        <w:rPr>
          <w:rFonts w:ascii="Arial Narrow" w:hAnsi="Arial Narrow" w:cs="Arial Narrow"/>
        </w:rPr>
        <w:t xml:space="preserve"> oraz powierzchnie na potrzeby własne właściciela nieruchomości). Renegocjacje i przedłużenia obowiązujących kontraktów odpowiadały za </w:t>
      </w:r>
      <w:r w:rsidR="00607287">
        <w:rPr>
          <w:rFonts w:ascii="Arial Narrow" w:hAnsi="Arial Narrow" w:cs="Arial Narrow"/>
        </w:rPr>
        <w:t>40</w:t>
      </w:r>
      <w:r w:rsidRPr="00661338">
        <w:rPr>
          <w:rFonts w:ascii="Arial Narrow" w:hAnsi="Arial Narrow" w:cs="Arial Narrow"/>
        </w:rPr>
        <w:t xml:space="preserve">% zarejestrowanego popytu, a ekspansje za </w:t>
      </w:r>
      <w:r w:rsidR="00607287">
        <w:rPr>
          <w:rFonts w:ascii="Arial Narrow" w:hAnsi="Arial Narrow" w:cs="Arial Narrow"/>
        </w:rPr>
        <w:t>4</w:t>
      </w:r>
      <w:r w:rsidRPr="00661338">
        <w:rPr>
          <w:rFonts w:ascii="Arial Narrow" w:hAnsi="Arial Narrow" w:cs="Arial Narrow"/>
        </w:rPr>
        <w:t>%.</w:t>
      </w:r>
      <w:r w:rsidR="00607287">
        <w:rPr>
          <w:rFonts w:ascii="Arial Narrow" w:hAnsi="Arial Narrow" w:cs="Arial Narrow"/>
        </w:rPr>
        <w:t xml:space="preserve"> Powierzchnia wynajęta na użytek własny właścicieli budynków stanowiła 6% kwartalnego popytu.</w:t>
      </w:r>
    </w:p>
    <w:p w14:paraId="13B5720F" w14:textId="77777777" w:rsidR="00285EBB" w:rsidRDefault="00285EBB" w:rsidP="00285EBB">
      <w:pPr>
        <w:pStyle w:val="Akapitzlist"/>
        <w:rPr>
          <w:rFonts w:ascii="Arial Narrow" w:hAnsi="Arial Narrow" w:cs="Arial Narrow"/>
        </w:rPr>
      </w:pPr>
    </w:p>
    <w:p w14:paraId="588DF55A" w14:textId="74575AFF" w:rsidR="00607287" w:rsidRPr="00285EBB" w:rsidRDefault="007F0C17" w:rsidP="00285EBB">
      <w:pPr>
        <w:numPr>
          <w:ilvl w:val="0"/>
          <w:numId w:val="17"/>
        </w:numPr>
        <w:textAlignment w:val="auto"/>
        <w:rPr>
          <w:rFonts w:ascii="Arial Narrow" w:hAnsi="Arial Narrow" w:cs="Arial Narrow"/>
        </w:rPr>
      </w:pPr>
      <w:r w:rsidRPr="162ABFB3">
        <w:rPr>
          <w:rFonts w:ascii="Arial Narrow" w:hAnsi="Arial Narrow" w:cs="Arial Narrow"/>
        </w:rPr>
        <w:t xml:space="preserve">Do największych transakcji </w:t>
      </w:r>
      <w:r w:rsidR="00276D42" w:rsidRPr="162ABFB3">
        <w:rPr>
          <w:rFonts w:ascii="Arial Narrow" w:hAnsi="Arial Narrow" w:cs="Arial Narrow"/>
        </w:rPr>
        <w:t>zawartych w</w:t>
      </w:r>
      <w:r w:rsidR="00607287" w:rsidRPr="162ABFB3">
        <w:rPr>
          <w:rFonts w:ascii="Arial Narrow" w:hAnsi="Arial Narrow" w:cs="Arial Narrow"/>
        </w:rPr>
        <w:t xml:space="preserve"> czwartym</w:t>
      </w:r>
      <w:r w:rsidR="002B6BED" w:rsidRPr="162ABFB3">
        <w:rPr>
          <w:rFonts w:ascii="Arial Narrow" w:hAnsi="Arial Narrow" w:cs="Arial Narrow"/>
        </w:rPr>
        <w:t xml:space="preserve"> kwartale</w:t>
      </w:r>
      <w:r w:rsidR="00276D42" w:rsidRPr="162ABFB3">
        <w:rPr>
          <w:rFonts w:ascii="Arial Narrow" w:hAnsi="Arial Narrow" w:cs="Arial Narrow"/>
        </w:rPr>
        <w:t xml:space="preserve"> 202</w:t>
      </w:r>
      <w:r w:rsidR="002B6BED" w:rsidRPr="162ABFB3">
        <w:rPr>
          <w:rFonts w:ascii="Arial Narrow" w:hAnsi="Arial Narrow" w:cs="Arial Narrow"/>
        </w:rPr>
        <w:t>2</w:t>
      </w:r>
      <w:r w:rsidR="00276D42" w:rsidRPr="162ABFB3">
        <w:rPr>
          <w:rFonts w:ascii="Arial Narrow" w:hAnsi="Arial Narrow" w:cs="Arial Narrow"/>
        </w:rPr>
        <w:t xml:space="preserve"> </w:t>
      </w:r>
      <w:r w:rsidRPr="162ABFB3">
        <w:rPr>
          <w:rFonts w:ascii="Arial Narrow" w:hAnsi="Arial Narrow" w:cs="Arial Narrow"/>
        </w:rPr>
        <w:t>zaliczamy:</w:t>
      </w:r>
      <w:r w:rsidR="00607287" w:rsidRPr="162ABFB3">
        <w:rPr>
          <w:rFonts w:ascii="Arial Narrow" w:hAnsi="Arial Narrow" w:cs="Arial Narrow"/>
        </w:rPr>
        <w:t xml:space="preserve"> renegocjację kontraktu poufnego najemcy z branży finansów </w:t>
      </w:r>
      <w:r>
        <w:br/>
      </w:r>
      <w:r w:rsidR="00607287" w:rsidRPr="162ABFB3">
        <w:rPr>
          <w:rFonts w:ascii="Arial Narrow" w:hAnsi="Arial Narrow" w:cs="Arial Narrow"/>
        </w:rPr>
        <w:t xml:space="preserve">i bankowości w budynku Green Day we Wrocławiu (14 500 m kw.), nowa umowa najmu </w:t>
      </w:r>
      <w:r w:rsidR="35D15899" w:rsidRPr="162ABFB3">
        <w:rPr>
          <w:rFonts w:ascii="Arial Narrow" w:hAnsi="Arial Narrow" w:cs="Arial Narrow"/>
        </w:rPr>
        <w:t xml:space="preserve">London Stock Exchange </w:t>
      </w:r>
      <w:proofErr w:type="spellStart"/>
      <w:r w:rsidR="35D15899" w:rsidRPr="162ABFB3">
        <w:rPr>
          <w:rFonts w:ascii="Arial Narrow" w:hAnsi="Arial Narrow" w:cs="Arial Narrow"/>
        </w:rPr>
        <w:t>Group</w:t>
      </w:r>
      <w:proofErr w:type="spellEnd"/>
      <w:r w:rsidR="00607287" w:rsidRPr="162ABFB3">
        <w:rPr>
          <w:rFonts w:ascii="Arial Narrow" w:hAnsi="Arial Narrow" w:cs="Arial Narrow"/>
        </w:rPr>
        <w:t xml:space="preserve"> w </w:t>
      </w:r>
      <w:r w:rsidR="00285EBB" w:rsidRPr="162ABFB3">
        <w:rPr>
          <w:rFonts w:ascii="Arial Narrow" w:hAnsi="Arial Narrow" w:cs="Arial Narrow"/>
        </w:rPr>
        <w:t xml:space="preserve">3T Office Park w Gdyni </w:t>
      </w:r>
      <w:r>
        <w:br/>
      </w:r>
      <w:r w:rsidR="00285EBB" w:rsidRPr="162ABFB3">
        <w:rPr>
          <w:rFonts w:ascii="Arial Narrow" w:hAnsi="Arial Narrow" w:cs="Arial Narrow"/>
        </w:rPr>
        <w:t>(8300 m kw.)</w:t>
      </w:r>
      <w:r w:rsidR="530C33C4" w:rsidRPr="162ABFB3">
        <w:rPr>
          <w:rFonts w:ascii="Arial Narrow" w:hAnsi="Arial Narrow" w:cs="Arial Narrow"/>
        </w:rPr>
        <w:t xml:space="preserve"> oraz odnowienie umowy najmu poufnego najemcy z branży finansów i bankowości we wrocławskim budynku Pegaz (5700 m kw.).</w:t>
      </w:r>
    </w:p>
    <w:p w14:paraId="590A5583" w14:textId="77777777" w:rsidR="00607287" w:rsidRPr="00607287" w:rsidRDefault="00607287" w:rsidP="00607287">
      <w:pPr>
        <w:pStyle w:val="Akapitzlist"/>
        <w:rPr>
          <w:rFonts w:ascii="Arial Narrow" w:hAnsi="Arial Narrow" w:cs="Arial Narrow"/>
        </w:rPr>
      </w:pPr>
    </w:p>
    <w:p w14:paraId="2809BC51" w14:textId="2ECAC180" w:rsidR="00442193" w:rsidRPr="00442193" w:rsidRDefault="00442193" w:rsidP="00285EBB">
      <w:pPr>
        <w:pStyle w:val="Akapitzlist"/>
        <w:textAlignment w:val="auto"/>
      </w:pPr>
    </w:p>
    <w:sectPr w:rsidR="00442193" w:rsidRPr="00442193" w:rsidSect="00002EC4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276" w:right="1147" w:bottom="1320" w:left="993" w:header="708" w:footer="6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834F" w14:textId="77777777" w:rsidR="009816D3" w:rsidRDefault="009816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5C417F" w14:textId="77777777" w:rsidR="009816D3" w:rsidRDefault="009816D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534EFFE5" w14:textId="77777777" w:rsidR="009816D3" w:rsidRDefault="00981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5"/>
      <w:gridCol w:w="4565"/>
      <w:gridCol w:w="4565"/>
    </w:tblGrid>
    <w:tr w:rsidR="6BDE6D01" w14:paraId="2867E5CF" w14:textId="77777777" w:rsidTr="6BDE6D01">
      <w:tc>
        <w:tcPr>
          <w:tcW w:w="4565" w:type="dxa"/>
        </w:tcPr>
        <w:p w14:paraId="7E8AD4CE" w14:textId="46D95F20" w:rsidR="6BDE6D01" w:rsidRDefault="6BDE6D01" w:rsidP="6BDE6D01">
          <w:pPr>
            <w:pStyle w:val="Nagwek"/>
            <w:ind w:left="-115"/>
          </w:pPr>
        </w:p>
      </w:tc>
      <w:tc>
        <w:tcPr>
          <w:tcW w:w="4565" w:type="dxa"/>
        </w:tcPr>
        <w:p w14:paraId="35A645E5" w14:textId="3F3DA017" w:rsidR="6BDE6D01" w:rsidRDefault="6BDE6D01" w:rsidP="6BDE6D01">
          <w:pPr>
            <w:pStyle w:val="Nagwek"/>
            <w:jc w:val="center"/>
          </w:pPr>
        </w:p>
      </w:tc>
      <w:tc>
        <w:tcPr>
          <w:tcW w:w="4565" w:type="dxa"/>
        </w:tcPr>
        <w:p w14:paraId="574EAB8F" w14:textId="7DBDBA0A" w:rsidR="6BDE6D01" w:rsidRDefault="6BDE6D01" w:rsidP="6BDE6D01">
          <w:pPr>
            <w:pStyle w:val="Nagwek"/>
            <w:ind w:right="-115"/>
            <w:jc w:val="right"/>
          </w:pPr>
        </w:p>
      </w:tc>
    </w:tr>
  </w:tbl>
  <w:p w14:paraId="3AC073BA" w14:textId="1FE3CA7E" w:rsidR="6BDE6D01" w:rsidRDefault="6BDE6D01" w:rsidP="6BDE6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6B08" w14:textId="6456C870" w:rsidR="00002EC4" w:rsidRDefault="00002EC4">
    <w:pPr>
      <w:pStyle w:val="NavigatingNewWorld"/>
      <w:ind w:left="0"/>
      <w:jc w:val="center"/>
      <w:rPr>
        <w:rFonts w:ascii="Arial Narrow" w:hAnsi="Arial Narrow" w:cs="Arial Narrow"/>
        <w:b/>
        <w:bCs/>
        <w:sz w:val="24"/>
        <w:szCs w:val="2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0AB5" w14:textId="77777777" w:rsidR="009816D3" w:rsidRDefault="009816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17981D" w14:textId="77777777" w:rsidR="009816D3" w:rsidRDefault="009816D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5D83E4E" w14:textId="77777777" w:rsidR="009816D3" w:rsidRDefault="00981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ADBC" w14:textId="77777777" w:rsidR="00002EC4" w:rsidRDefault="00002EC4">
    <w:pPr>
      <w:pStyle w:val="Nagwek"/>
      <w:tabs>
        <w:tab w:val="clear" w:pos="4320"/>
        <w:tab w:val="clear" w:pos="8640"/>
        <w:tab w:val="left" w:pos="7440"/>
      </w:tabs>
      <w:rPr>
        <w:rFonts w:ascii="Arial Narrow" w:hAnsi="Arial Narrow" w:cs="Arial Narrow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D7D2" w14:textId="77777777" w:rsidR="00002EC4" w:rsidRDefault="00002EC4">
    <w:pPr>
      <w:pStyle w:val="Nagwek"/>
      <w:tabs>
        <w:tab w:val="clear" w:pos="4320"/>
        <w:tab w:val="clear" w:pos="8640"/>
        <w:tab w:val="left" w:pos="1843"/>
        <w:tab w:val="left" w:pos="5812"/>
      </w:tabs>
      <w:rPr>
        <w:rFonts w:ascii="Arial Narrow" w:hAnsi="Arial Narrow" w:cs="Arial Narrow"/>
        <w:spacing w:val="6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08A"/>
    <w:multiLevelType w:val="hybridMultilevel"/>
    <w:tmpl w:val="7E4838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60D2"/>
    <w:multiLevelType w:val="hybridMultilevel"/>
    <w:tmpl w:val="280000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4B5F3F"/>
    <w:multiLevelType w:val="hybridMultilevel"/>
    <w:tmpl w:val="FEA0D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3D37EC"/>
    <w:multiLevelType w:val="multilevel"/>
    <w:tmpl w:val="9FC610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D29C1"/>
    <w:multiLevelType w:val="hybridMultilevel"/>
    <w:tmpl w:val="3072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87061"/>
    <w:multiLevelType w:val="hybridMultilevel"/>
    <w:tmpl w:val="0CA0AB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B282A"/>
    <w:multiLevelType w:val="hybridMultilevel"/>
    <w:tmpl w:val="A7B6850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7B2349"/>
    <w:multiLevelType w:val="hybridMultilevel"/>
    <w:tmpl w:val="9FC610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324E3C"/>
    <w:multiLevelType w:val="multilevel"/>
    <w:tmpl w:val="460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D944D4"/>
    <w:multiLevelType w:val="multilevel"/>
    <w:tmpl w:val="9FC610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537545"/>
    <w:multiLevelType w:val="hybridMultilevel"/>
    <w:tmpl w:val="46021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F3743"/>
    <w:multiLevelType w:val="hybridMultilevel"/>
    <w:tmpl w:val="76A073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2307244">
    <w:abstractNumId w:val="6"/>
  </w:num>
  <w:num w:numId="2" w16cid:durableId="1601987319">
    <w:abstractNumId w:val="2"/>
  </w:num>
  <w:num w:numId="3" w16cid:durableId="2076927602">
    <w:abstractNumId w:val="10"/>
  </w:num>
  <w:num w:numId="4" w16cid:durableId="1787000153">
    <w:abstractNumId w:val="8"/>
  </w:num>
  <w:num w:numId="5" w16cid:durableId="301690712">
    <w:abstractNumId w:val="7"/>
  </w:num>
  <w:num w:numId="6" w16cid:durableId="2114088993">
    <w:abstractNumId w:val="0"/>
  </w:num>
  <w:num w:numId="7" w16cid:durableId="122232068">
    <w:abstractNumId w:val="11"/>
  </w:num>
  <w:num w:numId="8" w16cid:durableId="752895186">
    <w:abstractNumId w:val="9"/>
  </w:num>
  <w:num w:numId="9" w16cid:durableId="1306667559">
    <w:abstractNumId w:val="5"/>
  </w:num>
  <w:num w:numId="10" w16cid:durableId="123932351">
    <w:abstractNumId w:val="3"/>
  </w:num>
  <w:num w:numId="11" w16cid:durableId="739715066">
    <w:abstractNumId w:val="1"/>
  </w:num>
  <w:num w:numId="12" w16cid:durableId="7743313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533428">
    <w:abstractNumId w:val="5"/>
  </w:num>
  <w:num w:numId="14" w16cid:durableId="500203215">
    <w:abstractNumId w:val="5"/>
  </w:num>
  <w:num w:numId="15" w16cid:durableId="1864124554">
    <w:abstractNumId w:val="5"/>
  </w:num>
  <w:num w:numId="16" w16cid:durableId="1767192038">
    <w:abstractNumId w:val="5"/>
  </w:num>
  <w:num w:numId="17" w16cid:durableId="285309399">
    <w:abstractNumId w:val="5"/>
  </w:num>
  <w:num w:numId="18" w16cid:durableId="325475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C4"/>
    <w:rsid w:val="00002EC4"/>
    <w:rsid w:val="00007AFB"/>
    <w:rsid w:val="0001708D"/>
    <w:rsid w:val="00051BC4"/>
    <w:rsid w:val="00053AB0"/>
    <w:rsid w:val="00057F19"/>
    <w:rsid w:val="00074156"/>
    <w:rsid w:val="000803E7"/>
    <w:rsid w:val="0008441B"/>
    <w:rsid w:val="00084FC4"/>
    <w:rsid w:val="000A253B"/>
    <w:rsid w:val="000D0C6E"/>
    <w:rsid w:val="000D5751"/>
    <w:rsid w:val="000E3A24"/>
    <w:rsid w:val="001066BA"/>
    <w:rsid w:val="0011385E"/>
    <w:rsid w:val="0011726E"/>
    <w:rsid w:val="00130D71"/>
    <w:rsid w:val="00132B61"/>
    <w:rsid w:val="001334A2"/>
    <w:rsid w:val="00147892"/>
    <w:rsid w:val="00151526"/>
    <w:rsid w:val="00167704"/>
    <w:rsid w:val="001710CF"/>
    <w:rsid w:val="001730EC"/>
    <w:rsid w:val="00173CC3"/>
    <w:rsid w:val="00175357"/>
    <w:rsid w:val="00196891"/>
    <w:rsid w:val="001C6B04"/>
    <w:rsid w:val="001D1341"/>
    <w:rsid w:val="001D7756"/>
    <w:rsid w:val="001F254A"/>
    <w:rsid w:val="001F4101"/>
    <w:rsid w:val="002123E9"/>
    <w:rsid w:val="00213DC1"/>
    <w:rsid w:val="00220723"/>
    <w:rsid w:val="00230EFD"/>
    <w:rsid w:val="00233313"/>
    <w:rsid w:val="002405EF"/>
    <w:rsid w:val="00242C0D"/>
    <w:rsid w:val="00244594"/>
    <w:rsid w:val="00252ABF"/>
    <w:rsid w:val="00257997"/>
    <w:rsid w:val="00276D42"/>
    <w:rsid w:val="00282440"/>
    <w:rsid w:val="00283D29"/>
    <w:rsid w:val="00285EBB"/>
    <w:rsid w:val="00293EC2"/>
    <w:rsid w:val="00296BD4"/>
    <w:rsid w:val="002A336D"/>
    <w:rsid w:val="002B1987"/>
    <w:rsid w:val="002B6BED"/>
    <w:rsid w:val="002C131D"/>
    <w:rsid w:val="002D6400"/>
    <w:rsid w:val="002E1D1D"/>
    <w:rsid w:val="002E466A"/>
    <w:rsid w:val="002F4251"/>
    <w:rsid w:val="00302858"/>
    <w:rsid w:val="00341703"/>
    <w:rsid w:val="00361D12"/>
    <w:rsid w:val="00375FDD"/>
    <w:rsid w:val="003850D3"/>
    <w:rsid w:val="003928AF"/>
    <w:rsid w:val="003B49F8"/>
    <w:rsid w:val="003B7EF4"/>
    <w:rsid w:val="003D0712"/>
    <w:rsid w:val="003D5B02"/>
    <w:rsid w:val="003F1500"/>
    <w:rsid w:val="003F2E83"/>
    <w:rsid w:val="00401FBE"/>
    <w:rsid w:val="00403F77"/>
    <w:rsid w:val="0040435D"/>
    <w:rsid w:val="004075C7"/>
    <w:rsid w:val="00410CD7"/>
    <w:rsid w:val="00412165"/>
    <w:rsid w:val="00412E56"/>
    <w:rsid w:val="004173BD"/>
    <w:rsid w:val="00421BCA"/>
    <w:rsid w:val="00423C25"/>
    <w:rsid w:val="00425794"/>
    <w:rsid w:val="004264A7"/>
    <w:rsid w:val="00442193"/>
    <w:rsid w:val="00462A6F"/>
    <w:rsid w:val="00463595"/>
    <w:rsid w:val="00493A40"/>
    <w:rsid w:val="004E7615"/>
    <w:rsid w:val="004F4078"/>
    <w:rsid w:val="0050495A"/>
    <w:rsid w:val="00504A4D"/>
    <w:rsid w:val="00506DC4"/>
    <w:rsid w:val="00520903"/>
    <w:rsid w:val="00521A4D"/>
    <w:rsid w:val="00526EC2"/>
    <w:rsid w:val="00560F8A"/>
    <w:rsid w:val="00567DAB"/>
    <w:rsid w:val="00571642"/>
    <w:rsid w:val="00572567"/>
    <w:rsid w:val="0058279B"/>
    <w:rsid w:val="005966E7"/>
    <w:rsid w:val="005B0ED4"/>
    <w:rsid w:val="005B28EB"/>
    <w:rsid w:val="005D132A"/>
    <w:rsid w:val="005D4796"/>
    <w:rsid w:val="005D7071"/>
    <w:rsid w:val="005E50B7"/>
    <w:rsid w:val="005F06DA"/>
    <w:rsid w:val="005F1042"/>
    <w:rsid w:val="005F13C9"/>
    <w:rsid w:val="005F3219"/>
    <w:rsid w:val="006042A0"/>
    <w:rsid w:val="00607287"/>
    <w:rsid w:val="00620BC9"/>
    <w:rsid w:val="00622422"/>
    <w:rsid w:val="00624192"/>
    <w:rsid w:val="006330EB"/>
    <w:rsid w:val="00644D77"/>
    <w:rsid w:val="00652250"/>
    <w:rsid w:val="00661338"/>
    <w:rsid w:val="0066167C"/>
    <w:rsid w:val="00682E86"/>
    <w:rsid w:val="00683A4A"/>
    <w:rsid w:val="00687703"/>
    <w:rsid w:val="00692730"/>
    <w:rsid w:val="00695DF9"/>
    <w:rsid w:val="006A14D4"/>
    <w:rsid w:val="006A6834"/>
    <w:rsid w:val="006C1515"/>
    <w:rsid w:val="006D08F8"/>
    <w:rsid w:val="006D291F"/>
    <w:rsid w:val="006D57A2"/>
    <w:rsid w:val="006D587E"/>
    <w:rsid w:val="0070444E"/>
    <w:rsid w:val="0070614B"/>
    <w:rsid w:val="0071438E"/>
    <w:rsid w:val="0074445E"/>
    <w:rsid w:val="00746AA6"/>
    <w:rsid w:val="007554F4"/>
    <w:rsid w:val="00764F52"/>
    <w:rsid w:val="007667CE"/>
    <w:rsid w:val="007851A0"/>
    <w:rsid w:val="00794F99"/>
    <w:rsid w:val="007A1EC9"/>
    <w:rsid w:val="007B2D9D"/>
    <w:rsid w:val="007C6277"/>
    <w:rsid w:val="007F0C17"/>
    <w:rsid w:val="007F164B"/>
    <w:rsid w:val="007F6945"/>
    <w:rsid w:val="00822BC7"/>
    <w:rsid w:val="00830A49"/>
    <w:rsid w:val="008405A0"/>
    <w:rsid w:val="00846911"/>
    <w:rsid w:val="00856653"/>
    <w:rsid w:val="00862F9C"/>
    <w:rsid w:val="0089100D"/>
    <w:rsid w:val="008A05F1"/>
    <w:rsid w:val="008A2865"/>
    <w:rsid w:val="008B0DBA"/>
    <w:rsid w:val="008C02E6"/>
    <w:rsid w:val="008C5A02"/>
    <w:rsid w:val="008D46C1"/>
    <w:rsid w:val="008D503E"/>
    <w:rsid w:val="00900B32"/>
    <w:rsid w:val="00901F18"/>
    <w:rsid w:val="00914CF8"/>
    <w:rsid w:val="00931040"/>
    <w:rsid w:val="00940FFE"/>
    <w:rsid w:val="0094305C"/>
    <w:rsid w:val="00954CA7"/>
    <w:rsid w:val="009647B0"/>
    <w:rsid w:val="009816D3"/>
    <w:rsid w:val="00987E1C"/>
    <w:rsid w:val="00995F3E"/>
    <w:rsid w:val="009960D1"/>
    <w:rsid w:val="009A3A7A"/>
    <w:rsid w:val="009C0C37"/>
    <w:rsid w:val="009C6460"/>
    <w:rsid w:val="009E0159"/>
    <w:rsid w:val="009E35B5"/>
    <w:rsid w:val="009F32F1"/>
    <w:rsid w:val="00A13063"/>
    <w:rsid w:val="00A34BF3"/>
    <w:rsid w:val="00A35A1F"/>
    <w:rsid w:val="00A42CAA"/>
    <w:rsid w:val="00A43486"/>
    <w:rsid w:val="00A56B91"/>
    <w:rsid w:val="00A7431B"/>
    <w:rsid w:val="00A77951"/>
    <w:rsid w:val="00A83945"/>
    <w:rsid w:val="00A878C7"/>
    <w:rsid w:val="00A93791"/>
    <w:rsid w:val="00AA5ED7"/>
    <w:rsid w:val="00B0193A"/>
    <w:rsid w:val="00B10A97"/>
    <w:rsid w:val="00B50FBA"/>
    <w:rsid w:val="00B52130"/>
    <w:rsid w:val="00B545AA"/>
    <w:rsid w:val="00B56B13"/>
    <w:rsid w:val="00B90A38"/>
    <w:rsid w:val="00B94F49"/>
    <w:rsid w:val="00BA26AD"/>
    <w:rsid w:val="00BA4C22"/>
    <w:rsid w:val="00BB1073"/>
    <w:rsid w:val="00BB3E48"/>
    <w:rsid w:val="00BC4F5B"/>
    <w:rsid w:val="00BE01FF"/>
    <w:rsid w:val="00BE1F1E"/>
    <w:rsid w:val="00BE4D26"/>
    <w:rsid w:val="00BE4E0F"/>
    <w:rsid w:val="00BE6C3A"/>
    <w:rsid w:val="00C0016C"/>
    <w:rsid w:val="00C118EF"/>
    <w:rsid w:val="00C11ABA"/>
    <w:rsid w:val="00C13A10"/>
    <w:rsid w:val="00C23ECD"/>
    <w:rsid w:val="00C26A5C"/>
    <w:rsid w:val="00C307B3"/>
    <w:rsid w:val="00C40C49"/>
    <w:rsid w:val="00C50C18"/>
    <w:rsid w:val="00C53ACC"/>
    <w:rsid w:val="00C606B1"/>
    <w:rsid w:val="00C6111C"/>
    <w:rsid w:val="00C64BA1"/>
    <w:rsid w:val="00C67757"/>
    <w:rsid w:val="00C7670D"/>
    <w:rsid w:val="00C86FBF"/>
    <w:rsid w:val="00C9535D"/>
    <w:rsid w:val="00C95BD2"/>
    <w:rsid w:val="00C960A6"/>
    <w:rsid w:val="00CC7535"/>
    <w:rsid w:val="00CD5F6E"/>
    <w:rsid w:val="00CE6923"/>
    <w:rsid w:val="00CF527B"/>
    <w:rsid w:val="00D03A92"/>
    <w:rsid w:val="00D03AB6"/>
    <w:rsid w:val="00D04D2F"/>
    <w:rsid w:val="00D06671"/>
    <w:rsid w:val="00D21A03"/>
    <w:rsid w:val="00D26D15"/>
    <w:rsid w:val="00D31578"/>
    <w:rsid w:val="00D37953"/>
    <w:rsid w:val="00D4038B"/>
    <w:rsid w:val="00D603C6"/>
    <w:rsid w:val="00D75500"/>
    <w:rsid w:val="00DA0CEF"/>
    <w:rsid w:val="00DB540C"/>
    <w:rsid w:val="00DB6F74"/>
    <w:rsid w:val="00DC192D"/>
    <w:rsid w:val="00DD2A85"/>
    <w:rsid w:val="00DE34D1"/>
    <w:rsid w:val="00DE71DD"/>
    <w:rsid w:val="00E07EEC"/>
    <w:rsid w:val="00E23584"/>
    <w:rsid w:val="00E25B93"/>
    <w:rsid w:val="00E45ABC"/>
    <w:rsid w:val="00E5689E"/>
    <w:rsid w:val="00E61110"/>
    <w:rsid w:val="00E62824"/>
    <w:rsid w:val="00E77B5D"/>
    <w:rsid w:val="00EA0CC1"/>
    <w:rsid w:val="00EA0E40"/>
    <w:rsid w:val="00EB0E85"/>
    <w:rsid w:val="00EB4F43"/>
    <w:rsid w:val="00ED081B"/>
    <w:rsid w:val="00ED3C93"/>
    <w:rsid w:val="00ED6A00"/>
    <w:rsid w:val="00EE4433"/>
    <w:rsid w:val="00F02461"/>
    <w:rsid w:val="00F02D09"/>
    <w:rsid w:val="00F2597C"/>
    <w:rsid w:val="00F319A3"/>
    <w:rsid w:val="00F34593"/>
    <w:rsid w:val="00F36C38"/>
    <w:rsid w:val="00F36EC5"/>
    <w:rsid w:val="00F41262"/>
    <w:rsid w:val="00F4441C"/>
    <w:rsid w:val="00F57D18"/>
    <w:rsid w:val="00F57DF3"/>
    <w:rsid w:val="00F60786"/>
    <w:rsid w:val="00F6220B"/>
    <w:rsid w:val="00F716C8"/>
    <w:rsid w:val="00FA6954"/>
    <w:rsid w:val="00FA6D09"/>
    <w:rsid w:val="00FB1213"/>
    <w:rsid w:val="00FB6A1F"/>
    <w:rsid w:val="00FC5A7D"/>
    <w:rsid w:val="00FD2022"/>
    <w:rsid w:val="00FD4A94"/>
    <w:rsid w:val="00FE3996"/>
    <w:rsid w:val="00FF11F7"/>
    <w:rsid w:val="00FF46FF"/>
    <w:rsid w:val="00FF7BBF"/>
    <w:rsid w:val="0771BA2E"/>
    <w:rsid w:val="0E8B9F6A"/>
    <w:rsid w:val="0FE7875C"/>
    <w:rsid w:val="110FC93D"/>
    <w:rsid w:val="13421CF0"/>
    <w:rsid w:val="15B2D93A"/>
    <w:rsid w:val="15B6BB8E"/>
    <w:rsid w:val="162ABFB3"/>
    <w:rsid w:val="170F2C16"/>
    <w:rsid w:val="19DDC47E"/>
    <w:rsid w:val="1A18AA0B"/>
    <w:rsid w:val="1B3FA642"/>
    <w:rsid w:val="1B5DBD24"/>
    <w:rsid w:val="1BD6FDAC"/>
    <w:rsid w:val="1C6B6B70"/>
    <w:rsid w:val="1E68A4EC"/>
    <w:rsid w:val="1EF9C5DE"/>
    <w:rsid w:val="1F87A56F"/>
    <w:rsid w:val="2006BA34"/>
    <w:rsid w:val="20E576E5"/>
    <w:rsid w:val="22FA543F"/>
    <w:rsid w:val="236B7E67"/>
    <w:rsid w:val="2687D60E"/>
    <w:rsid w:val="270606B3"/>
    <w:rsid w:val="2790D8B0"/>
    <w:rsid w:val="27C9D528"/>
    <w:rsid w:val="29FB1455"/>
    <w:rsid w:val="2A335D0A"/>
    <w:rsid w:val="2B466E7D"/>
    <w:rsid w:val="2CEDD9C5"/>
    <w:rsid w:val="2FC63D90"/>
    <w:rsid w:val="30B26BB4"/>
    <w:rsid w:val="32F33591"/>
    <w:rsid w:val="35763FE1"/>
    <w:rsid w:val="35D15899"/>
    <w:rsid w:val="377569DC"/>
    <w:rsid w:val="381F3009"/>
    <w:rsid w:val="3896B35B"/>
    <w:rsid w:val="38C5EBEF"/>
    <w:rsid w:val="3A36BEA9"/>
    <w:rsid w:val="3AB88FE3"/>
    <w:rsid w:val="3AF4B153"/>
    <w:rsid w:val="3C8C9DB0"/>
    <w:rsid w:val="3D03AD4F"/>
    <w:rsid w:val="3EC50232"/>
    <w:rsid w:val="40133D2E"/>
    <w:rsid w:val="4098EC56"/>
    <w:rsid w:val="420CCBE4"/>
    <w:rsid w:val="4298F230"/>
    <w:rsid w:val="436CF494"/>
    <w:rsid w:val="44A835CB"/>
    <w:rsid w:val="45621EA9"/>
    <w:rsid w:val="45E5EEA7"/>
    <w:rsid w:val="4700C283"/>
    <w:rsid w:val="48CC6241"/>
    <w:rsid w:val="4907E1EF"/>
    <w:rsid w:val="4B037B43"/>
    <w:rsid w:val="4D297D79"/>
    <w:rsid w:val="4EA29320"/>
    <w:rsid w:val="5075286C"/>
    <w:rsid w:val="5181A23C"/>
    <w:rsid w:val="520FE2EF"/>
    <w:rsid w:val="52210328"/>
    <w:rsid w:val="530C33C4"/>
    <w:rsid w:val="57654BAC"/>
    <w:rsid w:val="579ACA46"/>
    <w:rsid w:val="57F24805"/>
    <w:rsid w:val="59467D25"/>
    <w:rsid w:val="5C19EEA3"/>
    <w:rsid w:val="5C5DE324"/>
    <w:rsid w:val="60FC3FA4"/>
    <w:rsid w:val="610A65AB"/>
    <w:rsid w:val="621F684E"/>
    <w:rsid w:val="6305E4BD"/>
    <w:rsid w:val="63E3B7C6"/>
    <w:rsid w:val="6474E59E"/>
    <w:rsid w:val="6485EE9F"/>
    <w:rsid w:val="6494AAA3"/>
    <w:rsid w:val="64B0EE2E"/>
    <w:rsid w:val="64BE6103"/>
    <w:rsid w:val="6606D34B"/>
    <w:rsid w:val="66FC4EFE"/>
    <w:rsid w:val="6B842D15"/>
    <w:rsid w:val="6BDE6D01"/>
    <w:rsid w:val="6D05F97E"/>
    <w:rsid w:val="70BA4BA5"/>
    <w:rsid w:val="720B3A56"/>
    <w:rsid w:val="729BC225"/>
    <w:rsid w:val="73B953FE"/>
    <w:rsid w:val="73FCFB3B"/>
    <w:rsid w:val="757E105A"/>
    <w:rsid w:val="762DC07F"/>
    <w:rsid w:val="764E48A0"/>
    <w:rsid w:val="7DA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396FE"/>
  <w15:docId w15:val="{C6329913-C18C-40A4-B055-4A0D42A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verflowPunct/>
      <w:autoSpaceDE/>
      <w:autoSpaceDN/>
      <w:adjustRightInd/>
      <w:spacing w:line="360" w:lineRule="auto"/>
      <w:ind w:left="284"/>
      <w:jc w:val="both"/>
      <w:textAlignment w:val="auto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overflowPunct/>
      <w:autoSpaceDE/>
      <w:autoSpaceDN/>
      <w:adjustRightInd/>
      <w:jc w:val="both"/>
      <w:textAlignment w:val="auto"/>
      <w:outlineLvl w:val="2"/>
    </w:pPr>
    <w:rPr>
      <w:b/>
      <w:bCs/>
      <w:u w:val="single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sz w:val="20"/>
      <w:szCs w:val="20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4" w:right="261"/>
      <w:outlineLvl w:val="4"/>
    </w:pPr>
    <w:rPr>
      <w:rFonts w:ascii="Garamond" w:hAnsi="Garamond" w:cs="Garamond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ind w:left="284" w:right="120"/>
      <w:jc w:val="both"/>
      <w:outlineLvl w:val="5"/>
    </w:pPr>
    <w:rPr>
      <w:rFonts w:ascii="Garamond" w:hAnsi="Garamond" w:cs="Garamond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ind w:right="120"/>
      <w:jc w:val="both"/>
      <w:outlineLvl w:val="6"/>
    </w:pPr>
    <w:rPr>
      <w:rFonts w:ascii="Garamond" w:hAnsi="Garamond" w:cs="Garamond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360" w:lineRule="auto"/>
      <w:ind w:left="284" w:right="261"/>
      <w:jc w:val="center"/>
      <w:outlineLvl w:val="7"/>
    </w:pPr>
    <w:rPr>
      <w:rFonts w:ascii="Garamond" w:hAnsi="Garamond" w:cs="Garamond"/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line="360" w:lineRule="auto"/>
      <w:ind w:right="132" w:hanging="7"/>
      <w:jc w:val="center"/>
      <w:outlineLvl w:val="8"/>
    </w:pPr>
    <w:rPr>
      <w:rFonts w:ascii="Garamond" w:hAnsi="Garamond" w:cs="Garamond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E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EC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EC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EC4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2EC4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2EC4"/>
    <w:rPr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2EC4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2EC4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2EC4"/>
    <w:rPr>
      <w:rFonts w:asciiTheme="majorHAnsi" w:eastAsiaTheme="majorEastAsia" w:hAnsiTheme="majorHAnsi" w:cstheme="majorBidi"/>
      <w:lang w:eastAsia="en-US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EC4"/>
    <w:rPr>
      <w:rFonts w:ascii="Times New Roman" w:hAnsi="Times New Roman"/>
      <w:sz w:val="20"/>
      <w:szCs w:val="20"/>
      <w:lang w:eastAsia="en-US"/>
    </w:rPr>
  </w:style>
  <w:style w:type="paragraph" w:customStyle="1" w:styleId="MainText">
    <w:name w:val="Main Text"/>
    <w:basedOn w:val="Normalny"/>
    <w:uiPriority w:val="99"/>
    <w:pPr>
      <w:overflowPunct/>
      <w:autoSpaceDE/>
      <w:autoSpaceDN/>
      <w:adjustRightInd/>
      <w:spacing w:line="300" w:lineRule="exact"/>
      <w:ind w:left="120"/>
      <w:textAlignment w:val="auto"/>
    </w:pPr>
    <w:rPr>
      <w:lang w:val="en-US"/>
    </w:rPr>
  </w:style>
  <w:style w:type="paragraph" w:customStyle="1" w:styleId="NavigatingNewWorld">
    <w:name w:val="Navigating New World"/>
    <w:basedOn w:val="Normalny"/>
    <w:uiPriority w:val="99"/>
    <w:pPr>
      <w:overflowPunct/>
      <w:autoSpaceDE/>
      <w:autoSpaceDN/>
      <w:adjustRightInd/>
      <w:ind w:left="120"/>
      <w:textAlignment w:val="auto"/>
    </w:pPr>
    <w:rPr>
      <w:rFonts w:ascii="Futura Bk BT" w:hAnsi="Futura Bk BT" w:cs="Futura Bk BT"/>
      <w:color w:val="000000"/>
      <w:spacing w:val="230"/>
      <w:sz w:val="28"/>
      <w:szCs w:val="28"/>
      <w:lang w:val="en-US"/>
    </w:rPr>
  </w:style>
  <w:style w:type="paragraph" w:customStyle="1" w:styleId="PRESSRELEASE">
    <w:name w:val="PRESS RELEASE"/>
    <w:basedOn w:val="Normalny"/>
    <w:uiPriority w:val="99"/>
    <w:pPr>
      <w:overflowPunct/>
      <w:autoSpaceDE/>
      <w:autoSpaceDN/>
      <w:adjustRightInd/>
      <w:spacing w:before="120"/>
      <w:ind w:left="120"/>
      <w:textAlignment w:val="auto"/>
    </w:pPr>
    <w:rPr>
      <w:rFonts w:ascii="Futura Bk BT" w:hAnsi="Futura Bk BT" w:cs="Futura Bk BT"/>
      <w:noProof/>
      <w:color w:val="000000"/>
      <w:spacing w:val="180"/>
      <w:sz w:val="52"/>
      <w:szCs w:val="52"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2EC4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02EC4"/>
    <w:rPr>
      <w:rFonts w:ascii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overflowPunct/>
      <w:autoSpaceDE/>
      <w:autoSpaceDN/>
      <w:adjustRightInd/>
      <w:spacing w:before="100" w:after="100"/>
      <w:textAlignment w:val="auto"/>
    </w:pPr>
    <w:rPr>
      <w:rFonts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EC4"/>
    <w:rPr>
      <w:rFonts w:ascii="Times New Roman" w:hAnsi="Times New Roman"/>
      <w:sz w:val="24"/>
      <w:szCs w:val="24"/>
      <w:lang w:eastAsia="en-US"/>
    </w:rPr>
  </w:style>
  <w:style w:type="paragraph" w:styleId="Tekstblokowy">
    <w:name w:val="Block Text"/>
    <w:basedOn w:val="Normalny"/>
    <w:uiPriority w:val="99"/>
    <w:pPr>
      <w:spacing w:line="360" w:lineRule="auto"/>
      <w:ind w:left="284" w:right="261"/>
      <w:jc w:val="both"/>
    </w:pPr>
    <w:rPr>
      <w:rFonts w:ascii="Garamond" w:hAnsi="Garamond" w:cs="Garamond"/>
      <w:color w:val="000000"/>
      <w:sz w:val="22"/>
      <w:szCs w:val="22"/>
      <w:lang w:val="en-US"/>
    </w:rPr>
  </w:style>
  <w:style w:type="paragraph" w:styleId="Tekstpodstawowy2">
    <w:name w:val="Body Text 2"/>
    <w:basedOn w:val="Normalny"/>
    <w:link w:val="Tekstpodstawowy2Znak"/>
    <w:uiPriority w:val="99"/>
    <w:pPr>
      <w:spacing w:before="120" w:line="360" w:lineRule="auto"/>
      <w:ind w:right="261"/>
      <w:jc w:val="both"/>
    </w:pPr>
    <w:rPr>
      <w:rFonts w:ascii="Garamond" w:hAnsi="Garamond" w:cs="Garamond"/>
      <w:color w:val="000000"/>
      <w:sz w:val="22"/>
      <w:szCs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2EC4"/>
    <w:rPr>
      <w:rFonts w:ascii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C4"/>
    <w:rPr>
      <w:rFonts w:ascii="Times New Roman" w:hAnsi="Times New Roman" w:cs="Times New Roman"/>
      <w:sz w:val="0"/>
      <w:szCs w:val="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EC4"/>
    <w:rPr>
      <w:rFonts w:ascii="Times New Roman" w:hAnsi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lang w:eastAsia="en-US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customStyle="1" w:styleId="ListParagraph1">
    <w:name w:val="List Paragraph1"/>
    <w:basedOn w:val="Normalny"/>
    <w:uiPriority w:val="99"/>
    <w:pPr>
      <w:ind w:left="708"/>
    </w:pPr>
    <w:rPr>
      <w:rFonts w:cs="Times New Roman"/>
    </w:rPr>
  </w:style>
  <w:style w:type="paragraph" w:styleId="Poprawka">
    <w:name w:val="Revision"/>
    <w:hidden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4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4A7"/>
    <w:rPr>
      <w:rFonts w:ascii="Times New Roman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4A7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0F9C183C09439DE6FB59AA523623" ma:contentTypeVersion="9" ma:contentTypeDescription="Create a new document." ma:contentTypeScope="" ma:versionID="72aa6d65f11261b3072df91256f8208a">
  <xsd:schema xmlns:xsd="http://www.w3.org/2001/XMLSchema" xmlns:xs="http://www.w3.org/2001/XMLSchema" xmlns:p="http://schemas.microsoft.com/office/2006/metadata/properties" xmlns:ns2="ff8ace21-01c7-428f-b2b2-793206398c36" targetNamespace="http://schemas.microsoft.com/office/2006/metadata/properties" ma:root="true" ma:fieldsID="fafed9200b4db7dabff6d3925e23b69f" ns2:_="">
    <xsd:import namespace="ff8ace21-01c7-428f-b2b2-793206398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ce21-01c7-428f-b2b2-79320639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0542D-4EBA-4D49-81C8-D80928ABB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E4C8D-E8BE-443A-83CD-B72706538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FB794-D2D3-4105-B992-F561765A2A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0EF92-356B-41AD-8F60-0D15366C5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ace21-01c7-428f-b2b2-79320639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c970d48-f7b9-48b0-9606-072fbefb514d}" enabled="1" method="Privileged" siteId="{049e3382-8cdc-477b-9317-951b04689668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3112</Characters>
  <Application>Microsoft Office Word</Application>
  <DocSecurity>0</DocSecurity>
  <Lines>25</Lines>
  <Paragraphs>7</Paragraphs>
  <ScaleCrop>false</ScaleCrop>
  <Company>DTZ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 RESEARCH FORUM</dc:title>
  <dc:subject/>
  <dc:creator>Administrator</dc:creator>
  <cp:keywords/>
  <cp:lastModifiedBy>L L</cp:lastModifiedBy>
  <cp:revision>2</cp:revision>
  <cp:lastPrinted>2019-10-25T09:51:00Z</cp:lastPrinted>
  <dcterms:created xsi:type="dcterms:W3CDTF">2023-01-30T11:07:00Z</dcterms:created>
  <dcterms:modified xsi:type="dcterms:W3CDTF">2023-01-30T11:07:00Z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0x01010032190F9C183C09439DE6FB59AA523623</vt:lpwstr>
  </property>
  <property fmtid="{D5CDD505-2E9C-101B-9397-08002B2CF9AE}" pid="3" name="MSIP_Label_8c970d48-f7b9-48b0-9606-072fbefb514d_Enabled">
    <vt:lpwstr>true</vt:lpwstr>
  </property>
  <property fmtid="{D5CDD505-2E9C-101B-9397-08002B2CF9AE}" pid="4" name="MSIP_Label_8c970d48-f7b9-48b0-9606-072fbefb514d_SetDate">
    <vt:lpwstr>2021-07-26T06:47:52Z</vt:lpwstr>
  </property>
  <property fmtid="{D5CDD505-2E9C-101B-9397-08002B2CF9AE}" pid="5" name="MSIP_Label_8c970d48-f7b9-48b0-9606-072fbefb514d_Method">
    <vt:lpwstr>Privileged</vt:lpwstr>
  </property>
  <property fmtid="{D5CDD505-2E9C-101B-9397-08002B2CF9AE}" pid="6" name="MSIP_Label_8c970d48-f7b9-48b0-9606-072fbefb514d_Name">
    <vt:lpwstr>Business</vt:lpwstr>
  </property>
  <property fmtid="{D5CDD505-2E9C-101B-9397-08002B2CF9AE}" pid="7" name="MSIP_Label_8c970d48-f7b9-48b0-9606-072fbefb514d_SiteId">
    <vt:lpwstr>049e3382-8cdc-477b-9317-951b04689668</vt:lpwstr>
  </property>
  <property fmtid="{D5CDD505-2E9C-101B-9397-08002B2CF9AE}" pid="8" name="MSIP_Label_8c970d48-f7b9-48b0-9606-072fbefb514d_ActionId">
    <vt:lpwstr>ce2044cb-00fd-4a5c-a69b-7367898c505e</vt:lpwstr>
  </property>
  <property fmtid="{D5CDD505-2E9C-101B-9397-08002B2CF9AE}" pid="9" name="MSIP_Label_8c970d48-f7b9-48b0-9606-072fbefb514d_ContentBits">
    <vt:lpwstr>2</vt:lpwstr>
  </property>
  <property fmtid="{D5CDD505-2E9C-101B-9397-08002B2CF9AE}" pid="10" name="MSIP_Label_8ffbc0b8-e97b-47d1-beac-cb0955d66f3b_Enabled">
    <vt:lpwstr>true</vt:lpwstr>
  </property>
  <property fmtid="{D5CDD505-2E9C-101B-9397-08002B2CF9AE}" pid="11" name="MSIP_Label_8ffbc0b8-e97b-47d1-beac-cb0955d66f3b_SetDate">
    <vt:lpwstr>2022-07-18T10:18:56Z</vt:lpwstr>
  </property>
  <property fmtid="{D5CDD505-2E9C-101B-9397-08002B2CF9AE}" pid="12" name="MSIP_Label_8ffbc0b8-e97b-47d1-beac-cb0955d66f3b_Method">
    <vt:lpwstr>Standard</vt:lpwstr>
  </property>
  <property fmtid="{D5CDD505-2E9C-101B-9397-08002B2CF9AE}" pid="13" name="MSIP_Label_8ffbc0b8-e97b-47d1-beac-cb0955d66f3b_Name">
    <vt:lpwstr>8ffbc0b8-e97b-47d1-beac-cb0955d66f3b</vt:lpwstr>
  </property>
  <property fmtid="{D5CDD505-2E9C-101B-9397-08002B2CF9AE}" pid="14" name="MSIP_Label_8ffbc0b8-e97b-47d1-beac-cb0955d66f3b_SiteId">
    <vt:lpwstr>614f9c25-bffa-42c7-86d8-964101f55fa2</vt:lpwstr>
  </property>
  <property fmtid="{D5CDD505-2E9C-101B-9397-08002B2CF9AE}" pid="15" name="MSIP_Label_8ffbc0b8-e97b-47d1-beac-cb0955d66f3b_ActionId">
    <vt:lpwstr>2d991cb9-4852-4395-8045-f532ce290de7</vt:lpwstr>
  </property>
  <property fmtid="{D5CDD505-2E9C-101B-9397-08002B2CF9AE}" pid="16" name="MSIP_Label_8ffbc0b8-e97b-47d1-beac-cb0955d66f3b_ContentBits">
    <vt:lpwstr>2</vt:lpwstr>
  </property>
</Properties>
</file>