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F916" w14:textId="703DE848" w:rsidR="000F4355" w:rsidRPr="00064A75" w:rsidRDefault="000F4355" w:rsidP="000F4355">
      <w:pPr>
        <w:spacing w:line="360" w:lineRule="auto"/>
        <w:jc w:val="center"/>
        <w:rPr>
          <w:rFonts w:ascii="Arial" w:hAnsi="Arial" w:cs="Arial"/>
          <w:b/>
          <w:bCs/>
          <w:sz w:val="28"/>
          <w:szCs w:val="28"/>
        </w:rPr>
      </w:pPr>
      <w:r w:rsidRPr="5A77D555">
        <w:rPr>
          <w:rFonts w:ascii="Arial" w:hAnsi="Arial" w:cs="Arial"/>
          <w:b/>
          <w:bCs/>
          <w:sz w:val="28"/>
          <w:szCs w:val="28"/>
        </w:rPr>
        <w:t>FIDELITY INTERNATIONAL ANALYST SURVEY: LIGHT AT THE END OF THE TUNNEL FOR CORPORATES</w:t>
      </w:r>
    </w:p>
    <w:p w14:paraId="491F4DED" w14:textId="44EDBB54" w:rsidR="4F57A104" w:rsidRPr="00263E9E" w:rsidRDefault="4F57A104" w:rsidP="002E0A08">
      <w:pPr>
        <w:pStyle w:val="PargrafodaLista"/>
        <w:numPr>
          <w:ilvl w:val="0"/>
          <w:numId w:val="1"/>
        </w:numPr>
        <w:spacing w:line="360" w:lineRule="auto"/>
        <w:jc w:val="both"/>
        <w:rPr>
          <w:rFonts w:ascii="Arial" w:hAnsi="Arial" w:cs="Arial"/>
        </w:rPr>
      </w:pPr>
      <w:r w:rsidRPr="5A77D555">
        <w:rPr>
          <w:rFonts w:ascii="Arial" w:hAnsi="Arial" w:cs="Arial"/>
        </w:rPr>
        <w:t xml:space="preserve">Just over half of Fidelity analysts expect the </w:t>
      </w:r>
      <w:r w:rsidR="00F1419D">
        <w:rPr>
          <w:rFonts w:ascii="Arial" w:hAnsi="Arial" w:cs="Arial"/>
        </w:rPr>
        <w:t xml:space="preserve">global </w:t>
      </w:r>
      <w:r w:rsidRPr="5A77D555">
        <w:rPr>
          <w:rFonts w:ascii="Arial" w:hAnsi="Arial" w:cs="Arial"/>
        </w:rPr>
        <w:t xml:space="preserve">business cycle to turn positive by </w:t>
      </w:r>
      <w:r w:rsidRPr="00263E9E">
        <w:rPr>
          <w:rFonts w:ascii="Arial" w:hAnsi="Arial" w:cs="Arial"/>
        </w:rPr>
        <w:t>the end of 2023.</w:t>
      </w:r>
    </w:p>
    <w:p w14:paraId="38FEC1F6" w14:textId="6AB6918E" w:rsidR="00A37845" w:rsidRDefault="00A37845" w:rsidP="002E0A08">
      <w:pPr>
        <w:pStyle w:val="PargrafodaLista"/>
        <w:numPr>
          <w:ilvl w:val="0"/>
          <w:numId w:val="1"/>
        </w:numPr>
        <w:spacing w:line="360" w:lineRule="auto"/>
        <w:jc w:val="both"/>
        <w:rPr>
          <w:rFonts w:ascii="Arial" w:hAnsi="Arial" w:cs="Arial"/>
        </w:rPr>
      </w:pPr>
      <w:r w:rsidRPr="00A37845">
        <w:rPr>
          <w:rFonts w:ascii="Arial" w:hAnsi="Arial" w:cs="Arial"/>
        </w:rPr>
        <w:t>China leads in expectations for revenue growth globally</w:t>
      </w:r>
      <w:r>
        <w:rPr>
          <w:rFonts w:ascii="Arial" w:hAnsi="Arial" w:cs="Arial"/>
        </w:rPr>
        <w:t>,</w:t>
      </w:r>
      <w:r w:rsidRPr="00A37845">
        <w:rPr>
          <w:rFonts w:ascii="Arial" w:hAnsi="Arial" w:cs="Arial"/>
        </w:rPr>
        <w:t xml:space="preserve"> as it emerges from its zero</w:t>
      </w:r>
      <w:r>
        <w:rPr>
          <w:rFonts w:ascii="Arial" w:hAnsi="Arial" w:cs="Arial"/>
        </w:rPr>
        <w:t>-</w:t>
      </w:r>
      <w:r w:rsidRPr="00A37845">
        <w:rPr>
          <w:rFonts w:ascii="Arial" w:hAnsi="Arial" w:cs="Arial"/>
        </w:rPr>
        <w:t xml:space="preserve">Covid policy </w:t>
      </w:r>
    </w:p>
    <w:p w14:paraId="01755C14" w14:textId="1235E780" w:rsidR="4F57A104" w:rsidRDefault="4F57A104" w:rsidP="002E0A08">
      <w:pPr>
        <w:pStyle w:val="PargrafodaLista"/>
        <w:numPr>
          <w:ilvl w:val="0"/>
          <w:numId w:val="1"/>
        </w:numPr>
        <w:spacing w:line="360" w:lineRule="auto"/>
        <w:jc w:val="both"/>
        <w:rPr>
          <w:rFonts w:ascii="Arial" w:hAnsi="Arial" w:cs="Arial"/>
        </w:rPr>
      </w:pPr>
      <w:r w:rsidRPr="5A77D555">
        <w:rPr>
          <w:rFonts w:ascii="Arial" w:hAnsi="Arial" w:cs="Arial"/>
        </w:rPr>
        <w:t>Focus on ESG remains high for corporates, but more needs to be done on biodiversity</w:t>
      </w:r>
    </w:p>
    <w:p w14:paraId="10374435" w14:textId="5BC4C663" w:rsidR="000F4355" w:rsidRPr="00064A75" w:rsidRDefault="002E0A08" w:rsidP="000F4355">
      <w:pPr>
        <w:spacing w:line="360" w:lineRule="auto"/>
        <w:rPr>
          <w:rFonts w:ascii="Arial" w:hAnsi="Arial" w:cs="Arial"/>
        </w:rPr>
      </w:pPr>
      <w:r>
        <w:rPr>
          <w:rFonts w:ascii="Arial" w:hAnsi="Arial" w:cs="Arial"/>
          <w:b/>
          <w:bCs/>
        </w:rPr>
        <w:t>Madrid</w:t>
      </w:r>
      <w:r w:rsidR="000F4355" w:rsidRPr="5A77D555">
        <w:rPr>
          <w:rFonts w:ascii="Arial" w:hAnsi="Arial" w:cs="Arial"/>
          <w:b/>
          <w:bCs/>
        </w:rPr>
        <w:t xml:space="preserve">, </w:t>
      </w:r>
      <w:r>
        <w:rPr>
          <w:rFonts w:ascii="Arial" w:hAnsi="Arial" w:cs="Arial"/>
          <w:b/>
          <w:bCs/>
        </w:rPr>
        <w:t>2</w:t>
      </w:r>
      <w:r w:rsidR="00544312">
        <w:rPr>
          <w:rFonts w:ascii="Arial" w:hAnsi="Arial" w:cs="Arial"/>
          <w:b/>
          <w:bCs/>
        </w:rPr>
        <w:t>2</w:t>
      </w:r>
      <w:r w:rsidR="000F4355" w:rsidRPr="5A77D555">
        <w:rPr>
          <w:rFonts w:ascii="Arial" w:hAnsi="Arial" w:cs="Arial"/>
          <w:b/>
          <w:bCs/>
        </w:rPr>
        <w:t xml:space="preserve"> Feb 2023:</w:t>
      </w:r>
      <w:r w:rsidR="000F4355" w:rsidRPr="5A77D555">
        <w:rPr>
          <w:rFonts w:ascii="Arial" w:hAnsi="Arial" w:cs="Arial"/>
        </w:rPr>
        <w:t xml:space="preserve"> Corporates faced one of their toughest years in recent history</w:t>
      </w:r>
      <w:r w:rsidR="48792F00" w:rsidRPr="5A77D555">
        <w:rPr>
          <w:rFonts w:ascii="Arial" w:hAnsi="Arial" w:cs="Arial"/>
        </w:rPr>
        <w:t xml:space="preserve"> in 2022</w:t>
      </w:r>
      <w:r w:rsidR="000F4355" w:rsidRPr="5A77D555">
        <w:rPr>
          <w:rFonts w:ascii="Arial" w:hAnsi="Arial" w:cs="Arial"/>
        </w:rPr>
        <w:t>, as the global economy faced a confluence of shocks. And as we enter 2023</w:t>
      </w:r>
      <w:r w:rsidR="008C6E27" w:rsidRPr="5A77D555">
        <w:rPr>
          <w:rFonts w:ascii="Arial" w:hAnsi="Arial" w:cs="Arial"/>
        </w:rPr>
        <w:t>,</w:t>
      </w:r>
      <w:r w:rsidR="000F4355" w:rsidRPr="5A77D555">
        <w:rPr>
          <w:rFonts w:ascii="Arial" w:hAnsi="Arial" w:cs="Arial"/>
        </w:rPr>
        <w:t xml:space="preserve"> with higher prices and higher interest rates, businesses face another tough year ahead. But, according to Fidelity International’s annual analyst survey, there is light at the end of the tunnel</w:t>
      </w:r>
      <w:r w:rsidR="56587F30" w:rsidRPr="5A77D555">
        <w:rPr>
          <w:rFonts w:ascii="Arial" w:hAnsi="Arial" w:cs="Arial"/>
        </w:rPr>
        <w:t>, with China leading the way</w:t>
      </w:r>
      <w:r w:rsidR="000F4355" w:rsidRPr="5A77D555">
        <w:rPr>
          <w:rFonts w:ascii="Arial" w:hAnsi="Arial" w:cs="Arial"/>
        </w:rPr>
        <w:t xml:space="preserve">. </w:t>
      </w:r>
    </w:p>
    <w:p w14:paraId="65D33C6D" w14:textId="77777777" w:rsidR="008C6E27" w:rsidRPr="00064A75" w:rsidRDefault="008C6E27" w:rsidP="008C6E27">
      <w:pPr>
        <w:spacing w:line="360" w:lineRule="auto"/>
        <w:rPr>
          <w:rFonts w:ascii="Arial" w:hAnsi="Arial" w:cs="Arial"/>
        </w:rPr>
      </w:pPr>
      <w:r w:rsidRPr="00064A75">
        <w:rPr>
          <w:rFonts w:ascii="Arial" w:hAnsi="Arial" w:cs="Arial"/>
        </w:rPr>
        <w:t xml:space="preserve">Fidelity International’s annual Analyst Survey studies the views of its in-house analysts across the world, aggregating bottom-up information from c. 15,000 individual company interactions to find key trends in the corporate landscape. </w:t>
      </w:r>
    </w:p>
    <w:p w14:paraId="4764E66C" w14:textId="77777777" w:rsidR="000F4355" w:rsidRPr="00064A75" w:rsidRDefault="000F4355" w:rsidP="000F4355">
      <w:pPr>
        <w:spacing w:line="360" w:lineRule="auto"/>
        <w:rPr>
          <w:rFonts w:ascii="Arial" w:hAnsi="Arial" w:cs="Arial"/>
        </w:rPr>
      </w:pPr>
      <w:r w:rsidRPr="00064A75">
        <w:rPr>
          <w:rFonts w:ascii="Arial" w:hAnsi="Arial" w:cs="Arial"/>
        </w:rPr>
        <w:t xml:space="preserve">According to the survey, 60 per cent of analysts believe their sectors are already in a slowdown, a shallow recession or worse. But looking ahead, just over half of those analysts expect the business cycle will have turned positive again by the end of 2023. </w:t>
      </w:r>
    </w:p>
    <w:p w14:paraId="6C0C4DA6" w14:textId="03A14C72" w:rsidR="000F4355" w:rsidRPr="00064A75" w:rsidRDefault="000F4355" w:rsidP="000F4355">
      <w:pPr>
        <w:spacing w:line="360" w:lineRule="auto"/>
        <w:rPr>
          <w:rFonts w:ascii="Arial" w:hAnsi="Arial" w:cs="Arial"/>
          <w:b/>
          <w:bCs/>
        </w:rPr>
      </w:pPr>
      <w:r w:rsidRPr="00064A75">
        <w:rPr>
          <w:rFonts w:ascii="Arial" w:hAnsi="Arial" w:cs="Arial"/>
          <w:b/>
          <w:bCs/>
        </w:rPr>
        <w:t>Chart 1: This too shall pass</w:t>
      </w:r>
    </w:p>
    <w:p w14:paraId="0160684D" w14:textId="77777777" w:rsidR="000F4355" w:rsidRPr="00064A75" w:rsidRDefault="000F4355" w:rsidP="000F4355">
      <w:pPr>
        <w:spacing w:line="360" w:lineRule="auto"/>
        <w:rPr>
          <w:rFonts w:ascii="Arial" w:hAnsi="Arial" w:cs="Arial"/>
        </w:rPr>
      </w:pPr>
      <w:r w:rsidRPr="00064A75">
        <w:rPr>
          <w:rFonts w:ascii="Arial" w:hAnsi="Arial" w:cs="Arial"/>
          <w:noProof/>
        </w:rPr>
        <w:drawing>
          <wp:inline distT="0" distB="0" distL="0" distR="0" wp14:anchorId="6409AEBE" wp14:editId="6281A868">
            <wp:extent cx="5731510" cy="32708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70885"/>
                    </a:xfrm>
                    <a:prstGeom prst="rect">
                      <a:avLst/>
                    </a:prstGeom>
                  </pic:spPr>
                </pic:pic>
              </a:graphicData>
            </a:graphic>
          </wp:inline>
        </w:drawing>
      </w:r>
    </w:p>
    <w:p w14:paraId="5DFE571A" w14:textId="6A8DFC01" w:rsidR="000F4355" w:rsidRPr="00064A75" w:rsidRDefault="000F4355" w:rsidP="000F4355">
      <w:pPr>
        <w:spacing w:line="360" w:lineRule="auto"/>
        <w:rPr>
          <w:rFonts w:ascii="Arial" w:hAnsi="Arial" w:cs="Arial"/>
          <w:sz w:val="16"/>
          <w:szCs w:val="16"/>
        </w:rPr>
      </w:pPr>
      <w:r w:rsidRPr="00064A75">
        <w:rPr>
          <w:rFonts w:ascii="Arial" w:hAnsi="Arial" w:cs="Arial"/>
          <w:i/>
          <w:iCs/>
          <w:sz w:val="16"/>
          <w:szCs w:val="16"/>
        </w:rPr>
        <w:t>Questions: “What stage of the cycle is your sector currently in?” and “What stage of the cycle will your sector be in in 12 months’ time?” Chart shows percentage of analysts. Source: Fidelity Analyst Survey 2023</w:t>
      </w:r>
    </w:p>
    <w:p w14:paraId="48EC0631" w14:textId="4FA89E36" w:rsidR="000F4355" w:rsidRPr="007C7154" w:rsidRDefault="007C7154" w:rsidP="007C7154">
      <w:pPr>
        <w:pStyle w:val="NormalWeb"/>
        <w:spacing w:line="360" w:lineRule="auto"/>
        <w:rPr>
          <w:rFonts w:ascii="Arial" w:hAnsi="Arial" w:cs="Arial"/>
          <w:sz w:val="22"/>
          <w:szCs w:val="22"/>
        </w:rPr>
      </w:pPr>
      <w:r w:rsidRPr="007C7154">
        <w:rPr>
          <w:rFonts w:ascii="Arial" w:hAnsi="Arial" w:cs="Arial"/>
          <w:b/>
          <w:bCs/>
          <w:sz w:val="22"/>
          <w:szCs w:val="22"/>
        </w:rPr>
        <w:lastRenderedPageBreak/>
        <w:t xml:space="preserve">Fiona O’Neill, Head of Strategic Initiatives, Global Investment Research at Fidelity </w:t>
      </w:r>
      <w:r w:rsidR="000F4355" w:rsidRPr="007C7154">
        <w:rPr>
          <w:rFonts w:ascii="Arial" w:hAnsi="Arial" w:cs="Arial"/>
          <w:b/>
          <w:bCs/>
          <w:sz w:val="22"/>
          <w:szCs w:val="22"/>
        </w:rPr>
        <w:t>International commented:</w:t>
      </w:r>
      <w:r w:rsidR="000F4355" w:rsidRPr="007C7154">
        <w:rPr>
          <w:rFonts w:ascii="Arial" w:hAnsi="Arial" w:cs="Arial"/>
          <w:sz w:val="22"/>
          <w:szCs w:val="22"/>
        </w:rPr>
        <w:t xml:space="preserve"> “Our survey findings may run contrary to the prevailing mood after a year in which the shocks delivered by Russia’s invasion of Ukraine have run parallel to the deflating of a decade of booming stock markets and cheap money. But from a wider perspective, it is in line with economic logic: as companies reach the bottom of the business cycle, they begin to think about the opportunities to come.</w:t>
      </w:r>
      <w:r w:rsidR="00E31D03" w:rsidRPr="007C7154">
        <w:rPr>
          <w:rFonts w:ascii="Arial" w:hAnsi="Arial" w:cs="Arial"/>
          <w:sz w:val="22"/>
          <w:szCs w:val="22"/>
        </w:rPr>
        <w:t>”</w:t>
      </w:r>
    </w:p>
    <w:p w14:paraId="3812C3CB" w14:textId="1DA64B37" w:rsidR="004173BA" w:rsidRPr="007C7154" w:rsidRDefault="001A16F0" w:rsidP="007C7154">
      <w:pPr>
        <w:spacing w:line="360" w:lineRule="auto"/>
        <w:rPr>
          <w:rFonts w:ascii="Arial" w:hAnsi="Arial" w:cs="Arial"/>
        </w:rPr>
      </w:pPr>
      <w:r w:rsidRPr="007C7154">
        <w:rPr>
          <w:rFonts w:ascii="Arial" w:hAnsi="Arial" w:cs="Arial"/>
        </w:rPr>
        <w:t>“</w:t>
      </w:r>
      <w:r w:rsidR="000F4355" w:rsidRPr="007C7154">
        <w:rPr>
          <w:rFonts w:ascii="Arial" w:hAnsi="Arial" w:cs="Arial"/>
        </w:rPr>
        <w:t>According to the survey, cost pressures will peak for most sectors and regions in the first half of the year. China - assuming its reopening gamble works - will reboot, and materials, utilities and technology companies will shift back into investment mode, in part driven by the environmental transition.</w:t>
      </w:r>
      <w:r w:rsidRPr="007C7154">
        <w:rPr>
          <w:rFonts w:ascii="Arial" w:hAnsi="Arial" w:cs="Arial"/>
        </w:rPr>
        <w:t>”</w:t>
      </w:r>
    </w:p>
    <w:p w14:paraId="376750ED" w14:textId="6D2B35B3" w:rsidR="00CB18CB" w:rsidRPr="00064A75" w:rsidRDefault="000B6108" w:rsidP="00C07F6D">
      <w:pPr>
        <w:spacing w:line="360" w:lineRule="auto"/>
        <w:rPr>
          <w:rFonts w:ascii="Arial" w:hAnsi="Arial" w:cs="Arial"/>
          <w:b/>
          <w:bCs/>
        </w:rPr>
      </w:pPr>
      <w:r w:rsidRPr="00064A75">
        <w:rPr>
          <w:rFonts w:ascii="Arial" w:hAnsi="Arial" w:cs="Arial"/>
          <w:b/>
          <w:bCs/>
        </w:rPr>
        <w:t xml:space="preserve">China </w:t>
      </w:r>
      <w:r w:rsidR="007B5736" w:rsidRPr="00064A75">
        <w:rPr>
          <w:rFonts w:ascii="Arial" w:hAnsi="Arial" w:cs="Arial"/>
          <w:b/>
          <w:bCs/>
        </w:rPr>
        <w:t>enters expansion mode</w:t>
      </w:r>
    </w:p>
    <w:p w14:paraId="29068152" w14:textId="704F80F3" w:rsidR="004173BA" w:rsidRPr="00064A75" w:rsidRDefault="00FB1477" w:rsidP="00C07F6D">
      <w:pPr>
        <w:spacing w:line="360" w:lineRule="auto"/>
        <w:rPr>
          <w:rFonts w:ascii="Arial" w:hAnsi="Arial" w:cs="Arial"/>
        </w:rPr>
      </w:pPr>
      <w:r w:rsidRPr="07D0EF3F">
        <w:rPr>
          <w:rFonts w:ascii="Arial" w:hAnsi="Arial" w:cs="Arial"/>
        </w:rPr>
        <w:t xml:space="preserve">As China emerges from its zero-Covid policy, </w:t>
      </w:r>
      <w:r w:rsidR="79BED627" w:rsidRPr="07D0EF3F">
        <w:rPr>
          <w:rFonts w:ascii="Arial" w:hAnsi="Arial" w:cs="Arial"/>
        </w:rPr>
        <w:t>its</w:t>
      </w:r>
      <w:r w:rsidR="009E2A13" w:rsidRPr="07D0EF3F">
        <w:rPr>
          <w:rFonts w:ascii="Arial" w:hAnsi="Arial" w:cs="Arial"/>
        </w:rPr>
        <w:t xml:space="preserve"> economy looks to be in a different point in the business cycle. </w:t>
      </w:r>
      <w:r w:rsidR="00F73E50">
        <w:rPr>
          <w:rFonts w:ascii="Arial" w:hAnsi="Arial" w:cs="Arial"/>
        </w:rPr>
        <w:t>Most</w:t>
      </w:r>
      <w:r w:rsidR="004173BA" w:rsidRPr="07D0EF3F">
        <w:rPr>
          <w:rFonts w:ascii="Arial" w:hAnsi="Arial" w:cs="Arial"/>
        </w:rPr>
        <w:t xml:space="preserve"> Fidelity analysts covering </w:t>
      </w:r>
      <w:r w:rsidR="003A522E" w:rsidRPr="07D0EF3F">
        <w:rPr>
          <w:rFonts w:ascii="Arial" w:hAnsi="Arial" w:cs="Arial"/>
        </w:rPr>
        <w:t>China</w:t>
      </w:r>
      <w:r w:rsidR="004173BA" w:rsidRPr="07D0EF3F">
        <w:rPr>
          <w:rFonts w:ascii="Arial" w:hAnsi="Arial" w:cs="Arial"/>
        </w:rPr>
        <w:t xml:space="preserve"> expect to see revenue growth over the next 12 months, the highest among all regions</w:t>
      </w:r>
      <w:r w:rsidR="00F73E50">
        <w:rPr>
          <w:rFonts w:ascii="Arial" w:hAnsi="Arial" w:cs="Arial"/>
        </w:rPr>
        <w:t>.</w:t>
      </w:r>
      <w:r w:rsidR="004173BA" w:rsidRPr="07D0EF3F">
        <w:rPr>
          <w:rFonts w:ascii="Arial" w:hAnsi="Arial" w:cs="Arial"/>
        </w:rPr>
        <w:t xml:space="preserve"> </w:t>
      </w:r>
    </w:p>
    <w:p w14:paraId="6BA6ADA6" w14:textId="058885E1" w:rsidR="004173BA" w:rsidRDefault="004173BA" w:rsidP="004173BA">
      <w:pPr>
        <w:rPr>
          <w:rFonts w:ascii="Arial" w:hAnsi="Arial" w:cs="Arial"/>
          <w:b/>
          <w:bCs/>
        </w:rPr>
      </w:pPr>
      <w:r w:rsidRPr="00064A75">
        <w:rPr>
          <w:rFonts w:ascii="Arial" w:hAnsi="Arial" w:cs="Arial"/>
          <w:b/>
          <w:bCs/>
        </w:rPr>
        <w:t xml:space="preserve">Chart </w:t>
      </w:r>
      <w:r w:rsidR="00B03BAC" w:rsidRPr="00064A75">
        <w:rPr>
          <w:rFonts w:ascii="Arial" w:hAnsi="Arial" w:cs="Arial"/>
          <w:b/>
          <w:bCs/>
        </w:rPr>
        <w:t>2</w:t>
      </w:r>
      <w:r w:rsidRPr="00064A75">
        <w:rPr>
          <w:rFonts w:ascii="Arial" w:hAnsi="Arial" w:cs="Arial"/>
          <w:b/>
          <w:bCs/>
        </w:rPr>
        <w:t xml:space="preserve">: </w:t>
      </w:r>
      <w:bookmarkStart w:id="0" w:name="_Hlk125357890"/>
      <w:r w:rsidRPr="00064A75">
        <w:rPr>
          <w:rFonts w:ascii="Arial" w:hAnsi="Arial" w:cs="Arial"/>
          <w:b/>
          <w:bCs/>
        </w:rPr>
        <w:t>China leads in expectations for revenue growth</w:t>
      </w:r>
    </w:p>
    <w:bookmarkEnd w:id="0"/>
    <w:p w14:paraId="6184AC54" w14:textId="0F292FD6" w:rsidR="006C066A" w:rsidRPr="00064A75" w:rsidRDefault="006C066A" w:rsidP="004173BA">
      <w:pPr>
        <w:rPr>
          <w:rFonts w:ascii="Arial" w:hAnsi="Arial" w:cs="Arial"/>
          <w:b/>
          <w:bCs/>
        </w:rPr>
      </w:pPr>
      <w:r>
        <w:rPr>
          <w:noProof/>
        </w:rPr>
        <w:drawing>
          <wp:inline distT="0" distB="0" distL="0" distR="0" wp14:anchorId="3A1CD8D1" wp14:editId="1BED959D">
            <wp:extent cx="4572000" cy="2743200"/>
            <wp:effectExtent l="0" t="0" r="0" b="0"/>
            <wp:docPr id="4" name="Chart 4">
              <a:extLst xmlns:a="http://schemas.openxmlformats.org/drawingml/2006/main">
                <a:ext uri="{FF2B5EF4-FFF2-40B4-BE49-F238E27FC236}">
                  <a16:creationId xmlns:a16="http://schemas.microsoft.com/office/drawing/2014/main" id="{B97FD68B-8807-4168-B788-2BCA6BAFDE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4FA94A" w14:textId="30C73042" w:rsidR="004173BA" w:rsidRPr="00064A75" w:rsidRDefault="004173BA" w:rsidP="005B7F02">
      <w:pPr>
        <w:spacing w:line="360" w:lineRule="auto"/>
        <w:rPr>
          <w:rFonts w:ascii="Arial" w:hAnsi="Arial" w:cs="Arial"/>
          <w:sz w:val="16"/>
          <w:szCs w:val="16"/>
        </w:rPr>
      </w:pPr>
      <w:r w:rsidRPr="00064A75">
        <w:rPr>
          <w:rFonts w:ascii="Arial" w:hAnsi="Arial" w:cs="Arial"/>
          <w:i/>
          <w:iCs/>
          <w:sz w:val="16"/>
          <w:szCs w:val="16"/>
        </w:rPr>
        <w:t xml:space="preserve">Question: “What are your expectations for revenue growth over the next 12 months?” Chart shows </w:t>
      </w:r>
      <w:r w:rsidR="006C066A">
        <w:rPr>
          <w:rFonts w:ascii="Arial" w:hAnsi="Arial" w:cs="Arial"/>
          <w:i/>
          <w:iCs/>
          <w:sz w:val="16"/>
          <w:szCs w:val="16"/>
        </w:rPr>
        <w:t xml:space="preserve">percentage </w:t>
      </w:r>
      <w:r w:rsidRPr="00064A75">
        <w:rPr>
          <w:rFonts w:ascii="Arial" w:hAnsi="Arial" w:cs="Arial"/>
          <w:i/>
          <w:iCs/>
          <w:sz w:val="16"/>
          <w:szCs w:val="16"/>
        </w:rPr>
        <w:t>of responses reporting expected increase in revenue</w:t>
      </w:r>
      <w:r w:rsidR="006C066A">
        <w:rPr>
          <w:rFonts w:ascii="Arial" w:hAnsi="Arial" w:cs="Arial"/>
          <w:i/>
          <w:iCs/>
          <w:sz w:val="16"/>
          <w:szCs w:val="16"/>
        </w:rPr>
        <w:t xml:space="preserve">. </w:t>
      </w:r>
      <w:r w:rsidRPr="00064A75">
        <w:rPr>
          <w:rFonts w:ascii="Arial" w:hAnsi="Arial" w:cs="Arial"/>
          <w:i/>
          <w:iCs/>
          <w:sz w:val="16"/>
          <w:szCs w:val="16"/>
        </w:rPr>
        <w:t>Source: Fidelity International Analyst Survey 2023.</w:t>
      </w:r>
    </w:p>
    <w:p w14:paraId="24867731" w14:textId="4F23C9E4" w:rsidR="000C1E08" w:rsidRPr="00064A75" w:rsidRDefault="000C1E08" w:rsidP="005B7F02">
      <w:pPr>
        <w:spacing w:line="360" w:lineRule="auto"/>
        <w:rPr>
          <w:rFonts w:ascii="Arial" w:hAnsi="Arial" w:cs="Arial"/>
        </w:rPr>
      </w:pPr>
      <w:r w:rsidRPr="00064A75">
        <w:rPr>
          <w:rFonts w:ascii="Arial" w:hAnsi="Arial" w:cs="Arial"/>
        </w:rPr>
        <w:t xml:space="preserve">Adding to the bullish tone, in </w:t>
      </w:r>
      <w:r w:rsidR="007B5736" w:rsidRPr="00064A75">
        <w:rPr>
          <w:rFonts w:ascii="Arial" w:hAnsi="Arial" w:cs="Arial"/>
        </w:rPr>
        <w:t>Fidelity’s</w:t>
      </w:r>
      <w:r w:rsidRPr="00064A75">
        <w:rPr>
          <w:rFonts w:ascii="Arial" w:hAnsi="Arial" w:cs="Arial"/>
        </w:rPr>
        <w:t xml:space="preserve"> most recent monthly surveys, which pick up shorter-term shifts in mood, China emerged as the only region </w:t>
      </w:r>
      <w:r w:rsidR="00ED6D27" w:rsidRPr="00064A75">
        <w:rPr>
          <w:rFonts w:ascii="Arial" w:hAnsi="Arial" w:cs="Arial"/>
        </w:rPr>
        <w:t>Fidelity</w:t>
      </w:r>
      <w:r w:rsidRPr="00064A75">
        <w:rPr>
          <w:rFonts w:ascii="Arial" w:hAnsi="Arial" w:cs="Arial"/>
        </w:rPr>
        <w:t xml:space="preserve"> analysts </w:t>
      </w:r>
      <w:r w:rsidR="00ED6D27" w:rsidRPr="00064A75">
        <w:rPr>
          <w:rFonts w:ascii="Arial" w:hAnsi="Arial" w:cs="Arial"/>
        </w:rPr>
        <w:t>reported</w:t>
      </w:r>
      <w:r w:rsidRPr="00064A75">
        <w:rPr>
          <w:rFonts w:ascii="Arial" w:hAnsi="Arial" w:cs="Arial"/>
        </w:rPr>
        <w:t xml:space="preserve"> positive sentiment among company managers for both December and January</w:t>
      </w:r>
      <w:r w:rsidR="00ED6D27" w:rsidRPr="00064A75">
        <w:rPr>
          <w:rFonts w:ascii="Arial" w:hAnsi="Arial" w:cs="Arial"/>
        </w:rPr>
        <w:t>.</w:t>
      </w:r>
      <w:r w:rsidRPr="00064A75">
        <w:rPr>
          <w:rFonts w:ascii="Arial" w:hAnsi="Arial" w:cs="Arial"/>
        </w:rPr>
        <w:t xml:space="preserve"> It was in December that China started easing lockdowns and preparing for reopening. </w:t>
      </w:r>
    </w:p>
    <w:p w14:paraId="015D9ADC" w14:textId="77777777" w:rsidR="009449D2" w:rsidRDefault="009449D2" w:rsidP="005B7F02">
      <w:pPr>
        <w:spacing w:line="360" w:lineRule="auto"/>
        <w:rPr>
          <w:rFonts w:ascii="Arial" w:hAnsi="Arial" w:cs="Arial"/>
          <w:b/>
          <w:bCs/>
        </w:rPr>
      </w:pPr>
      <w:bookmarkStart w:id="1" w:name="_Hlk125357975"/>
    </w:p>
    <w:p w14:paraId="538D5784" w14:textId="77777777" w:rsidR="009449D2" w:rsidRDefault="009449D2" w:rsidP="005B7F02">
      <w:pPr>
        <w:spacing w:line="360" w:lineRule="auto"/>
        <w:rPr>
          <w:rFonts w:ascii="Arial" w:hAnsi="Arial" w:cs="Arial"/>
          <w:b/>
          <w:bCs/>
        </w:rPr>
      </w:pPr>
    </w:p>
    <w:p w14:paraId="2C15EDED" w14:textId="7F0A91EE" w:rsidR="000C1E08" w:rsidRPr="00064A75" w:rsidRDefault="000C1E08" w:rsidP="005B7F02">
      <w:pPr>
        <w:spacing w:line="360" w:lineRule="auto"/>
        <w:rPr>
          <w:rFonts w:ascii="Arial" w:hAnsi="Arial" w:cs="Arial"/>
          <w:b/>
          <w:bCs/>
        </w:rPr>
      </w:pPr>
      <w:r w:rsidRPr="00064A75">
        <w:rPr>
          <w:rFonts w:ascii="Arial" w:hAnsi="Arial" w:cs="Arial"/>
          <w:b/>
          <w:bCs/>
        </w:rPr>
        <w:lastRenderedPageBreak/>
        <w:t xml:space="preserve">Chart </w:t>
      </w:r>
      <w:r w:rsidR="00064A75">
        <w:rPr>
          <w:rFonts w:ascii="Arial" w:hAnsi="Arial" w:cs="Arial"/>
          <w:b/>
          <w:bCs/>
        </w:rPr>
        <w:t>3</w:t>
      </w:r>
      <w:r w:rsidRPr="00064A75">
        <w:rPr>
          <w:rFonts w:ascii="Arial" w:hAnsi="Arial" w:cs="Arial"/>
          <w:b/>
          <w:bCs/>
        </w:rPr>
        <w:t>: China’s reopening promise has boosted management sentiment</w:t>
      </w:r>
    </w:p>
    <w:bookmarkEnd w:id="1"/>
    <w:p w14:paraId="6055645A" w14:textId="77777777" w:rsidR="000C1E08" w:rsidRPr="00064A75" w:rsidRDefault="000C1E08" w:rsidP="005B7F02">
      <w:pPr>
        <w:spacing w:line="360" w:lineRule="auto"/>
        <w:rPr>
          <w:rFonts w:ascii="Arial" w:hAnsi="Arial" w:cs="Arial"/>
          <w:b/>
          <w:bCs/>
          <w:i/>
          <w:iCs/>
        </w:rPr>
      </w:pPr>
      <w:r w:rsidRPr="00064A75">
        <w:rPr>
          <w:rFonts w:ascii="Arial" w:hAnsi="Arial" w:cs="Arial"/>
          <w:noProof/>
        </w:rPr>
        <w:drawing>
          <wp:inline distT="0" distB="0" distL="0" distR="0" wp14:anchorId="73E28064" wp14:editId="53647F60">
            <wp:extent cx="3739220" cy="311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42480" cy="3120569"/>
                    </a:xfrm>
                    <a:prstGeom prst="rect">
                      <a:avLst/>
                    </a:prstGeom>
                    <a:noFill/>
                    <a:ln>
                      <a:noFill/>
                    </a:ln>
                  </pic:spPr>
                </pic:pic>
              </a:graphicData>
            </a:graphic>
          </wp:inline>
        </w:drawing>
      </w:r>
    </w:p>
    <w:p w14:paraId="2D9BC03E" w14:textId="6487644E" w:rsidR="005B7F02" w:rsidRPr="00064A75" w:rsidRDefault="000C1E08" w:rsidP="005B7F02">
      <w:pPr>
        <w:spacing w:line="360" w:lineRule="auto"/>
        <w:rPr>
          <w:rFonts w:ascii="Arial" w:hAnsi="Arial" w:cs="Arial"/>
          <w:i/>
          <w:iCs/>
          <w:sz w:val="16"/>
          <w:szCs w:val="16"/>
        </w:rPr>
      </w:pPr>
      <w:r w:rsidRPr="00064A75">
        <w:rPr>
          <w:rFonts w:ascii="Arial" w:hAnsi="Arial" w:cs="Arial"/>
          <w:i/>
          <w:iCs/>
          <w:sz w:val="16"/>
          <w:szCs w:val="16"/>
        </w:rPr>
        <w:t>Question: “Based on your interactions with companies over the past month, to what extent, if at all, has your perception of management sentiment over the next six months changed?” Chart shows proportion of responses reporting positive management sentiment minus those reporting negative management sentiment. Strong negative and strong positive responses receive a double weighting. Higher values show analysts are, on balance, reporting more positive sentiment among the companies they cover, lower values more negative sentiment. Source: Fidelity International Analyst Survey 2023.</w:t>
      </w:r>
    </w:p>
    <w:p w14:paraId="13245521" w14:textId="202103CE" w:rsidR="000C1E08" w:rsidRPr="00064A75" w:rsidRDefault="000C1E08" w:rsidP="005B7F02">
      <w:pPr>
        <w:spacing w:line="360" w:lineRule="auto"/>
        <w:rPr>
          <w:rFonts w:ascii="Arial" w:hAnsi="Arial" w:cs="Arial"/>
        </w:rPr>
      </w:pPr>
      <w:r w:rsidRPr="00064A75">
        <w:rPr>
          <w:rFonts w:ascii="Arial" w:hAnsi="Arial" w:cs="Arial"/>
        </w:rPr>
        <w:t xml:space="preserve">However, this optimism is tempered by concerns over a possible Covid resurgence, as China has swung from zero tolerance for infections to a fast reopening. </w:t>
      </w:r>
    </w:p>
    <w:p w14:paraId="0649ABF5" w14:textId="13C18DDF" w:rsidR="00533450" w:rsidRPr="00064A75" w:rsidRDefault="007C7154" w:rsidP="005B7F02">
      <w:pPr>
        <w:spacing w:line="360" w:lineRule="auto"/>
        <w:rPr>
          <w:rFonts w:ascii="Arial" w:hAnsi="Arial" w:cs="Arial"/>
          <w:color w:val="242424"/>
          <w:shd w:val="clear" w:color="auto" w:fill="FFFFFF"/>
        </w:rPr>
      </w:pPr>
      <w:r w:rsidRPr="007C7154">
        <w:rPr>
          <w:rFonts w:ascii="Arial" w:hAnsi="Arial" w:cs="Arial"/>
          <w:b/>
          <w:bCs/>
        </w:rPr>
        <w:t>Fiona O’Neill</w:t>
      </w:r>
      <w:r>
        <w:rPr>
          <w:rFonts w:ascii="Arial" w:hAnsi="Arial" w:cs="Arial"/>
          <w:b/>
          <w:bCs/>
          <w:color w:val="242424"/>
          <w:shd w:val="clear" w:color="auto" w:fill="FFFFFF"/>
        </w:rPr>
        <w:t xml:space="preserve"> </w:t>
      </w:r>
      <w:r w:rsidR="00064A75">
        <w:rPr>
          <w:rFonts w:ascii="Arial" w:hAnsi="Arial" w:cs="Arial"/>
          <w:b/>
          <w:bCs/>
          <w:color w:val="242424"/>
          <w:shd w:val="clear" w:color="auto" w:fill="FFFFFF"/>
        </w:rPr>
        <w:t>commented</w:t>
      </w:r>
      <w:r w:rsidR="00533450" w:rsidRPr="00064A75">
        <w:rPr>
          <w:rFonts w:ascii="Arial" w:hAnsi="Arial" w:cs="Arial"/>
          <w:b/>
          <w:bCs/>
          <w:color w:val="242424"/>
          <w:shd w:val="clear" w:color="auto" w:fill="FFFFFF"/>
        </w:rPr>
        <w:t>:</w:t>
      </w:r>
      <w:r w:rsidR="00533450" w:rsidRPr="00064A75">
        <w:rPr>
          <w:rFonts w:ascii="Arial" w:hAnsi="Arial" w:cs="Arial"/>
          <w:color w:val="242424"/>
          <w:shd w:val="clear" w:color="auto" w:fill="FFFFFF"/>
        </w:rPr>
        <w:t xml:space="preserve"> “</w:t>
      </w:r>
      <w:r w:rsidR="52A81E69" w:rsidRPr="00064A75">
        <w:rPr>
          <w:rFonts w:ascii="Arial" w:hAnsi="Arial" w:cs="Arial"/>
          <w:color w:val="242424"/>
          <w:shd w:val="clear" w:color="auto" w:fill="FFFFFF"/>
        </w:rPr>
        <w:t>Corporates have</w:t>
      </w:r>
      <w:r w:rsidR="498B5268" w:rsidRPr="00064A75">
        <w:rPr>
          <w:rFonts w:ascii="Arial" w:hAnsi="Arial" w:cs="Arial"/>
          <w:color w:val="242424"/>
          <w:shd w:val="clear" w:color="auto" w:fill="FFFFFF"/>
        </w:rPr>
        <w:t xml:space="preserve"> responded positively to the easing of China’s zero-</w:t>
      </w:r>
      <w:r w:rsidR="00AF5EDA" w:rsidRPr="00064A75">
        <w:rPr>
          <w:rFonts w:ascii="Arial" w:hAnsi="Arial" w:cs="Arial"/>
          <w:color w:val="242424"/>
          <w:shd w:val="clear" w:color="auto" w:fill="FFFFFF"/>
        </w:rPr>
        <w:t>C</w:t>
      </w:r>
      <w:r w:rsidR="00AF5EDA">
        <w:rPr>
          <w:rFonts w:ascii="Arial" w:hAnsi="Arial" w:cs="Arial"/>
          <w:color w:val="242424"/>
          <w:shd w:val="clear" w:color="auto" w:fill="FFFFFF"/>
        </w:rPr>
        <w:t>ovid</w:t>
      </w:r>
      <w:r w:rsidR="00AF5EDA" w:rsidRPr="00064A75">
        <w:rPr>
          <w:rFonts w:ascii="Arial" w:hAnsi="Arial" w:cs="Arial"/>
          <w:color w:val="242424"/>
          <w:shd w:val="clear" w:color="auto" w:fill="FFFFFF"/>
        </w:rPr>
        <w:t xml:space="preserve"> </w:t>
      </w:r>
      <w:r w:rsidR="498B5268" w:rsidRPr="00064A75">
        <w:rPr>
          <w:rFonts w:ascii="Arial" w:hAnsi="Arial" w:cs="Arial"/>
          <w:color w:val="242424"/>
          <w:shd w:val="clear" w:color="auto" w:fill="FFFFFF"/>
        </w:rPr>
        <w:t>policy</w:t>
      </w:r>
      <w:r w:rsidR="5B32D1A0" w:rsidRPr="00064A75">
        <w:rPr>
          <w:rFonts w:ascii="Arial" w:hAnsi="Arial" w:cs="Arial"/>
          <w:color w:val="242424"/>
          <w:shd w:val="clear" w:color="auto" w:fill="FFFFFF"/>
        </w:rPr>
        <w:t xml:space="preserve">, with </w:t>
      </w:r>
      <w:r w:rsidR="1C8941CF" w:rsidRPr="00064A75">
        <w:rPr>
          <w:rFonts w:ascii="Arial" w:hAnsi="Arial" w:cs="Arial"/>
          <w:color w:val="242424"/>
          <w:shd w:val="clear" w:color="auto" w:fill="FFFFFF"/>
        </w:rPr>
        <w:t xml:space="preserve">stock markets rising rapidly since </w:t>
      </w:r>
      <w:r w:rsidR="071D5A37" w:rsidRPr="00064A75">
        <w:rPr>
          <w:rFonts w:ascii="Arial" w:hAnsi="Arial" w:cs="Arial"/>
          <w:color w:val="242424"/>
          <w:shd w:val="clear" w:color="auto" w:fill="FFFFFF"/>
        </w:rPr>
        <w:t>December, However</w:t>
      </w:r>
      <w:r w:rsidR="07002814" w:rsidRPr="00064A75">
        <w:rPr>
          <w:rFonts w:ascii="Arial" w:hAnsi="Arial" w:cs="Arial"/>
          <w:color w:val="242424"/>
          <w:shd w:val="clear" w:color="auto" w:fill="FFFFFF"/>
        </w:rPr>
        <w:t xml:space="preserve">, </w:t>
      </w:r>
      <w:r w:rsidR="00533450" w:rsidRPr="00064A75">
        <w:rPr>
          <w:rFonts w:ascii="Arial" w:hAnsi="Arial" w:cs="Arial"/>
          <w:color w:val="242424"/>
          <w:shd w:val="clear" w:color="auto" w:fill="FFFFFF"/>
        </w:rPr>
        <w:t>companies might see a weaker near-term performance given employee absence and overall, we anticipate it could be a bumpy ride before Covid cases normalise.”</w:t>
      </w:r>
    </w:p>
    <w:p w14:paraId="642AE190" w14:textId="556C308B" w:rsidR="006E37BE" w:rsidRPr="00064A75" w:rsidRDefault="00F4504A" w:rsidP="000F4355">
      <w:pPr>
        <w:spacing w:line="360" w:lineRule="auto"/>
        <w:rPr>
          <w:rFonts w:ascii="Arial" w:hAnsi="Arial" w:cs="Arial"/>
          <w:b/>
          <w:bCs/>
        </w:rPr>
      </w:pPr>
      <w:r w:rsidRPr="00064A75">
        <w:rPr>
          <w:rFonts w:ascii="Arial" w:hAnsi="Arial" w:cs="Arial"/>
          <w:b/>
          <w:bCs/>
        </w:rPr>
        <w:t>Be prepared</w:t>
      </w:r>
    </w:p>
    <w:p w14:paraId="154F5A1E" w14:textId="374B7095" w:rsidR="000F4355" w:rsidRPr="00064A75" w:rsidRDefault="005B7F02" w:rsidP="000F4355">
      <w:pPr>
        <w:spacing w:line="360" w:lineRule="auto"/>
        <w:rPr>
          <w:rFonts w:ascii="Arial" w:hAnsi="Arial" w:cs="Arial"/>
        </w:rPr>
      </w:pPr>
      <w:r w:rsidRPr="00064A75">
        <w:rPr>
          <w:rFonts w:ascii="Arial" w:hAnsi="Arial" w:cs="Arial"/>
        </w:rPr>
        <w:t>Despite cautious optimism for the year end</w:t>
      </w:r>
      <w:r w:rsidR="000F4355" w:rsidRPr="00064A75">
        <w:rPr>
          <w:rFonts w:ascii="Arial" w:hAnsi="Arial" w:cs="Arial"/>
        </w:rPr>
        <w:t xml:space="preserve">, the pain ahead is evident in the survey’s wide range of data points. </w:t>
      </w:r>
      <w:r w:rsidR="007D10BF" w:rsidRPr="00064A75">
        <w:rPr>
          <w:rFonts w:ascii="Arial" w:hAnsi="Arial" w:cs="Arial"/>
        </w:rPr>
        <w:t>Fidelity a</w:t>
      </w:r>
      <w:r w:rsidR="000F4355" w:rsidRPr="00064A75">
        <w:rPr>
          <w:rFonts w:ascii="Arial" w:hAnsi="Arial" w:cs="Arial"/>
        </w:rPr>
        <w:t xml:space="preserve">nalysts expect a rise in debt defaults over the next 12 months. Recent growth in shareholder pay-outs will fade, while M&amp;A activity will slow, with 73 per cent of </w:t>
      </w:r>
      <w:r w:rsidR="007D10BF" w:rsidRPr="00064A75">
        <w:rPr>
          <w:rFonts w:ascii="Arial" w:hAnsi="Arial" w:cs="Arial"/>
        </w:rPr>
        <w:t xml:space="preserve">Fidelity </w:t>
      </w:r>
      <w:r w:rsidR="000F4355" w:rsidRPr="00064A75">
        <w:rPr>
          <w:rFonts w:ascii="Arial" w:hAnsi="Arial" w:cs="Arial"/>
        </w:rPr>
        <w:t xml:space="preserve">analysts saying the deals they do expect will be smaller, bolt-on acquisitions. Around three-quarters (74 per cent) say that, for now, the biggest focus for boards is holding down costs and shoring up revenues, rather than investing for growth or delivering shareholder returns. </w:t>
      </w:r>
    </w:p>
    <w:p w14:paraId="403FC336" w14:textId="77777777" w:rsidR="00953A54" w:rsidRPr="00064A75" w:rsidRDefault="000F4355" w:rsidP="000F4355">
      <w:pPr>
        <w:spacing w:line="360" w:lineRule="auto"/>
        <w:rPr>
          <w:rFonts w:ascii="Arial" w:hAnsi="Arial" w:cs="Arial"/>
        </w:rPr>
      </w:pPr>
      <w:r w:rsidRPr="00064A75">
        <w:rPr>
          <w:rFonts w:ascii="Arial" w:hAnsi="Arial" w:cs="Arial"/>
        </w:rPr>
        <w:t xml:space="preserve">Geopolitics, brought sharply into focus by the Russian invasion, are also a fast-growing concern, with the survey’s negative net reading for this topic almost doubling. </w:t>
      </w:r>
    </w:p>
    <w:p w14:paraId="3701A11F" w14:textId="4C344C16" w:rsidR="00F4504A" w:rsidRPr="00064A75" w:rsidRDefault="00282FAE" w:rsidP="004E1579">
      <w:pPr>
        <w:spacing w:line="360" w:lineRule="auto"/>
        <w:rPr>
          <w:rFonts w:ascii="Arial" w:hAnsi="Arial" w:cs="Arial"/>
          <w:b/>
          <w:bCs/>
        </w:rPr>
      </w:pPr>
      <w:r w:rsidRPr="00064A75">
        <w:rPr>
          <w:rFonts w:ascii="Arial" w:hAnsi="Arial" w:cs="Arial"/>
          <w:b/>
          <w:bCs/>
        </w:rPr>
        <w:lastRenderedPageBreak/>
        <w:t>Nature calls</w:t>
      </w:r>
    </w:p>
    <w:p w14:paraId="22810754" w14:textId="35F28DD5" w:rsidR="00E304F7" w:rsidRPr="00064A75" w:rsidRDefault="00E304F7" w:rsidP="00E304F7">
      <w:pPr>
        <w:rPr>
          <w:rFonts w:ascii="Arial" w:hAnsi="Arial" w:cs="Arial"/>
          <w:b/>
          <w:bCs/>
        </w:rPr>
      </w:pPr>
      <w:r w:rsidRPr="00064A75">
        <w:rPr>
          <w:rFonts w:ascii="Arial" w:hAnsi="Arial" w:cs="Arial"/>
          <w:b/>
          <w:bCs/>
        </w:rPr>
        <w:t xml:space="preserve">Chart </w:t>
      </w:r>
      <w:r w:rsidR="00064A75">
        <w:rPr>
          <w:rFonts w:ascii="Arial" w:hAnsi="Arial" w:cs="Arial"/>
          <w:b/>
          <w:bCs/>
        </w:rPr>
        <w:t>4</w:t>
      </w:r>
      <w:r w:rsidRPr="00064A75">
        <w:rPr>
          <w:rFonts w:ascii="Arial" w:hAnsi="Arial" w:cs="Arial"/>
          <w:b/>
          <w:bCs/>
        </w:rPr>
        <w:t xml:space="preserve">: Companies have maintained their ESG focus </w:t>
      </w:r>
    </w:p>
    <w:p w14:paraId="46D74444" w14:textId="77777777" w:rsidR="00E304F7" w:rsidRPr="00064A75" w:rsidRDefault="00E304F7" w:rsidP="00E304F7">
      <w:pPr>
        <w:rPr>
          <w:rFonts w:ascii="Arial" w:hAnsi="Arial" w:cs="Arial"/>
        </w:rPr>
      </w:pPr>
      <w:r w:rsidRPr="00064A75">
        <w:rPr>
          <w:rFonts w:ascii="Arial" w:hAnsi="Arial" w:cs="Arial"/>
          <w:noProof/>
        </w:rPr>
        <w:drawing>
          <wp:inline distT="0" distB="0" distL="0" distR="0" wp14:anchorId="23DBE733" wp14:editId="464153DD">
            <wp:extent cx="4680000" cy="3600000"/>
            <wp:effectExtent l="0" t="0" r="6350" b="635"/>
            <wp:docPr id="3" name="Chart 3">
              <a:extLst xmlns:a="http://schemas.openxmlformats.org/drawingml/2006/main">
                <a:ext uri="{FF2B5EF4-FFF2-40B4-BE49-F238E27FC236}">
                  <a16:creationId xmlns:a16="http://schemas.microsoft.com/office/drawing/2014/main" id="{7E8CF761-2044-4A78-BE15-E84FB0C831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62AEE2" w14:textId="1B2867C7" w:rsidR="00E304F7" w:rsidRPr="00064A75" w:rsidRDefault="00E304F7" w:rsidP="00E304F7">
      <w:pPr>
        <w:spacing w:after="0" w:line="240" w:lineRule="auto"/>
        <w:rPr>
          <w:rFonts w:ascii="Arial" w:hAnsi="Arial" w:cs="Arial"/>
          <w:i/>
          <w:iCs/>
          <w:sz w:val="16"/>
          <w:szCs w:val="16"/>
        </w:rPr>
      </w:pPr>
      <w:r w:rsidRPr="00064A75">
        <w:rPr>
          <w:rFonts w:ascii="Arial" w:hAnsi="Arial" w:cs="Arial"/>
          <w:i/>
          <w:iCs/>
          <w:sz w:val="16"/>
          <w:szCs w:val="16"/>
        </w:rPr>
        <w:t>Question: “Has the emphasis on ESG among your companies fallen over the last 12 months?”</w:t>
      </w:r>
    </w:p>
    <w:p w14:paraId="78220AB1" w14:textId="77777777" w:rsidR="00E304F7" w:rsidRPr="00064A75" w:rsidRDefault="00E304F7" w:rsidP="00E304F7">
      <w:pPr>
        <w:spacing w:after="0" w:line="240" w:lineRule="auto"/>
        <w:rPr>
          <w:rFonts w:ascii="Arial" w:hAnsi="Arial" w:cs="Arial"/>
          <w:i/>
          <w:iCs/>
        </w:rPr>
      </w:pPr>
    </w:p>
    <w:p w14:paraId="0C357FC0" w14:textId="5A5D92EB" w:rsidR="000F4355" w:rsidRPr="00064A75" w:rsidRDefault="007C6552" w:rsidP="004E1579">
      <w:pPr>
        <w:spacing w:line="360" w:lineRule="auto"/>
        <w:rPr>
          <w:rFonts w:ascii="Arial" w:hAnsi="Arial" w:cs="Arial"/>
        </w:rPr>
      </w:pPr>
      <w:r w:rsidRPr="00064A75">
        <w:rPr>
          <w:rFonts w:ascii="Arial" w:hAnsi="Arial" w:cs="Arial"/>
        </w:rPr>
        <w:t>E</w:t>
      </w:r>
      <w:r w:rsidR="00953A54" w:rsidRPr="00064A75">
        <w:rPr>
          <w:rFonts w:ascii="Arial" w:hAnsi="Arial" w:cs="Arial"/>
        </w:rPr>
        <w:t>ncouragingly, the vast majority (90 per cent) of Fidelity analysts report their companies are placing the same or greater emphasis on environmental, social, and governance issues (ESG) as they were a year ago</w:t>
      </w:r>
      <w:r w:rsidR="00C240D7" w:rsidRPr="00064A75">
        <w:rPr>
          <w:rFonts w:ascii="Arial" w:hAnsi="Arial" w:cs="Arial"/>
        </w:rPr>
        <w:t>. But</w:t>
      </w:r>
      <w:r w:rsidR="000F4355" w:rsidRPr="00064A75">
        <w:rPr>
          <w:rFonts w:ascii="Arial" w:hAnsi="Arial" w:cs="Arial"/>
        </w:rPr>
        <w:t xml:space="preserve">, </w:t>
      </w:r>
      <w:r w:rsidR="00CB3CAA" w:rsidRPr="00064A75">
        <w:rPr>
          <w:rFonts w:ascii="Arial" w:hAnsi="Arial" w:cs="Arial"/>
        </w:rPr>
        <w:t>only</w:t>
      </w:r>
      <w:r w:rsidR="000F4355" w:rsidRPr="00064A75">
        <w:rPr>
          <w:rFonts w:ascii="Arial" w:hAnsi="Arial" w:cs="Arial"/>
        </w:rPr>
        <w:t xml:space="preserve"> </w:t>
      </w:r>
      <w:r w:rsidR="00EE16E8" w:rsidRPr="00064A75">
        <w:rPr>
          <w:rFonts w:ascii="Arial" w:hAnsi="Arial" w:cs="Arial"/>
        </w:rPr>
        <w:t xml:space="preserve">8 per cent of </w:t>
      </w:r>
      <w:r w:rsidR="00CB3CAA" w:rsidRPr="00064A75">
        <w:rPr>
          <w:rFonts w:ascii="Arial" w:hAnsi="Arial" w:cs="Arial"/>
        </w:rPr>
        <w:t xml:space="preserve">Fidelity </w:t>
      </w:r>
      <w:r w:rsidR="00EE16E8" w:rsidRPr="00064A75">
        <w:rPr>
          <w:rFonts w:ascii="Arial" w:hAnsi="Arial" w:cs="Arial"/>
        </w:rPr>
        <w:t>analysts expect companies to reduce their negative impact on terrestrial biodiversity within the next 12 months. For oceanic biodiversity the figure is 6 per cent.</w:t>
      </w:r>
    </w:p>
    <w:p w14:paraId="0D1B8371" w14:textId="7F881877" w:rsidR="00163AC4" w:rsidRPr="00064A75" w:rsidRDefault="009949DC" w:rsidP="004E1579">
      <w:pPr>
        <w:spacing w:line="360" w:lineRule="auto"/>
        <w:rPr>
          <w:rFonts w:ascii="Arial" w:hAnsi="Arial" w:cs="Arial"/>
        </w:rPr>
      </w:pPr>
      <w:r>
        <w:rPr>
          <w:rFonts w:ascii="Arial" w:hAnsi="Arial" w:cs="Arial"/>
          <w:b/>
          <w:bCs/>
        </w:rPr>
        <w:t xml:space="preserve">Ned Salter, Global Head of investment research, added: </w:t>
      </w:r>
      <w:r w:rsidR="00357A06" w:rsidRPr="00064A75">
        <w:rPr>
          <w:rFonts w:ascii="Arial" w:hAnsi="Arial" w:cs="Arial"/>
        </w:rPr>
        <w:t>“</w:t>
      </w:r>
      <w:r w:rsidR="004E1579" w:rsidRPr="00064A75">
        <w:rPr>
          <w:rFonts w:ascii="Arial" w:hAnsi="Arial" w:cs="Arial"/>
        </w:rPr>
        <w:t>Our survey shows, when it comes to ESG, companies are listening, and acting</w:t>
      </w:r>
      <w:r w:rsidR="007C6552" w:rsidRPr="00064A75">
        <w:rPr>
          <w:rFonts w:ascii="Arial" w:hAnsi="Arial" w:cs="Arial"/>
        </w:rPr>
        <w:t xml:space="preserve"> </w:t>
      </w:r>
      <w:r w:rsidR="004E1579" w:rsidRPr="00064A75">
        <w:rPr>
          <w:rFonts w:ascii="Arial" w:hAnsi="Arial" w:cs="Arial"/>
        </w:rPr>
        <w:t xml:space="preserve">- but there is much work to do. </w:t>
      </w:r>
      <w:r w:rsidR="00357A06" w:rsidRPr="00064A75">
        <w:rPr>
          <w:rFonts w:ascii="Arial" w:hAnsi="Arial" w:cs="Arial"/>
        </w:rPr>
        <w:t>Initiatives related to biodiversity are still in early stages for most companies</w:t>
      </w:r>
      <w:r w:rsidR="00194559" w:rsidRPr="00064A75">
        <w:rPr>
          <w:rFonts w:ascii="Arial" w:hAnsi="Arial" w:cs="Arial"/>
        </w:rPr>
        <w:t>,</w:t>
      </w:r>
      <w:r w:rsidR="00500351" w:rsidRPr="00064A75">
        <w:rPr>
          <w:rFonts w:ascii="Arial" w:hAnsi="Arial" w:cs="Arial"/>
        </w:rPr>
        <w:t xml:space="preserve"> but </w:t>
      </w:r>
      <w:r w:rsidR="00A93EAE" w:rsidRPr="00064A75">
        <w:rPr>
          <w:rFonts w:ascii="Arial" w:hAnsi="Arial" w:cs="Arial"/>
        </w:rPr>
        <w:t xml:space="preserve">a key </w:t>
      </w:r>
      <w:r w:rsidR="00C57181" w:rsidRPr="00064A75">
        <w:rPr>
          <w:rFonts w:ascii="Arial" w:hAnsi="Arial" w:cs="Arial"/>
        </w:rPr>
        <w:t>engagement area</w:t>
      </w:r>
      <w:r w:rsidR="00A93EAE" w:rsidRPr="00064A75">
        <w:rPr>
          <w:rFonts w:ascii="Arial" w:hAnsi="Arial" w:cs="Arial"/>
        </w:rPr>
        <w:t xml:space="preserve"> </w:t>
      </w:r>
      <w:r w:rsidR="00C57181" w:rsidRPr="00064A75">
        <w:rPr>
          <w:rFonts w:ascii="Arial" w:hAnsi="Arial" w:cs="Arial"/>
        </w:rPr>
        <w:t>where we</w:t>
      </w:r>
      <w:r w:rsidR="00A93EAE" w:rsidRPr="00064A75">
        <w:rPr>
          <w:rFonts w:ascii="Arial" w:hAnsi="Arial" w:cs="Arial"/>
        </w:rPr>
        <w:t xml:space="preserve"> want to drive forward</w:t>
      </w:r>
      <w:r w:rsidR="00C57181" w:rsidRPr="00064A75">
        <w:rPr>
          <w:rFonts w:ascii="Arial" w:hAnsi="Arial" w:cs="Arial"/>
        </w:rPr>
        <w:t xml:space="preserve"> </w:t>
      </w:r>
      <w:r w:rsidR="00A93EAE" w:rsidRPr="00064A75">
        <w:rPr>
          <w:rFonts w:ascii="Arial" w:hAnsi="Arial" w:cs="Arial"/>
        </w:rPr>
        <w:t>with our investee companies</w:t>
      </w:r>
      <w:r w:rsidR="00C57181" w:rsidRPr="00064A75">
        <w:rPr>
          <w:rFonts w:ascii="Arial" w:hAnsi="Arial" w:cs="Arial"/>
        </w:rPr>
        <w:t xml:space="preserve"> this year</w:t>
      </w:r>
      <w:r w:rsidR="00A93EAE" w:rsidRPr="00064A75">
        <w:rPr>
          <w:rFonts w:ascii="Arial" w:hAnsi="Arial" w:cs="Arial"/>
        </w:rPr>
        <w:t>.”</w:t>
      </w:r>
    </w:p>
    <w:p w14:paraId="7E690F76" w14:textId="3B64CDF0" w:rsidR="00357A06" w:rsidRDefault="009861E8" w:rsidP="004E1579">
      <w:pPr>
        <w:spacing w:line="360" w:lineRule="auto"/>
        <w:rPr>
          <w:rFonts w:ascii="Arial" w:hAnsi="Arial" w:cs="Arial"/>
        </w:rPr>
      </w:pPr>
      <w:r w:rsidRPr="07D0EF3F">
        <w:rPr>
          <w:rFonts w:ascii="Arial" w:hAnsi="Arial" w:cs="Arial"/>
        </w:rPr>
        <w:t>“</w:t>
      </w:r>
      <w:r w:rsidR="00357A06" w:rsidRPr="07D0EF3F">
        <w:rPr>
          <w:rFonts w:ascii="Arial" w:hAnsi="Arial" w:cs="Arial"/>
        </w:rPr>
        <w:t>The recent UN Biodiversity Conference in Montreal, also referred to as COP15, has</w:t>
      </w:r>
      <w:hyperlink r:id="rId13">
        <w:r w:rsidR="00357A06" w:rsidRPr="07D0EF3F">
          <w:rPr>
            <w:rFonts w:ascii="Arial" w:hAnsi="Arial" w:cs="Arial"/>
          </w:rPr>
          <w:t xml:space="preserve"> raised the profile of biodiversity</w:t>
        </w:r>
      </w:hyperlink>
      <w:r w:rsidR="00357A06" w:rsidRPr="07D0EF3F">
        <w:rPr>
          <w:rFonts w:ascii="Arial" w:hAnsi="Arial" w:cs="Arial"/>
        </w:rPr>
        <w:t xml:space="preserve"> and its significance to achieving net zero, adding fresh impetus to our conversations with companies on this topic</w:t>
      </w:r>
      <w:r w:rsidR="31186343" w:rsidRPr="07D0EF3F">
        <w:rPr>
          <w:rFonts w:ascii="Arial" w:hAnsi="Arial" w:cs="Arial"/>
        </w:rPr>
        <w:t>.</w:t>
      </w:r>
      <w:r w:rsidRPr="07D0EF3F">
        <w:rPr>
          <w:rFonts w:ascii="Arial" w:hAnsi="Arial" w:cs="Arial"/>
        </w:rPr>
        <w:t>”</w:t>
      </w:r>
    </w:p>
    <w:p w14:paraId="253D52DF" w14:textId="3CA0F0F4" w:rsidR="00F3350F" w:rsidRDefault="00F3350F" w:rsidP="004E1579">
      <w:pPr>
        <w:spacing w:line="360" w:lineRule="auto"/>
        <w:rPr>
          <w:rFonts w:ascii="Arial" w:hAnsi="Arial" w:cs="Arial"/>
        </w:rPr>
      </w:pPr>
    </w:p>
    <w:p w14:paraId="0548A679" w14:textId="4F271DAA" w:rsidR="00F3350F" w:rsidRDefault="00F3350F" w:rsidP="004E1579">
      <w:pPr>
        <w:spacing w:line="360" w:lineRule="auto"/>
        <w:rPr>
          <w:rFonts w:ascii="Arial" w:hAnsi="Arial" w:cs="Arial"/>
        </w:rPr>
      </w:pPr>
    </w:p>
    <w:p w14:paraId="2AA9D4F5" w14:textId="505B7872" w:rsidR="00F3350F" w:rsidRDefault="00F3350F" w:rsidP="004E1579">
      <w:pPr>
        <w:spacing w:line="360" w:lineRule="auto"/>
        <w:rPr>
          <w:rFonts w:ascii="Arial" w:hAnsi="Arial" w:cs="Arial"/>
        </w:rPr>
      </w:pPr>
    </w:p>
    <w:p w14:paraId="60288527" w14:textId="77777777" w:rsidR="00F3350F" w:rsidRDefault="00F3350F" w:rsidP="004E1579">
      <w:pPr>
        <w:spacing w:line="360" w:lineRule="auto"/>
        <w:rPr>
          <w:rFonts w:ascii="Arial" w:hAnsi="Arial" w:cs="Arial"/>
        </w:rPr>
      </w:pPr>
    </w:p>
    <w:p w14:paraId="48D5BB06" w14:textId="4A74BEE7" w:rsidR="004B1C23" w:rsidRPr="00030B17" w:rsidRDefault="004B1C23" w:rsidP="004B1C23">
      <w:pPr>
        <w:pBdr>
          <w:top w:val="single" w:sz="4" w:space="1" w:color="auto"/>
          <w:left w:val="single" w:sz="4" w:space="4" w:color="auto"/>
          <w:bottom w:val="single" w:sz="4" w:space="1" w:color="auto"/>
          <w:right w:val="single" w:sz="4" w:space="4" w:color="auto"/>
        </w:pBdr>
        <w:spacing w:line="360" w:lineRule="auto"/>
        <w:rPr>
          <w:rFonts w:ascii="Arial" w:hAnsi="Arial" w:cs="Arial"/>
          <w:b/>
          <w:bCs/>
          <w:sz w:val="20"/>
          <w:szCs w:val="20"/>
        </w:rPr>
      </w:pPr>
      <w:r w:rsidRPr="00030B17">
        <w:rPr>
          <w:rFonts w:ascii="Arial" w:hAnsi="Arial" w:cs="Arial"/>
          <w:b/>
          <w:bCs/>
          <w:sz w:val="20"/>
          <w:szCs w:val="20"/>
        </w:rPr>
        <w:lastRenderedPageBreak/>
        <w:t>Risk warnings:</w:t>
      </w:r>
    </w:p>
    <w:p w14:paraId="1D17DF8D" w14:textId="036C716B" w:rsidR="004B1C23" w:rsidRPr="00030B17" w:rsidRDefault="004B1C23" w:rsidP="004B1C23">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030B17">
        <w:rPr>
          <w:rFonts w:ascii="Arial" w:hAnsi="Arial" w:cs="Arial"/>
          <w:sz w:val="20"/>
          <w:szCs w:val="20"/>
        </w:rPr>
        <w:t>Investors should note that the views expressed may no longer be current and may have already been acted upon.</w:t>
      </w:r>
    </w:p>
    <w:p w14:paraId="56AC2448" w14:textId="64BF81F5" w:rsidR="004B1C23" w:rsidRPr="00030B17" w:rsidRDefault="004B1C23" w:rsidP="004B1C23">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030B17">
        <w:rPr>
          <w:rFonts w:ascii="Arial" w:hAnsi="Arial" w:cs="Arial"/>
          <w:sz w:val="20"/>
          <w:szCs w:val="20"/>
        </w:rPr>
        <w:t>Overseas investments will be affected by movements in currency exchange rates.</w:t>
      </w:r>
    </w:p>
    <w:p w14:paraId="21E98958" w14:textId="40FC1B3C" w:rsidR="004B1C23" w:rsidRPr="00030B17" w:rsidRDefault="004B1C23" w:rsidP="004B1C23">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030B17">
        <w:rPr>
          <w:rFonts w:ascii="Arial" w:hAnsi="Arial" w:cs="Arial"/>
          <w:sz w:val="20"/>
          <w:szCs w:val="20"/>
        </w:rPr>
        <w:t>Investments in emerging markets can be more volatile than other more developed markets.</w:t>
      </w:r>
    </w:p>
    <w:p w14:paraId="1C11763F" w14:textId="77777777" w:rsidR="00030B17" w:rsidRDefault="00030B17" w:rsidP="00B6435E">
      <w:pPr>
        <w:pStyle w:val="xmsonormal"/>
        <w:spacing w:line="360" w:lineRule="auto"/>
        <w:contextualSpacing/>
        <w:mirrorIndents/>
        <w:rPr>
          <w:rFonts w:ascii="Arial" w:hAnsi="Arial" w:cs="Arial"/>
          <w:b/>
          <w:bCs/>
          <w:sz w:val="18"/>
          <w:szCs w:val="18"/>
        </w:rPr>
      </w:pPr>
    </w:p>
    <w:p w14:paraId="4AE2B650" w14:textId="29E6F353" w:rsidR="00B6435E" w:rsidRPr="00E60E7F" w:rsidRDefault="00B6435E" w:rsidP="00B6435E">
      <w:pPr>
        <w:pStyle w:val="xmsonormal"/>
        <w:spacing w:line="360" w:lineRule="auto"/>
        <w:contextualSpacing/>
        <w:mirrorIndents/>
        <w:rPr>
          <w:rFonts w:ascii="Arial" w:hAnsi="Arial" w:cs="Arial"/>
          <w:b/>
          <w:bCs/>
          <w:sz w:val="18"/>
          <w:szCs w:val="18"/>
        </w:rPr>
      </w:pPr>
      <w:r w:rsidRPr="00E60E7F">
        <w:rPr>
          <w:rFonts w:ascii="Arial" w:hAnsi="Arial" w:cs="Arial"/>
          <w:b/>
          <w:bCs/>
          <w:sz w:val="18"/>
          <w:szCs w:val="18"/>
        </w:rPr>
        <w:t>About Fidelity International</w:t>
      </w:r>
    </w:p>
    <w:p w14:paraId="7678F892" w14:textId="77777777" w:rsidR="00B6435E" w:rsidRPr="00E60E7F" w:rsidRDefault="00B6435E" w:rsidP="00B6435E">
      <w:pPr>
        <w:pStyle w:val="xmsonormal"/>
        <w:spacing w:line="360" w:lineRule="auto"/>
        <w:contextualSpacing/>
        <w:mirrorIndents/>
        <w:rPr>
          <w:rFonts w:ascii="Arial" w:hAnsi="Arial" w:cs="Arial"/>
          <w:sz w:val="18"/>
          <w:szCs w:val="18"/>
        </w:rPr>
      </w:pPr>
      <w:r w:rsidRPr="00E60E7F">
        <w:rPr>
          <w:rFonts w:ascii="Arial" w:hAnsi="Arial" w:cs="Arial"/>
          <w:sz w:val="18"/>
          <w:szCs w:val="18"/>
        </w:rPr>
        <w:t xml:space="preserve">Fidelity International offers investment solutions and services and retirement expertise to more than 2.8 million customers globally. As a privately held, purpose-driven company with a 50-year heritage, we think generationally and invest for the long term. Operating in more than 25 countries and with $613.3 billion in total assets, our clients range from central banks, sovereign wealth funds, large corporates, financial institutions, insurers and wealth managers, to private individuals. </w:t>
      </w:r>
    </w:p>
    <w:p w14:paraId="19E4ED41" w14:textId="77777777" w:rsidR="00B6435E" w:rsidRPr="00E60E7F" w:rsidRDefault="00B6435E" w:rsidP="00B6435E">
      <w:pPr>
        <w:pStyle w:val="xmsonormal"/>
        <w:spacing w:line="360" w:lineRule="auto"/>
        <w:contextualSpacing/>
        <w:mirrorIndents/>
        <w:rPr>
          <w:rFonts w:ascii="Arial" w:hAnsi="Arial" w:cs="Arial"/>
          <w:sz w:val="18"/>
          <w:szCs w:val="18"/>
        </w:rPr>
      </w:pPr>
    </w:p>
    <w:p w14:paraId="7E6EA5F5" w14:textId="77777777" w:rsidR="00B6435E" w:rsidRPr="00E60E7F" w:rsidRDefault="00B6435E" w:rsidP="00B6435E">
      <w:pPr>
        <w:pStyle w:val="xmsonormal"/>
        <w:spacing w:line="360" w:lineRule="auto"/>
        <w:contextualSpacing/>
        <w:mirrorIndents/>
        <w:rPr>
          <w:rFonts w:ascii="Arial" w:hAnsi="Arial" w:cs="Arial"/>
          <w:sz w:val="18"/>
          <w:szCs w:val="18"/>
        </w:rPr>
      </w:pPr>
      <w:r w:rsidRPr="00E60E7F">
        <w:rPr>
          <w:rFonts w:ascii="Arial" w:hAnsi="Arial" w:cs="Arial"/>
          <w:sz w:val="18"/>
          <w:szCs w:val="18"/>
        </w:rPr>
        <w:t>Our Workplace &amp; Personal Financial Health business provides individuals, advisers and employers with access to world-class investment choices, third-party solutions, administration services and pension guidance. Together with our Investment Solutions &amp; Services business, we invest $459.9 billion on behalf of our clients. By combining our asset management expertise with our solutions for workplace and personal investing, we work together to build better financial futures. Data as of 30 September 2022. Read more at fidelityinternational.com</w:t>
      </w:r>
    </w:p>
    <w:p w14:paraId="75E1B5EA" w14:textId="77777777" w:rsidR="00B6435E" w:rsidRPr="00E60E7F" w:rsidRDefault="00B6435E" w:rsidP="00B6435E">
      <w:pPr>
        <w:pStyle w:val="xmsonormal"/>
        <w:spacing w:line="360" w:lineRule="auto"/>
        <w:contextualSpacing/>
        <w:mirrorIndents/>
        <w:rPr>
          <w:rFonts w:ascii="Arial" w:hAnsi="Arial" w:cs="Arial"/>
          <w:sz w:val="18"/>
          <w:szCs w:val="18"/>
        </w:rPr>
      </w:pPr>
    </w:p>
    <w:p w14:paraId="6F0CD368" w14:textId="77777777" w:rsidR="00B6435E" w:rsidRPr="00E60E7F" w:rsidRDefault="00B6435E" w:rsidP="00B6435E">
      <w:pPr>
        <w:pStyle w:val="xmsonormal"/>
        <w:spacing w:line="360" w:lineRule="auto"/>
        <w:contextualSpacing/>
        <w:mirrorIndents/>
        <w:rPr>
          <w:rFonts w:ascii="Arial" w:hAnsi="Arial" w:cs="Arial"/>
          <w:sz w:val="18"/>
          <w:szCs w:val="18"/>
        </w:rPr>
      </w:pPr>
      <w:r w:rsidRPr="00E60E7F">
        <w:rPr>
          <w:rFonts w:ascii="Arial" w:hAnsi="Arial" w:cs="Arial"/>
          <w:sz w:val="18"/>
          <w:szCs w:val="18"/>
        </w:rPr>
        <w:t xml:space="preserve">Fidelity only offers information on products and services and does not provide investment advice based on individual circumstances, other than when specifically stipulated by an appropriately authorised firm, in a formal communication with the client. </w:t>
      </w:r>
    </w:p>
    <w:p w14:paraId="5A17314B" w14:textId="77777777" w:rsidR="00B6435E" w:rsidRPr="00E60E7F" w:rsidRDefault="00B6435E" w:rsidP="00B6435E">
      <w:pPr>
        <w:pStyle w:val="xmsonormal"/>
        <w:spacing w:line="360" w:lineRule="auto"/>
        <w:contextualSpacing/>
        <w:mirrorIndents/>
        <w:rPr>
          <w:rFonts w:ascii="Arial" w:hAnsi="Arial" w:cs="Arial"/>
          <w:sz w:val="18"/>
          <w:szCs w:val="18"/>
        </w:rPr>
      </w:pPr>
    </w:p>
    <w:p w14:paraId="46CAF578" w14:textId="77777777" w:rsidR="00B6435E" w:rsidRPr="00E60E7F" w:rsidRDefault="00B6435E" w:rsidP="00B6435E">
      <w:pPr>
        <w:pStyle w:val="xmsonormal"/>
        <w:spacing w:line="360" w:lineRule="auto"/>
        <w:contextualSpacing/>
        <w:mirrorIndents/>
        <w:rPr>
          <w:rFonts w:ascii="Arial" w:hAnsi="Arial" w:cs="Arial"/>
          <w:sz w:val="18"/>
          <w:szCs w:val="18"/>
        </w:rPr>
      </w:pPr>
      <w:r w:rsidRPr="00E60E7F">
        <w:rPr>
          <w:rFonts w:ascii="Arial" w:hAnsi="Arial" w:cs="Arial"/>
          <w:sz w:val="18"/>
          <w:szCs w:val="18"/>
        </w:rPr>
        <w:t>Fidelity International refers to the group of companies which form the global investment management organisation that provides information on products and services in designated jurisdictions outside of North America. This communication is not directed at, and must not be acted upon by persons inside the United States and is otherwise only directed at persons residing in jurisdictions where the relevant funds are authorised for distribution or where no such authorisation is required.</w:t>
      </w:r>
    </w:p>
    <w:p w14:paraId="7337D3A8" w14:textId="77777777" w:rsidR="00B6435E" w:rsidRPr="00E60E7F" w:rsidRDefault="00B6435E" w:rsidP="00B6435E">
      <w:pPr>
        <w:pStyle w:val="xmsonormal"/>
        <w:spacing w:line="360" w:lineRule="auto"/>
        <w:contextualSpacing/>
        <w:mirrorIndents/>
        <w:rPr>
          <w:rFonts w:ascii="Arial" w:hAnsi="Arial" w:cs="Arial"/>
          <w:sz w:val="18"/>
          <w:szCs w:val="18"/>
        </w:rPr>
      </w:pPr>
    </w:p>
    <w:p w14:paraId="3FBFD6C8" w14:textId="3431F7E6" w:rsidR="00B6435E" w:rsidRDefault="00B6435E" w:rsidP="00B6435E">
      <w:pPr>
        <w:pStyle w:val="xmsonormal"/>
        <w:spacing w:line="360" w:lineRule="auto"/>
        <w:contextualSpacing/>
        <w:mirrorIndents/>
        <w:rPr>
          <w:rFonts w:ascii="Arial" w:hAnsi="Arial" w:cs="Arial"/>
          <w:sz w:val="18"/>
          <w:szCs w:val="18"/>
        </w:rPr>
      </w:pPr>
      <w:r w:rsidRPr="00E60E7F">
        <w:rPr>
          <w:rFonts w:ascii="Arial" w:hAnsi="Arial" w:cs="Arial"/>
          <w:sz w:val="18"/>
          <w:szCs w:val="18"/>
        </w:rPr>
        <w:t xml:space="preserve">Unless otherwise stated all products and services are provided by Fidelity International, and all views expressed are those of Fidelity International. Fidelity, Fidelity International, the Fidelity International logo and F symbol are registered trademarks of FIL Limited. </w:t>
      </w:r>
    </w:p>
    <w:p w14:paraId="7C00081F" w14:textId="284477BD" w:rsidR="004700AD" w:rsidRDefault="004700AD" w:rsidP="00B6435E">
      <w:pPr>
        <w:pStyle w:val="xmsonormal"/>
        <w:spacing w:line="360" w:lineRule="auto"/>
        <w:contextualSpacing/>
        <w:mirrorIndents/>
        <w:rPr>
          <w:rFonts w:ascii="Arial" w:hAnsi="Arial" w:cs="Arial"/>
          <w:sz w:val="18"/>
          <w:szCs w:val="18"/>
        </w:rPr>
      </w:pPr>
    </w:p>
    <w:p w14:paraId="36BDD8C0" w14:textId="77777777" w:rsidR="004C43CE" w:rsidRPr="004C43CE" w:rsidRDefault="004C43CE" w:rsidP="004C43CE">
      <w:pPr>
        <w:spacing w:line="360" w:lineRule="auto"/>
        <w:rPr>
          <w:rFonts w:ascii="Arial" w:hAnsi="Arial" w:cs="Arial"/>
          <w:sz w:val="18"/>
          <w:szCs w:val="18"/>
        </w:rPr>
      </w:pPr>
      <w:r w:rsidRPr="004C43CE">
        <w:rPr>
          <w:rFonts w:ascii="Arial" w:hAnsi="Arial" w:cs="Arial"/>
          <w:sz w:val="18"/>
          <w:szCs w:val="18"/>
        </w:rPr>
        <w:t>Portugal: Issued by FIL (Luxembourg) S.A., authorised and supervised by the CSSF (Commission de Surveillance du Secteur Financier).</w:t>
      </w:r>
    </w:p>
    <w:p w14:paraId="793AE228" w14:textId="0368D9F0" w:rsidR="009537C4" w:rsidRPr="00064A75" w:rsidRDefault="00B6435E" w:rsidP="00B6435E">
      <w:pPr>
        <w:spacing w:line="360" w:lineRule="auto"/>
        <w:contextualSpacing/>
        <w:mirrorIndents/>
        <w:rPr>
          <w:rFonts w:ascii="Arial" w:hAnsi="Arial" w:cs="Arial"/>
        </w:rPr>
      </w:pPr>
      <w:r w:rsidRPr="00B6435E">
        <w:rPr>
          <w:rFonts w:ascii="Arial" w:hAnsi="Arial" w:cs="Arial"/>
          <w:sz w:val="18"/>
          <w:szCs w:val="18"/>
        </w:rPr>
        <w:t>CC23/09</w:t>
      </w:r>
    </w:p>
    <w:sectPr w:rsidR="009537C4" w:rsidRPr="00064A75" w:rsidSect="00030B17">
      <w:pgSz w:w="11906" w:h="16838"/>
      <w:pgMar w:top="1276" w:right="1133"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045D" w14:textId="77777777" w:rsidR="00394BF8" w:rsidRDefault="00394BF8" w:rsidP="0046708E">
      <w:pPr>
        <w:spacing w:after="0" w:line="240" w:lineRule="auto"/>
      </w:pPr>
      <w:r>
        <w:separator/>
      </w:r>
    </w:p>
  </w:endnote>
  <w:endnote w:type="continuationSeparator" w:id="0">
    <w:p w14:paraId="14779979" w14:textId="77777777" w:rsidR="00394BF8" w:rsidRDefault="00394BF8" w:rsidP="0046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51AC" w14:textId="77777777" w:rsidR="00394BF8" w:rsidRDefault="00394BF8" w:rsidP="0046708E">
      <w:pPr>
        <w:spacing w:after="0" w:line="240" w:lineRule="auto"/>
      </w:pPr>
      <w:r>
        <w:separator/>
      </w:r>
    </w:p>
  </w:footnote>
  <w:footnote w:type="continuationSeparator" w:id="0">
    <w:p w14:paraId="4F1DF06C" w14:textId="77777777" w:rsidR="00394BF8" w:rsidRDefault="00394BF8" w:rsidP="00467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F10D5"/>
    <w:multiLevelType w:val="hybridMultilevel"/>
    <w:tmpl w:val="DEB4403C"/>
    <w:lvl w:ilvl="0" w:tplc="AC6426BE">
      <w:start w:val="1"/>
      <w:numFmt w:val="bullet"/>
      <w:lvlText w:val="​"/>
      <w:lvlJc w:val="left"/>
      <w:pPr>
        <w:tabs>
          <w:tab w:val="num" w:pos="720"/>
        </w:tabs>
        <w:ind w:left="720" w:hanging="360"/>
      </w:pPr>
      <w:rPr>
        <w:rFonts w:ascii="Arial" w:hAnsi="Arial" w:hint="default"/>
      </w:rPr>
    </w:lvl>
    <w:lvl w:ilvl="1" w:tplc="8F16E89C" w:tentative="1">
      <w:start w:val="1"/>
      <w:numFmt w:val="bullet"/>
      <w:lvlText w:val="​"/>
      <w:lvlJc w:val="left"/>
      <w:pPr>
        <w:tabs>
          <w:tab w:val="num" w:pos="1440"/>
        </w:tabs>
        <w:ind w:left="1440" w:hanging="360"/>
      </w:pPr>
      <w:rPr>
        <w:rFonts w:ascii="Arial" w:hAnsi="Arial" w:hint="default"/>
      </w:rPr>
    </w:lvl>
    <w:lvl w:ilvl="2" w:tplc="6144C90E" w:tentative="1">
      <w:start w:val="1"/>
      <w:numFmt w:val="bullet"/>
      <w:lvlText w:val="​"/>
      <w:lvlJc w:val="left"/>
      <w:pPr>
        <w:tabs>
          <w:tab w:val="num" w:pos="2160"/>
        </w:tabs>
        <w:ind w:left="2160" w:hanging="360"/>
      </w:pPr>
      <w:rPr>
        <w:rFonts w:ascii="Arial" w:hAnsi="Arial" w:hint="default"/>
      </w:rPr>
    </w:lvl>
    <w:lvl w:ilvl="3" w:tplc="9F02B000" w:tentative="1">
      <w:start w:val="1"/>
      <w:numFmt w:val="bullet"/>
      <w:lvlText w:val="​"/>
      <w:lvlJc w:val="left"/>
      <w:pPr>
        <w:tabs>
          <w:tab w:val="num" w:pos="2880"/>
        </w:tabs>
        <w:ind w:left="2880" w:hanging="360"/>
      </w:pPr>
      <w:rPr>
        <w:rFonts w:ascii="Arial" w:hAnsi="Arial" w:hint="default"/>
      </w:rPr>
    </w:lvl>
    <w:lvl w:ilvl="4" w:tplc="72386DDC" w:tentative="1">
      <w:start w:val="1"/>
      <w:numFmt w:val="bullet"/>
      <w:lvlText w:val="​"/>
      <w:lvlJc w:val="left"/>
      <w:pPr>
        <w:tabs>
          <w:tab w:val="num" w:pos="3600"/>
        </w:tabs>
        <w:ind w:left="3600" w:hanging="360"/>
      </w:pPr>
      <w:rPr>
        <w:rFonts w:ascii="Arial" w:hAnsi="Arial" w:hint="default"/>
      </w:rPr>
    </w:lvl>
    <w:lvl w:ilvl="5" w:tplc="26760836" w:tentative="1">
      <w:start w:val="1"/>
      <w:numFmt w:val="bullet"/>
      <w:lvlText w:val="​"/>
      <w:lvlJc w:val="left"/>
      <w:pPr>
        <w:tabs>
          <w:tab w:val="num" w:pos="4320"/>
        </w:tabs>
        <w:ind w:left="4320" w:hanging="360"/>
      </w:pPr>
      <w:rPr>
        <w:rFonts w:ascii="Arial" w:hAnsi="Arial" w:hint="default"/>
      </w:rPr>
    </w:lvl>
    <w:lvl w:ilvl="6" w:tplc="3A703126" w:tentative="1">
      <w:start w:val="1"/>
      <w:numFmt w:val="bullet"/>
      <w:lvlText w:val="​"/>
      <w:lvlJc w:val="left"/>
      <w:pPr>
        <w:tabs>
          <w:tab w:val="num" w:pos="5040"/>
        </w:tabs>
        <w:ind w:left="5040" w:hanging="360"/>
      </w:pPr>
      <w:rPr>
        <w:rFonts w:ascii="Arial" w:hAnsi="Arial" w:hint="default"/>
      </w:rPr>
    </w:lvl>
    <w:lvl w:ilvl="7" w:tplc="C8C0F7C2" w:tentative="1">
      <w:start w:val="1"/>
      <w:numFmt w:val="bullet"/>
      <w:lvlText w:val="​"/>
      <w:lvlJc w:val="left"/>
      <w:pPr>
        <w:tabs>
          <w:tab w:val="num" w:pos="5760"/>
        </w:tabs>
        <w:ind w:left="5760" w:hanging="360"/>
      </w:pPr>
      <w:rPr>
        <w:rFonts w:ascii="Arial" w:hAnsi="Arial" w:hint="default"/>
      </w:rPr>
    </w:lvl>
    <w:lvl w:ilvl="8" w:tplc="6902EC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712970"/>
    <w:multiLevelType w:val="hybridMultilevel"/>
    <w:tmpl w:val="8CE82672"/>
    <w:lvl w:ilvl="0" w:tplc="5A2CA900">
      <w:start w:val="1"/>
      <w:numFmt w:val="bullet"/>
      <w:lvlText w:val=""/>
      <w:lvlJc w:val="left"/>
      <w:pPr>
        <w:ind w:left="360" w:hanging="360"/>
      </w:pPr>
      <w:rPr>
        <w:rFonts w:ascii="Symbol" w:hAnsi="Symbol" w:hint="default"/>
      </w:rPr>
    </w:lvl>
    <w:lvl w:ilvl="1" w:tplc="DCB47970">
      <w:start w:val="1"/>
      <w:numFmt w:val="bullet"/>
      <w:lvlText w:val="o"/>
      <w:lvlJc w:val="left"/>
      <w:pPr>
        <w:ind w:left="1080" w:hanging="360"/>
      </w:pPr>
      <w:rPr>
        <w:rFonts w:ascii="Courier New" w:hAnsi="Courier New" w:hint="default"/>
      </w:rPr>
    </w:lvl>
    <w:lvl w:ilvl="2" w:tplc="1F461670">
      <w:start w:val="1"/>
      <w:numFmt w:val="bullet"/>
      <w:lvlText w:val=""/>
      <w:lvlJc w:val="left"/>
      <w:pPr>
        <w:ind w:left="1800" w:hanging="360"/>
      </w:pPr>
      <w:rPr>
        <w:rFonts w:ascii="Wingdings" w:hAnsi="Wingdings" w:hint="default"/>
      </w:rPr>
    </w:lvl>
    <w:lvl w:ilvl="3" w:tplc="49E65BF4">
      <w:start w:val="1"/>
      <w:numFmt w:val="bullet"/>
      <w:lvlText w:val=""/>
      <w:lvlJc w:val="left"/>
      <w:pPr>
        <w:ind w:left="2520" w:hanging="360"/>
      </w:pPr>
      <w:rPr>
        <w:rFonts w:ascii="Symbol" w:hAnsi="Symbol" w:hint="default"/>
      </w:rPr>
    </w:lvl>
    <w:lvl w:ilvl="4" w:tplc="17B86868">
      <w:start w:val="1"/>
      <w:numFmt w:val="bullet"/>
      <w:lvlText w:val="o"/>
      <w:lvlJc w:val="left"/>
      <w:pPr>
        <w:ind w:left="3240" w:hanging="360"/>
      </w:pPr>
      <w:rPr>
        <w:rFonts w:ascii="Courier New" w:hAnsi="Courier New" w:hint="default"/>
      </w:rPr>
    </w:lvl>
    <w:lvl w:ilvl="5" w:tplc="BD7CB992">
      <w:start w:val="1"/>
      <w:numFmt w:val="bullet"/>
      <w:lvlText w:val=""/>
      <w:lvlJc w:val="left"/>
      <w:pPr>
        <w:ind w:left="3960" w:hanging="360"/>
      </w:pPr>
      <w:rPr>
        <w:rFonts w:ascii="Wingdings" w:hAnsi="Wingdings" w:hint="default"/>
      </w:rPr>
    </w:lvl>
    <w:lvl w:ilvl="6" w:tplc="B5B436FA">
      <w:start w:val="1"/>
      <w:numFmt w:val="bullet"/>
      <w:lvlText w:val=""/>
      <w:lvlJc w:val="left"/>
      <w:pPr>
        <w:ind w:left="4680" w:hanging="360"/>
      </w:pPr>
      <w:rPr>
        <w:rFonts w:ascii="Symbol" w:hAnsi="Symbol" w:hint="default"/>
      </w:rPr>
    </w:lvl>
    <w:lvl w:ilvl="7" w:tplc="67F6B0B4">
      <w:start w:val="1"/>
      <w:numFmt w:val="bullet"/>
      <w:lvlText w:val="o"/>
      <w:lvlJc w:val="left"/>
      <w:pPr>
        <w:ind w:left="5400" w:hanging="360"/>
      </w:pPr>
      <w:rPr>
        <w:rFonts w:ascii="Courier New" w:hAnsi="Courier New" w:hint="default"/>
      </w:rPr>
    </w:lvl>
    <w:lvl w:ilvl="8" w:tplc="55D2BEA0">
      <w:start w:val="1"/>
      <w:numFmt w:val="bullet"/>
      <w:lvlText w:val=""/>
      <w:lvlJc w:val="left"/>
      <w:pPr>
        <w:ind w:left="6120" w:hanging="360"/>
      </w:pPr>
      <w:rPr>
        <w:rFonts w:ascii="Wingdings" w:hAnsi="Wingdings" w:hint="default"/>
      </w:rPr>
    </w:lvl>
  </w:abstractNum>
  <w:num w:numId="1" w16cid:durableId="1948930448">
    <w:abstractNumId w:val="1"/>
  </w:num>
  <w:num w:numId="2" w16cid:durableId="1016157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55"/>
    <w:rsid w:val="00030B17"/>
    <w:rsid w:val="0005623E"/>
    <w:rsid w:val="00064A75"/>
    <w:rsid w:val="0008340F"/>
    <w:rsid w:val="00085615"/>
    <w:rsid w:val="000B6108"/>
    <w:rsid w:val="000C1E08"/>
    <w:rsid w:val="000D1439"/>
    <w:rsid w:val="000D6F78"/>
    <w:rsid w:val="000E63D3"/>
    <w:rsid w:val="000F4355"/>
    <w:rsid w:val="00116FA1"/>
    <w:rsid w:val="00163AC4"/>
    <w:rsid w:val="00194559"/>
    <w:rsid w:val="001A16F0"/>
    <w:rsid w:val="00263E9E"/>
    <w:rsid w:val="00270F5F"/>
    <w:rsid w:val="00282FAE"/>
    <w:rsid w:val="002E0A08"/>
    <w:rsid w:val="0035694B"/>
    <w:rsid w:val="00357A06"/>
    <w:rsid w:val="00394BF8"/>
    <w:rsid w:val="003A522E"/>
    <w:rsid w:val="003B3EF1"/>
    <w:rsid w:val="004173BA"/>
    <w:rsid w:val="00432714"/>
    <w:rsid w:val="0046708E"/>
    <w:rsid w:val="004700AD"/>
    <w:rsid w:val="004B1C23"/>
    <w:rsid w:val="004C43CE"/>
    <w:rsid w:val="004D1186"/>
    <w:rsid w:val="004E1579"/>
    <w:rsid w:val="00500351"/>
    <w:rsid w:val="00533450"/>
    <w:rsid w:val="00544312"/>
    <w:rsid w:val="005A7752"/>
    <w:rsid w:val="005B7F02"/>
    <w:rsid w:val="00632559"/>
    <w:rsid w:val="00670E40"/>
    <w:rsid w:val="006C066A"/>
    <w:rsid w:val="006D07EC"/>
    <w:rsid w:val="006E37BE"/>
    <w:rsid w:val="006F230C"/>
    <w:rsid w:val="007015CF"/>
    <w:rsid w:val="00731E0D"/>
    <w:rsid w:val="00741A16"/>
    <w:rsid w:val="00762684"/>
    <w:rsid w:val="007B5736"/>
    <w:rsid w:val="007C6552"/>
    <w:rsid w:val="007C6830"/>
    <w:rsid w:val="007C7154"/>
    <w:rsid w:val="007D10BF"/>
    <w:rsid w:val="0082049F"/>
    <w:rsid w:val="00822583"/>
    <w:rsid w:val="008264E9"/>
    <w:rsid w:val="00893A87"/>
    <w:rsid w:val="008C6E27"/>
    <w:rsid w:val="009449D2"/>
    <w:rsid w:val="009537C4"/>
    <w:rsid w:val="00953A54"/>
    <w:rsid w:val="009861E8"/>
    <w:rsid w:val="009949DC"/>
    <w:rsid w:val="009E2A13"/>
    <w:rsid w:val="00A067F7"/>
    <w:rsid w:val="00A37845"/>
    <w:rsid w:val="00A93EAE"/>
    <w:rsid w:val="00AA2FB9"/>
    <w:rsid w:val="00AC439F"/>
    <w:rsid w:val="00AC6400"/>
    <w:rsid w:val="00AF5EDA"/>
    <w:rsid w:val="00B03BAC"/>
    <w:rsid w:val="00B06F97"/>
    <w:rsid w:val="00B6435E"/>
    <w:rsid w:val="00C07F6D"/>
    <w:rsid w:val="00C240D7"/>
    <w:rsid w:val="00C57181"/>
    <w:rsid w:val="00C73782"/>
    <w:rsid w:val="00CB18CB"/>
    <w:rsid w:val="00CB3CAA"/>
    <w:rsid w:val="00CC62E4"/>
    <w:rsid w:val="00CE1E84"/>
    <w:rsid w:val="00D00843"/>
    <w:rsid w:val="00D23AE0"/>
    <w:rsid w:val="00DA0825"/>
    <w:rsid w:val="00E304F7"/>
    <w:rsid w:val="00E31D03"/>
    <w:rsid w:val="00E33FA5"/>
    <w:rsid w:val="00E37B60"/>
    <w:rsid w:val="00EB3ACC"/>
    <w:rsid w:val="00ED6D27"/>
    <w:rsid w:val="00EE16E8"/>
    <w:rsid w:val="00EF24F1"/>
    <w:rsid w:val="00F1419D"/>
    <w:rsid w:val="00F23B21"/>
    <w:rsid w:val="00F3350F"/>
    <w:rsid w:val="00F4504A"/>
    <w:rsid w:val="00F73E50"/>
    <w:rsid w:val="00FB1477"/>
    <w:rsid w:val="00FD30F7"/>
    <w:rsid w:val="00FE5B6A"/>
    <w:rsid w:val="0136762C"/>
    <w:rsid w:val="0137A51C"/>
    <w:rsid w:val="07002814"/>
    <w:rsid w:val="071D5A37"/>
    <w:rsid w:val="07D0EF3F"/>
    <w:rsid w:val="0D2A52B7"/>
    <w:rsid w:val="159F06E0"/>
    <w:rsid w:val="1916E346"/>
    <w:rsid w:val="1BCF45C2"/>
    <w:rsid w:val="1C8941CF"/>
    <w:rsid w:val="1D7D6B0A"/>
    <w:rsid w:val="20E582C5"/>
    <w:rsid w:val="2718B6FF"/>
    <w:rsid w:val="2D87F883"/>
    <w:rsid w:val="31186343"/>
    <w:rsid w:val="34CA7F04"/>
    <w:rsid w:val="3D8622E0"/>
    <w:rsid w:val="48792F00"/>
    <w:rsid w:val="498B5268"/>
    <w:rsid w:val="4F57A104"/>
    <w:rsid w:val="4FF1E8CC"/>
    <w:rsid w:val="52A81E69"/>
    <w:rsid w:val="56587F30"/>
    <w:rsid w:val="56A1DA18"/>
    <w:rsid w:val="58CDBE7A"/>
    <w:rsid w:val="59D97ADA"/>
    <w:rsid w:val="5A77D555"/>
    <w:rsid w:val="5B32D1A0"/>
    <w:rsid w:val="5BEB9FDC"/>
    <w:rsid w:val="5FD92EE4"/>
    <w:rsid w:val="6D5211D9"/>
    <w:rsid w:val="71397ABE"/>
    <w:rsid w:val="79BED6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A803C2"/>
  <w15:chartTrackingRefBased/>
  <w15:docId w15:val="{F477DF9B-7CAC-4B6B-A050-4D55D783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0F4355"/>
    <w:rPr>
      <w:sz w:val="16"/>
      <w:szCs w:val="16"/>
    </w:rPr>
  </w:style>
  <w:style w:type="paragraph" w:styleId="Textodecomentrio">
    <w:name w:val="annotation text"/>
    <w:basedOn w:val="Normal"/>
    <w:link w:val="TextodecomentrioCarter"/>
    <w:uiPriority w:val="99"/>
    <w:unhideWhenUsed/>
    <w:rsid w:val="000F4355"/>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0F4355"/>
    <w:rPr>
      <w:sz w:val="20"/>
      <w:szCs w:val="20"/>
    </w:rPr>
  </w:style>
  <w:style w:type="paragraph" w:styleId="Cabealho">
    <w:name w:val="header"/>
    <w:basedOn w:val="Normal"/>
    <w:link w:val="CabealhoCarter"/>
    <w:uiPriority w:val="99"/>
    <w:unhideWhenUsed/>
    <w:rsid w:val="0046708E"/>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46708E"/>
  </w:style>
  <w:style w:type="paragraph" w:styleId="Rodap">
    <w:name w:val="footer"/>
    <w:basedOn w:val="Normal"/>
    <w:link w:val="RodapCarter"/>
    <w:uiPriority w:val="99"/>
    <w:unhideWhenUsed/>
    <w:rsid w:val="0046708E"/>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46708E"/>
  </w:style>
  <w:style w:type="paragraph" w:styleId="Assuntodecomentrio">
    <w:name w:val="annotation subject"/>
    <w:basedOn w:val="Textodecomentrio"/>
    <w:next w:val="Textodecomentrio"/>
    <w:link w:val="AssuntodecomentrioCarter"/>
    <w:uiPriority w:val="99"/>
    <w:semiHidden/>
    <w:unhideWhenUsed/>
    <w:rsid w:val="00DA0825"/>
    <w:rPr>
      <w:b/>
      <w:bCs/>
    </w:rPr>
  </w:style>
  <w:style w:type="character" w:customStyle="1" w:styleId="AssuntodecomentrioCarter">
    <w:name w:val="Assunto de comentário Caráter"/>
    <w:basedOn w:val="TextodecomentrioCarter"/>
    <w:link w:val="Assuntodecomentrio"/>
    <w:uiPriority w:val="99"/>
    <w:semiHidden/>
    <w:rsid w:val="00DA0825"/>
    <w:rPr>
      <w:b/>
      <w:bCs/>
      <w:sz w:val="20"/>
      <w:szCs w:val="20"/>
    </w:rPr>
  </w:style>
  <w:style w:type="character" w:styleId="Hiperligao">
    <w:name w:val="Hyperlink"/>
    <w:basedOn w:val="Tipodeletrapredefinidodopargrafo"/>
    <w:uiPriority w:val="99"/>
    <w:unhideWhenUsed/>
    <w:rsid w:val="00357A06"/>
    <w:rPr>
      <w:color w:val="0563C1" w:themeColor="hyperlink"/>
      <w:u w:val="single"/>
    </w:rPr>
  </w:style>
  <w:style w:type="paragraph" w:styleId="PargrafodaLista">
    <w:name w:val="List Paragraph"/>
    <w:basedOn w:val="Normal"/>
    <w:uiPriority w:val="34"/>
    <w:qFormat/>
    <w:pPr>
      <w:ind w:left="720"/>
      <w:contextualSpacing/>
    </w:pPr>
  </w:style>
  <w:style w:type="paragraph" w:styleId="NormalWeb">
    <w:name w:val="Normal (Web)"/>
    <w:basedOn w:val="Normal"/>
    <w:uiPriority w:val="99"/>
    <w:unhideWhenUsed/>
    <w:rsid w:val="007C7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Tipodeletrapredefinidodopargrafo"/>
    <w:rsid w:val="007C7154"/>
    <w:rPr>
      <w:rFonts w:ascii="Segoe UI" w:hAnsi="Segoe UI" w:cs="Segoe UI" w:hint="default"/>
      <w:color w:val="666666"/>
      <w:sz w:val="18"/>
      <w:szCs w:val="18"/>
    </w:rPr>
  </w:style>
  <w:style w:type="paragraph" w:customStyle="1" w:styleId="xmsonormal">
    <w:name w:val="x_msonormal"/>
    <w:basedOn w:val="Normal"/>
    <w:rsid w:val="00B6435E"/>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509">
      <w:bodyDiv w:val="1"/>
      <w:marLeft w:val="0"/>
      <w:marRight w:val="0"/>
      <w:marTop w:val="0"/>
      <w:marBottom w:val="0"/>
      <w:divBdr>
        <w:top w:val="none" w:sz="0" w:space="0" w:color="auto"/>
        <w:left w:val="none" w:sz="0" w:space="0" w:color="auto"/>
        <w:bottom w:val="none" w:sz="0" w:space="0" w:color="auto"/>
        <w:right w:val="none" w:sz="0" w:space="0" w:color="auto"/>
      </w:divBdr>
    </w:div>
    <w:div w:id="205457446">
      <w:bodyDiv w:val="1"/>
      <w:marLeft w:val="0"/>
      <w:marRight w:val="0"/>
      <w:marTop w:val="0"/>
      <w:marBottom w:val="0"/>
      <w:divBdr>
        <w:top w:val="none" w:sz="0" w:space="0" w:color="auto"/>
        <w:left w:val="none" w:sz="0" w:space="0" w:color="auto"/>
        <w:bottom w:val="none" w:sz="0" w:space="0" w:color="auto"/>
        <w:right w:val="none" w:sz="0" w:space="0" w:color="auto"/>
      </w:divBdr>
    </w:div>
    <w:div w:id="1231232744">
      <w:bodyDiv w:val="1"/>
      <w:marLeft w:val="0"/>
      <w:marRight w:val="0"/>
      <w:marTop w:val="0"/>
      <w:marBottom w:val="0"/>
      <w:divBdr>
        <w:top w:val="none" w:sz="0" w:space="0" w:color="auto"/>
        <w:left w:val="none" w:sz="0" w:space="0" w:color="auto"/>
        <w:bottom w:val="none" w:sz="0" w:space="0" w:color="auto"/>
        <w:right w:val="none" w:sz="0" w:space="0" w:color="auto"/>
      </w:divBdr>
    </w:div>
    <w:div w:id="16036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delityinternational.com/editorial/article/why-nature-positive-will-be-as-big-as-net-zero-9920bd-en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92593.F943F1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630699\AppData\Local\Microsoft\Windows\INetCache\Content.Outlook\J6CY5KAH\2023%20Annual%20Analyst%20Surve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'China revs positive percentages'!$A$1:$G$1</c:f>
              <c:strCache>
                <c:ptCount val="7"/>
                <c:pt idx="0">
                  <c:v>North America</c:v>
                </c:pt>
                <c:pt idx="1">
                  <c:v>EMEA / Latin America</c:v>
                </c:pt>
                <c:pt idx="2">
                  <c:v>Asia Pacific (ex China, ex Japan)</c:v>
                </c:pt>
                <c:pt idx="3">
                  <c:v>Japan</c:v>
                </c:pt>
                <c:pt idx="4">
                  <c:v>Europe</c:v>
                </c:pt>
                <c:pt idx="5">
                  <c:v>China</c:v>
                </c:pt>
                <c:pt idx="6">
                  <c:v>Global</c:v>
                </c:pt>
              </c:strCache>
            </c:strRef>
          </c:cat>
          <c:val>
            <c:numRef>
              <c:f>'China revs positive percentages'!$A$2:$G$2</c:f>
              <c:numCache>
                <c:formatCode>0.00%</c:formatCode>
                <c:ptCount val="7"/>
                <c:pt idx="0">
                  <c:v>0.3611111111111111</c:v>
                </c:pt>
                <c:pt idx="1">
                  <c:v>0.36363636363636365</c:v>
                </c:pt>
                <c:pt idx="2">
                  <c:v>0.3666666666666667</c:v>
                </c:pt>
                <c:pt idx="3">
                  <c:v>0.5</c:v>
                </c:pt>
                <c:pt idx="4">
                  <c:v>0.5357142857142857</c:v>
                </c:pt>
                <c:pt idx="5">
                  <c:v>0.64</c:v>
                </c:pt>
                <c:pt idx="6">
                  <c:v>0.47023809523809523</c:v>
                </c:pt>
              </c:numCache>
            </c:numRef>
          </c:val>
          <c:extLst>
            <c:ext xmlns:c16="http://schemas.microsoft.com/office/drawing/2014/chart" uri="{C3380CC4-5D6E-409C-BE32-E72D297353CC}">
              <c16:uniqueId val="{00000000-E4FC-48D4-BC31-CA8F46946E25}"/>
            </c:ext>
          </c:extLst>
        </c:ser>
        <c:dLbls>
          <c:showLegendKey val="0"/>
          <c:showVal val="0"/>
          <c:showCatName val="0"/>
          <c:showSerName val="0"/>
          <c:showPercent val="0"/>
          <c:showBubbleSize val="0"/>
        </c:dLbls>
        <c:gapWidth val="182"/>
        <c:axId val="310156480"/>
        <c:axId val="310156808"/>
      </c:barChart>
      <c:catAx>
        <c:axId val="310156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310156808"/>
        <c:crosses val="autoZero"/>
        <c:auto val="1"/>
        <c:lblAlgn val="ctr"/>
        <c:lblOffset val="100"/>
        <c:noMultiLvlLbl val="0"/>
      </c:catAx>
      <c:valAx>
        <c:axId val="31015680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310156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ESG_Hist!$AS$3</c:f>
              <c:strCache>
                <c:ptCount val="1"/>
                <c:pt idx="0">
                  <c:v>No</c:v>
                </c:pt>
              </c:strCache>
            </c:strRef>
          </c:tx>
          <c:spPr>
            <a:solidFill>
              <a:schemeClr val="accent1"/>
            </a:solidFill>
            <a:ln>
              <a:noFill/>
            </a:ln>
            <a:effectLst/>
          </c:spPr>
          <c:invertIfNegative val="0"/>
          <c:cat>
            <c:strRef>
              <c:f>ESG_Hist!$AT$2:$BA$2</c:f>
              <c:strCache>
                <c:ptCount val="8"/>
                <c:pt idx="0">
                  <c:v>Asia Pacific (ex China ex Japan)</c:v>
                </c:pt>
                <c:pt idx="1">
                  <c:v>China</c:v>
                </c:pt>
                <c:pt idx="2">
                  <c:v>EMEA/Latin America</c:v>
                </c:pt>
                <c:pt idx="3">
                  <c:v>Europe</c:v>
                </c:pt>
                <c:pt idx="4">
                  <c:v>Japan</c:v>
                </c:pt>
                <c:pt idx="5">
                  <c:v>North America</c:v>
                </c:pt>
                <c:pt idx="7">
                  <c:v>Global</c:v>
                </c:pt>
              </c:strCache>
            </c:strRef>
          </c:cat>
          <c:val>
            <c:numRef>
              <c:f>ESG_Hist!$AT$3:$BA$3</c:f>
              <c:numCache>
                <c:formatCode>0%</c:formatCode>
                <c:ptCount val="8"/>
                <c:pt idx="0" formatCode="0.00%">
                  <c:v>0.9285714285714286</c:v>
                </c:pt>
                <c:pt idx="1">
                  <c:v>0.92592592592592593</c:v>
                </c:pt>
                <c:pt idx="2">
                  <c:v>0.54545454545454541</c:v>
                </c:pt>
                <c:pt idx="3">
                  <c:v>0.9107142857142857</c:v>
                </c:pt>
                <c:pt idx="4">
                  <c:v>1</c:v>
                </c:pt>
                <c:pt idx="5">
                  <c:v>0.91891891891891897</c:v>
                </c:pt>
                <c:pt idx="7">
                  <c:v>0.89940828402366868</c:v>
                </c:pt>
              </c:numCache>
            </c:numRef>
          </c:val>
          <c:extLst>
            <c:ext xmlns:c16="http://schemas.microsoft.com/office/drawing/2014/chart" uri="{C3380CC4-5D6E-409C-BE32-E72D297353CC}">
              <c16:uniqueId val="{00000000-C595-4141-81AD-782A02FCEC26}"/>
            </c:ext>
          </c:extLst>
        </c:ser>
        <c:ser>
          <c:idx val="1"/>
          <c:order val="1"/>
          <c:tx>
            <c:strRef>
              <c:f>ESG_Hist!$AS$4</c:f>
              <c:strCache>
                <c:ptCount val="1"/>
                <c:pt idx="0">
                  <c:v>Yes</c:v>
                </c:pt>
              </c:strCache>
            </c:strRef>
          </c:tx>
          <c:spPr>
            <a:solidFill>
              <a:schemeClr val="accent2"/>
            </a:solidFill>
            <a:ln>
              <a:noFill/>
            </a:ln>
            <a:effectLst/>
          </c:spPr>
          <c:invertIfNegative val="0"/>
          <c:cat>
            <c:strRef>
              <c:f>ESG_Hist!$AT$2:$BA$2</c:f>
              <c:strCache>
                <c:ptCount val="8"/>
                <c:pt idx="0">
                  <c:v>Asia Pacific (ex China ex Japan)</c:v>
                </c:pt>
                <c:pt idx="1">
                  <c:v>China</c:v>
                </c:pt>
                <c:pt idx="2">
                  <c:v>EMEA/Latin America</c:v>
                </c:pt>
                <c:pt idx="3">
                  <c:v>Europe</c:v>
                </c:pt>
                <c:pt idx="4">
                  <c:v>Japan</c:v>
                </c:pt>
                <c:pt idx="5">
                  <c:v>North America</c:v>
                </c:pt>
                <c:pt idx="7">
                  <c:v>Global</c:v>
                </c:pt>
              </c:strCache>
            </c:strRef>
          </c:cat>
          <c:val>
            <c:numRef>
              <c:f>ESG_Hist!$AT$4:$BA$4</c:f>
              <c:numCache>
                <c:formatCode>0%</c:formatCode>
                <c:ptCount val="8"/>
                <c:pt idx="0" formatCode="0.00%">
                  <c:v>7.1428571428571425E-2</c:v>
                </c:pt>
                <c:pt idx="1">
                  <c:v>7.407407407407407E-2</c:v>
                </c:pt>
                <c:pt idx="2">
                  <c:v>0.45454545454545453</c:v>
                </c:pt>
                <c:pt idx="3">
                  <c:v>8.9285714285714288E-2</c:v>
                </c:pt>
                <c:pt idx="4">
                  <c:v>0</c:v>
                </c:pt>
                <c:pt idx="5">
                  <c:v>8.1081081081081086E-2</c:v>
                </c:pt>
                <c:pt idx="7">
                  <c:v>0.10059171597633136</c:v>
                </c:pt>
              </c:numCache>
            </c:numRef>
          </c:val>
          <c:extLst>
            <c:ext xmlns:c16="http://schemas.microsoft.com/office/drawing/2014/chart" uri="{C3380CC4-5D6E-409C-BE32-E72D297353CC}">
              <c16:uniqueId val="{00000001-C595-4141-81AD-782A02FCEC26}"/>
            </c:ext>
          </c:extLst>
        </c:ser>
        <c:dLbls>
          <c:showLegendKey val="0"/>
          <c:showVal val="0"/>
          <c:showCatName val="0"/>
          <c:showSerName val="0"/>
          <c:showPercent val="0"/>
          <c:showBubbleSize val="0"/>
        </c:dLbls>
        <c:gapWidth val="150"/>
        <c:overlap val="100"/>
        <c:axId val="1700006168"/>
        <c:axId val="1700011744"/>
      </c:barChart>
      <c:catAx>
        <c:axId val="1700006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pt-PT"/>
          </a:p>
        </c:txPr>
        <c:crossAx val="1700011744"/>
        <c:crosses val="autoZero"/>
        <c:auto val="1"/>
        <c:lblAlgn val="ctr"/>
        <c:lblOffset val="100"/>
        <c:noMultiLvlLbl val="0"/>
      </c:catAx>
      <c:valAx>
        <c:axId val="170001174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pt-PT"/>
          </a:p>
        </c:txPr>
        <c:crossAx val="1700006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pt-P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pt-P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18937-B43A-4C33-8488-DE25C630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1387</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Katie</dc:creator>
  <cp:keywords/>
  <dc:description/>
  <cp:lastModifiedBy>Sofia Lareiro</cp:lastModifiedBy>
  <cp:revision>3</cp:revision>
  <dcterms:created xsi:type="dcterms:W3CDTF">2023-02-22T11:39:00Z</dcterms:created>
  <dcterms:modified xsi:type="dcterms:W3CDTF">2023-02-22T11:52:00Z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e6c503d-99f1-41d9-89c5-a1636c33546b_Enabled">
    <vt:lpwstr>true</vt:lpwstr>
  </property>
  <property fmtid="{D5CDD505-2E9C-101B-9397-08002B2CF9AE}" pid="3" name="MSIP_Label_7e6c503d-99f1-41d9-89c5-a1636c33546b_SetDate">
    <vt:lpwstr>2023-01-17T15:19:05Z</vt:lpwstr>
  </property>
  <property fmtid="{D5CDD505-2E9C-101B-9397-08002B2CF9AE}" pid="4" name="MSIP_Label_7e6c503d-99f1-41d9-89c5-a1636c33546b_Method">
    <vt:lpwstr>Privileged</vt:lpwstr>
  </property>
  <property fmtid="{D5CDD505-2E9C-101B-9397-08002B2CF9AE}" pid="5" name="MSIP_Label_7e6c503d-99f1-41d9-89c5-a1636c33546b_Name">
    <vt:lpwstr>FIL-Public</vt:lpwstr>
  </property>
  <property fmtid="{D5CDD505-2E9C-101B-9397-08002B2CF9AE}" pid="6" name="MSIP_Label_7e6c503d-99f1-41d9-89c5-a1636c33546b_SiteId">
    <vt:lpwstr>6b94db52-3791-432c-b97e-871411cd202e</vt:lpwstr>
  </property>
  <property fmtid="{D5CDD505-2E9C-101B-9397-08002B2CF9AE}" pid="7" name="MSIP_Label_7e6c503d-99f1-41d9-89c5-a1636c33546b_ActionId">
    <vt:lpwstr>49014774-8454-4dc9-91b1-6d4ebc6c73b6</vt:lpwstr>
  </property>
  <property fmtid="{D5CDD505-2E9C-101B-9397-08002B2CF9AE}" pid="8" name="MSIP_Label_7e6c503d-99f1-41d9-89c5-a1636c33546b_ContentBits">
    <vt:lpwstr>0</vt:lpwstr>
  </property>
</Properties>
</file>