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7A69" w14:textId="1C6148BC" w:rsidR="002D190A" w:rsidRDefault="00D75C31" w:rsidP="00CD113F">
      <w:pPr>
        <w:spacing w:after="240"/>
        <w:ind w:left="6372"/>
        <w:rPr>
          <w:sz w:val="22"/>
        </w:rPr>
      </w:pPr>
      <w:r>
        <w:rPr>
          <w:sz w:val="22"/>
        </w:rPr>
        <w:t xml:space="preserve">        </w:t>
      </w:r>
      <w:r w:rsidR="002D190A">
        <w:rPr>
          <w:sz w:val="22"/>
        </w:rPr>
        <w:t>Warszawa,</w:t>
      </w:r>
      <w:r w:rsidR="00C4153D">
        <w:rPr>
          <w:sz w:val="22"/>
        </w:rPr>
        <w:t xml:space="preserve"> 2</w:t>
      </w:r>
      <w:r w:rsidR="00130E26">
        <w:rPr>
          <w:sz w:val="22"/>
        </w:rPr>
        <w:t>8</w:t>
      </w:r>
      <w:r w:rsidR="00263BB5" w:rsidRPr="00263BB5">
        <w:rPr>
          <w:sz w:val="22"/>
        </w:rPr>
        <w:t>.</w:t>
      </w:r>
      <w:r w:rsidR="001322E9">
        <w:rPr>
          <w:sz w:val="22"/>
        </w:rPr>
        <w:t>02</w:t>
      </w:r>
      <w:r w:rsidR="00263BB5" w:rsidRPr="00263BB5">
        <w:rPr>
          <w:sz w:val="22"/>
        </w:rPr>
        <w:t>.</w:t>
      </w:r>
      <w:r w:rsidR="00FA7ED8" w:rsidRPr="00263BB5">
        <w:rPr>
          <w:sz w:val="22"/>
        </w:rPr>
        <w:t>202</w:t>
      </w:r>
      <w:r w:rsidR="001322E9">
        <w:rPr>
          <w:sz w:val="22"/>
        </w:rPr>
        <w:t>3</w:t>
      </w:r>
      <w:r w:rsidR="00FA7ED8" w:rsidRPr="00263BB5">
        <w:rPr>
          <w:sz w:val="22"/>
        </w:rPr>
        <w:t xml:space="preserve"> </w:t>
      </w:r>
      <w:r w:rsidR="002D190A">
        <w:rPr>
          <w:sz w:val="22"/>
        </w:rPr>
        <w:t xml:space="preserve">r. </w:t>
      </w:r>
    </w:p>
    <w:p w14:paraId="10E8F28B" w14:textId="77777777" w:rsidR="002D190A" w:rsidRPr="002D190A" w:rsidRDefault="002D190A" w:rsidP="002D190A">
      <w:pPr>
        <w:spacing w:after="240"/>
        <w:rPr>
          <w:sz w:val="34"/>
          <w:szCs w:val="34"/>
        </w:rPr>
      </w:pPr>
    </w:p>
    <w:p w14:paraId="1457A4B8" w14:textId="341D4C63" w:rsidR="002D190A" w:rsidRPr="002D190A" w:rsidRDefault="002D190A" w:rsidP="002D190A">
      <w:pPr>
        <w:spacing w:after="240"/>
        <w:rPr>
          <w:sz w:val="34"/>
          <w:szCs w:val="34"/>
        </w:rPr>
      </w:pPr>
      <w:r w:rsidRPr="002D190A">
        <w:rPr>
          <w:sz w:val="34"/>
          <w:szCs w:val="34"/>
        </w:rPr>
        <w:t>INFORMACJA PRASOWA</w:t>
      </w:r>
      <w:r>
        <w:rPr>
          <w:sz w:val="34"/>
          <w:szCs w:val="34"/>
        </w:rPr>
        <w:br/>
        <w:t>…………………………………….</w:t>
      </w:r>
    </w:p>
    <w:p w14:paraId="34C9E930" w14:textId="77777777" w:rsidR="002D190A" w:rsidRDefault="002D190A" w:rsidP="002D190A">
      <w:pPr>
        <w:spacing w:after="240"/>
        <w:rPr>
          <w:b/>
          <w:bCs/>
          <w:sz w:val="28"/>
          <w:szCs w:val="28"/>
        </w:rPr>
      </w:pPr>
    </w:p>
    <w:p w14:paraId="0C1B5FCA" w14:textId="77777777" w:rsidR="00130E26" w:rsidRPr="00AA51BF" w:rsidRDefault="00130E26" w:rsidP="00130E26">
      <w:pPr>
        <w:rPr>
          <w:b/>
          <w:bCs/>
          <w:sz w:val="32"/>
          <w:szCs w:val="32"/>
        </w:rPr>
      </w:pPr>
      <w:r w:rsidRPr="00AA51BF">
        <w:rPr>
          <w:b/>
          <w:bCs/>
          <w:sz w:val="32"/>
          <w:szCs w:val="32"/>
        </w:rPr>
        <w:t>BIK:</w:t>
      </w:r>
      <w:r>
        <w:rPr>
          <w:b/>
          <w:bCs/>
          <w:sz w:val="32"/>
          <w:szCs w:val="32"/>
        </w:rPr>
        <w:t xml:space="preserve"> Kredyty mikrofirm czeka niewielkie odbicie  </w:t>
      </w:r>
    </w:p>
    <w:p w14:paraId="11367AE3" w14:textId="77777777" w:rsidR="00130E26" w:rsidRDefault="00130E26" w:rsidP="00130E26">
      <w:pPr>
        <w:rPr>
          <w:b/>
          <w:bCs/>
        </w:rPr>
      </w:pPr>
    </w:p>
    <w:p w14:paraId="44A17B36" w14:textId="77777777" w:rsidR="00130E26" w:rsidRPr="00F37CF8" w:rsidRDefault="00130E26" w:rsidP="00F72A43">
      <w:pPr>
        <w:jc w:val="both"/>
        <w:rPr>
          <w:b/>
          <w:bCs/>
        </w:rPr>
      </w:pPr>
      <w:r w:rsidRPr="00AA51BF">
        <w:rPr>
          <w:b/>
          <w:bCs/>
          <w:sz w:val="24"/>
          <w:szCs w:val="24"/>
        </w:rPr>
        <w:t>Czynniki, które stymulowały akcję kredytową mikrofirm w 2021, w 2022 roku obróciły się przeciwko niej. W rezultacie sprzedaż kredytów dla mikroprzedsiębiorstw spadła o 12 proc., a ich portfel kredytowy obniżył się o 1 mld zł do 73,2 mld zł – wynika z danych BIK. Miniony rok okazał się lepszy jedynie od początku pandemii. Ale gorzej już nie będzie, w tym roku analitycy BIK spodziewają się odbicia finansowania mikrobiznesu</w:t>
      </w:r>
      <w:r w:rsidRPr="00F37CF8">
        <w:rPr>
          <w:b/>
          <w:bCs/>
        </w:rPr>
        <w:t xml:space="preserve">. </w:t>
      </w:r>
    </w:p>
    <w:p w14:paraId="2F65F86D" w14:textId="77777777" w:rsidR="00130E26" w:rsidRDefault="00130E26" w:rsidP="0079419B">
      <w:pPr>
        <w:jc w:val="both"/>
        <w:rPr>
          <w:sz w:val="22"/>
        </w:rPr>
      </w:pPr>
    </w:p>
    <w:p w14:paraId="5014A251" w14:textId="77777777" w:rsidR="00F72A43" w:rsidRPr="00AA51BF" w:rsidRDefault="00F72A43" w:rsidP="00F72A43">
      <w:pPr>
        <w:jc w:val="both"/>
        <w:rPr>
          <w:sz w:val="23"/>
          <w:szCs w:val="23"/>
        </w:rPr>
      </w:pPr>
      <w:r w:rsidRPr="00AA51BF">
        <w:rPr>
          <w:sz w:val="23"/>
          <w:szCs w:val="23"/>
        </w:rPr>
        <w:t>Podmioty, w których pracuje od 1 do 9 osób, to najliczniejsza grupa przedsiębiorstw w Polsce. Stanowią 97 proc. wszystkich firm i odpowiadają za niemal połowę krajowego PKB. Zatrudniając ok. 4,2 mln osób</w:t>
      </w:r>
      <w:r w:rsidRPr="00AA51BF">
        <w:rPr>
          <w:rStyle w:val="Odwoanieprzypisukocowego"/>
          <w:sz w:val="23"/>
          <w:szCs w:val="23"/>
        </w:rPr>
        <w:endnoteReference w:id="1"/>
      </w:r>
      <w:r w:rsidRPr="00AA51BF">
        <w:rPr>
          <w:sz w:val="23"/>
          <w:szCs w:val="23"/>
        </w:rPr>
        <w:t xml:space="preserve">, są miejscem pracy dla więcej niż co czwartego aktywnego zawodowo Polaka. Ich finanse często też przenikają się z prywatnymi budżetami właścicieli. BIK sprawdził jak minął im 2022 rok. Niestety, pod względem wartości nowo zaciąganych kredytów i jakości spłaty zadłużenia, nie najlepiej.  W porównaniu do 2021 r. akcja kredytowa dla mikrofirm spadła o 12 proc., a wartość portfela kredytowego obniżyła się z 74,2 do 73,2 mld zł. Do stanu sprzed dwóch lat wrócił odsetek złych kredytów. Zobowiązania, których obsługa spóźnia się o min. 90 dni stanowiły 16,4 proc. wobec 14,9 proc. na koniec 2021 r. </w:t>
      </w:r>
    </w:p>
    <w:p w14:paraId="42A3E44D" w14:textId="77777777" w:rsidR="00F72A43" w:rsidRPr="00AA51BF" w:rsidRDefault="00F72A43" w:rsidP="00F72A43">
      <w:pPr>
        <w:jc w:val="both"/>
        <w:rPr>
          <w:sz w:val="23"/>
          <w:szCs w:val="23"/>
        </w:rPr>
      </w:pPr>
    </w:p>
    <w:p w14:paraId="2054EB05" w14:textId="77777777" w:rsidR="00F72A43" w:rsidRDefault="00F72A43" w:rsidP="00F72A43">
      <w:pPr>
        <w:jc w:val="both"/>
        <w:rPr>
          <w:sz w:val="23"/>
          <w:szCs w:val="23"/>
        </w:rPr>
      </w:pPr>
      <w:r w:rsidRPr="00AA51BF">
        <w:rPr>
          <w:sz w:val="23"/>
          <w:szCs w:val="23"/>
        </w:rPr>
        <w:t xml:space="preserve">- </w:t>
      </w:r>
      <w:r w:rsidRPr="00AA51BF">
        <w:rPr>
          <w:i/>
          <w:iCs/>
          <w:sz w:val="23"/>
          <w:szCs w:val="23"/>
        </w:rPr>
        <w:t>Na sytuację na rynku kredytów dla mikrofirm w 2022 duży wpływ miało otoczenie makroekonomiczne, szczególnie wysoki poziom niepewności, wojna w Ukrainie, spowolnienie gospodarcze oraz rosnąca inflacja. W ślad za tym poszedł wzrost cen surowców i źródeł energii oraz restrykcyjna polityka monetarna</w:t>
      </w:r>
      <w:bookmarkStart w:id="0" w:name="_Hlk127958680"/>
      <w:r w:rsidRPr="00AA51BF">
        <w:rPr>
          <w:i/>
          <w:iCs/>
          <w:sz w:val="23"/>
          <w:szCs w:val="23"/>
        </w:rPr>
        <w:t xml:space="preserve">. Stopa referencyjna NBP została podwyższona do 6,75 proc., poziomu nie widzianego od ponad 20 lat. Przyhamował wzrost gospodarczy, z 6,8 proc. w 2021 obniżył się w 2022 r. do 4,9 proc. </w:t>
      </w:r>
      <w:bookmarkStart w:id="1" w:name="_Hlk127955930"/>
      <w:r w:rsidRPr="00AA51BF">
        <w:rPr>
          <w:i/>
          <w:iCs/>
          <w:sz w:val="23"/>
          <w:szCs w:val="23"/>
        </w:rPr>
        <w:t>I tak stopy procentowe i tempo zmian PKB, które stymulowały akcję kredytową mikrofirm w roku 2021, tym razem obróciły się przeciwko niej</w:t>
      </w:r>
      <w:r w:rsidRPr="00AA51BF">
        <w:rPr>
          <w:sz w:val="23"/>
          <w:szCs w:val="23"/>
        </w:rPr>
        <w:t xml:space="preserve"> – </w:t>
      </w:r>
      <w:bookmarkEnd w:id="1"/>
      <w:r w:rsidRPr="00AA51BF">
        <w:rPr>
          <w:sz w:val="23"/>
          <w:szCs w:val="23"/>
        </w:rPr>
        <w:t>wyjaśnia</w:t>
      </w:r>
      <w:r w:rsidRPr="00AA51BF">
        <w:rPr>
          <w:b/>
          <w:bCs/>
          <w:sz w:val="23"/>
          <w:szCs w:val="23"/>
        </w:rPr>
        <w:t xml:space="preserve"> prof. Waldemar Rogowski, </w:t>
      </w:r>
      <w:r>
        <w:rPr>
          <w:b/>
          <w:bCs/>
          <w:sz w:val="23"/>
          <w:szCs w:val="23"/>
        </w:rPr>
        <w:t>g</w:t>
      </w:r>
      <w:r w:rsidRPr="00AA51BF">
        <w:rPr>
          <w:b/>
          <w:bCs/>
          <w:sz w:val="23"/>
          <w:szCs w:val="23"/>
        </w:rPr>
        <w:t xml:space="preserve">łówny </w:t>
      </w:r>
      <w:r>
        <w:rPr>
          <w:b/>
          <w:bCs/>
          <w:sz w:val="23"/>
          <w:szCs w:val="23"/>
        </w:rPr>
        <w:t>a</w:t>
      </w:r>
      <w:r w:rsidRPr="00AA51BF">
        <w:rPr>
          <w:b/>
          <w:bCs/>
          <w:sz w:val="23"/>
          <w:szCs w:val="23"/>
        </w:rPr>
        <w:t>nalityk Grupy BIK</w:t>
      </w:r>
      <w:r w:rsidRPr="00AA51BF">
        <w:rPr>
          <w:sz w:val="23"/>
          <w:szCs w:val="23"/>
        </w:rPr>
        <w:t xml:space="preserve">.  </w:t>
      </w:r>
      <w:bookmarkEnd w:id="0"/>
    </w:p>
    <w:p w14:paraId="5AB387D4" w14:textId="77777777" w:rsidR="00F72A43" w:rsidRDefault="00F72A43" w:rsidP="00F72A43">
      <w:pPr>
        <w:jc w:val="both"/>
        <w:rPr>
          <w:sz w:val="23"/>
          <w:szCs w:val="23"/>
        </w:rPr>
      </w:pPr>
    </w:p>
    <w:p w14:paraId="247A46E0" w14:textId="74C8E985" w:rsidR="00F72A43" w:rsidRDefault="00F72A43" w:rsidP="00F72A43">
      <w:pPr>
        <w:jc w:val="both"/>
        <w:rPr>
          <w:sz w:val="23"/>
          <w:szCs w:val="23"/>
        </w:rPr>
      </w:pPr>
      <w:r w:rsidRPr="00AA51BF">
        <w:rPr>
          <w:i/>
          <w:iCs/>
          <w:sz w:val="23"/>
          <w:szCs w:val="23"/>
        </w:rPr>
        <w:t xml:space="preserve">– Wyraźnie można zauważyć zależność między ścieżką podwyżek stóp procentowych, a obniżką dynamiki akcji kredytowej i z czasem również sprzedaży poszczególnych branż </w:t>
      </w:r>
      <w:r w:rsidRPr="00AA51BF">
        <w:rPr>
          <w:sz w:val="23"/>
          <w:szCs w:val="23"/>
        </w:rPr>
        <w:t xml:space="preserve">– dodaje. </w:t>
      </w:r>
    </w:p>
    <w:p w14:paraId="08474D6A" w14:textId="77777777" w:rsidR="00F72A43" w:rsidRDefault="00F72A43" w:rsidP="00F72A43">
      <w:pPr>
        <w:jc w:val="both"/>
        <w:rPr>
          <w:sz w:val="23"/>
          <w:szCs w:val="23"/>
        </w:rPr>
      </w:pPr>
    </w:p>
    <w:p w14:paraId="1711EA3B" w14:textId="77777777" w:rsidR="00F72A43" w:rsidRDefault="00F72A43" w:rsidP="00F72A43">
      <w:pPr>
        <w:jc w:val="both"/>
        <w:rPr>
          <w:b/>
          <w:bCs/>
          <w:sz w:val="23"/>
          <w:szCs w:val="23"/>
        </w:rPr>
      </w:pPr>
    </w:p>
    <w:p w14:paraId="11B353EC" w14:textId="77777777" w:rsidR="00F72A43" w:rsidRDefault="00F72A43" w:rsidP="00F72A43">
      <w:pPr>
        <w:jc w:val="both"/>
        <w:rPr>
          <w:b/>
          <w:bCs/>
          <w:sz w:val="23"/>
          <w:szCs w:val="23"/>
        </w:rPr>
      </w:pPr>
    </w:p>
    <w:p w14:paraId="5712AB0B" w14:textId="77777777" w:rsidR="00F72A43" w:rsidRDefault="00F72A43" w:rsidP="00F72A43">
      <w:pPr>
        <w:jc w:val="both"/>
        <w:rPr>
          <w:b/>
          <w:bCs/>
          <w:sz w:val="23"/>
          <w:szCs w:val="23"/>
        </w:rPr>
      </w:pPr>
    </w:p>
    <w:p w14:paraId="54236788" w14:textId="77777777" w:rsidR="00F72A43" w:rsidRDefault="00F72A43" w:rsidP="00F72A43">
      <w:pPr>
        <w:jc w:val="both"/>
        <w:rPr>
          <w:b/>
          <w:bCs/>
          <w:sz w:val="23"/>
          <w:szCs w:val="23"/>
        </w:rPr>
      </w:pPr>
    </w:p>
    <w:p w14:paraId="7445CBD8" w14:textId="023609DA" w:rsidR="00F72A43" w:rsidRPr="00AA51BF" w:rsidRDefault="00F72A43" w:rsidP="00F72A43">
      <w:pPr>
        <w:jc w:val="both"/>
        <w:rPr>
          <w:b/>
          <w:bCs/>
          <w:sz w:val="23"/>
          <w:szCs w:val="23"/>
        </w:rPr>
      </w:pPr>
      <w:r w:rsidRPr="00AA51BF">
        <w:rPr>
          <w:b/>
          <w:bCs/>
          <w:sz w:val="23"/>
          <w:szCs w:val="23"/>
        </w:rPr>
        <w:lastRenderedPageBreak/>
        <w:t xml:space="preserve">Bardzo znaczący spadek finansowania kredytem działalności produkcyjnej i handlowej </w:t>
      </w:r>
    </w:p>
    <w:p w14:paraId="34AA094B" w14:textId="77777777" w:rsidR="00F72A43" w:rsidRPr="00AA51BF" w:rsidRDefault="00F72A43" w:rsidP="00F72A43">
      <w:pPr>
        <w:jc w:val="both"/>
        <w:rPr>
          <w:b/>
          <w:bCs/>
          <w:sz w:val="23"/>
          <w:szCs w:val="23"/>
        </w:rPr>
      </w:pPr>
    </w:p>
    <w:p w14:paraId="7A335B55" w14:textId="24D3C86B" w:rsidR="00F72A43" w:rsidRDefault="00F72A43" w:rsidP="00F72A43">
      <w:pPr>
        <w:jc w:val="both"/>
        <w:rPr>
          <w:sz w:val="23"/>
          <w:szCs w:val="23"/>
        </w:rPr>
      </w:pPr>
      <w:r w:rsidRPr="00AA51BF">
        <w:rPr>
          <w:sz w:val="23"/>
          <w:szCs w:val="23"/>
        </w:rPr>
        <w:t xml:space="preserve">W największym stopniu obniżyła się sprzedaż kredytów dla branży produkcyjnej oraz handlowej, o ponad 21 proc. i powyżej 15 proc. O niecałe 10 proc. zmalała ich wartość dla firm usługowych. Kredyty budownictwa na tym tle pozostały niemal bez zmian, spadek wyniósł jedynie 1,4 proc. </w:t>
      </w:r>
    </w:p>
    <w:p w14:paraId="5A44F875" w14:textId="3E6838D6" w:rsidR="00F72A43" w:rsidRDefault="00F72A43" w:rsidP="00F72A43">
      <w:pPr>
        <w:jc w:val="both"/>
        <w:rPr>
          <w:sz w:val="23"/>
          <w:szCs w:val="23"/>
        </w:rPr>
      </w:pPr>
    </w:p>
    <w:p w14:paraId="1F43CAF6" w14:textId="2792C718" w:rsidR="00F72A43" w:rsidRDefault="009F738C" w:rsidP="00F72A43">
      <w:pPr>
        <w:jc w:val="both"/>
        <w:rPr>
          <w:sz w:val="23"/>
          <w:szCs w:val="23"/>
        </w:rPr>
      </w:pPr>
      <w:r>
        <w:rPr>
          <w:noProof/>
          <w:sz w:val="23"/>
          <w:szCs w:val="23"/>
        </w:rPr>
        <w:drawing>
          <wp:anchor distT="0" distB="0" distL="114300" distR="114300" simplePos="0" relativeHeight="251658240" behindDoc="0" locked="0" layoutInCell="1" allowOverlap="1" wp14:anchorId="191D1B91" wp14:editId="406E37D8">
            <wp:simplePos x="0" y="0"/>
            <wp:positionH relativeFrom="margin">
              <wp:align>right</wp:align>
            </wp:positionH>
            <wp:positionV relativeFrom="paragraph">
              <wp:posOffset>182880</wp:posOffset>
            </wp:positionV>
            <wp:extent cx="5760000" cy="2872800"/>
            <wp:effectExtent l="0" t="0" r="0" b="3810"/>
            <wp:wrapTopAndBottom/>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00" cy="2872800"/>
                    </a:xfrm>
                    <a:prstGeom prst="rect">
                      <a:avLst/>
                    </a:prstGeom>
                    <a:ln w="3175">
                      <a:noFill/>
                    </a:ln>
                  </pic:spPr>
                </pic:pic>
              </a:graphicData>
            </a:graphic>
            <wp14:sizeRelH relativeFrom="margin">
              <wp14:pctWidth>0</wp14:pctWidth>
            </wp14:sizeRelH>
            <wp14:sizeRelV relativeFrom="margin">
              <wp14:pctHeight>0</wp14:pctHeight>
            </wp14:sizeRelV>
          </wp:anchor>
        </w:drawing>
      </w:r>
    </w:p>
    <w:p w14:paraId="309BC52E" w14:textId="0915E22E" w:rsidR="009F738C" w:rsidRDefault="009F738C" w:rsidP="00F72A43">
      <w:pPr>
        <w:jc w:val="both"/>
        <w:rPr>
          <w:sz w:val="23"/>
          <w:szCs w:val="23"/>
        </w:rPr>
      </w:pPr>
    </w:p>
    <w:p w14:paraId="622FDEF6" w14:textId="3A786F10" w:rsidR="00F72A43" w:rsidRPr="00AA51BF" w:rsidRDefault="00F72A43" w:rsidP="00F72A43">
      <w:pPr>
        <w:jc w:val="both"/>
        <w:rPr>
          <w:sz w:val="23"/>
          <w:szCs w:val="23"/>
        </w:rPr>
      </w:pPr>
      <w:r w:rsidRPr="00AA51BF">
        <w:rPr>
          <w:sz w:val="23"/>
          <w:szCs w:val="23"/>
        </w:rPr>
        <w:t xml:space="preserve">Usługi to największy odbiorca bankowego finansowania. Ich kredyty (30,5 mld zł) stanowią ponad 40 proc. całego portfela mikrofirm o wartości 73,2 mld zł. Drugi pod tym względem jest handel z 30 proc. udziałem i sumą kredytów bliską 22 mld zł, dalej produkcja 15 proc. (11,2 mld zł) oraz budownictwo 12 proc. (8,6 mld zł). Na pozostałe branże przypada ponad 1 proc. portfela.  </w:t>
      </w:r>
    </w:p>
    <w:p w14:paraId="61897F4C" w14:textId="44ADAD62" w:rsidR="00F72A43" w:rsidRPr="00AA51BF" w:rsidRDefault="00F72A43" w:rsidP="00F72A43">
      <w:pPr>
        <w:jc w:val="both"/>
        <w:rPr>
          <w:sz w:val="23"/>
          <w:szCs w:val="23"/>
        </w:rPr>
      </w:pPr>
    </w:p>
    <w:p w14:paraId="72E57114" w14:textId="433F7824" w:rsidR="00F72A43" w:rsidRPr="00AA51BF" w:rsidRDefault="00F72A43" w:rsidP="00F72A43">
      <w:pPr>
        <w:jc w:val="both"/>
        <w:rPr>
          <w:b/>
          <w:bCs/>
          <w:sz w:val="23"/>
          <w:szCs w:val="23"/>
        </w:rPr>
      </w:pPr>
      <w:r w:rsidRPr="00AA51BF">
        <w:rPr>
          <w:sz w:val="23"/>
          <w:szCs w:val="23"/>
        </w:rPr>
        <w:t xml:space="preserve">- </w:t>
      </w:r>
      <w:r w:rsidRPr="00AA51BF">
        <w:rPr>
          <w:i/>
          <w:iCs/>
          <w:sz w:val="23"/>
          <w:szCs w:val="23"/>
        </w:rPr>
        <w:t>Rozkład kredytów to odzwierciedlenie struktury drobnego biznesu, który koncentruje się właśnie wokół usług i handlu. Spadek zeszłorocznej akcji kredytowej byłby jeszcze głębszy, gdyby nie fakt, że wysokim apetytem kredytowym wykazały się odbudowujące popyt po pandemii grupy firm usługowych. Po finansowanie sięgały głównie podmioty działające w kulturze, rozrywce, sporcie i turystyce. Wartość zaciąganych przez nie kredytów, w porównaniu z 2021 r., wzrosła o kilkaset procent</w:t>
      </w:r>
      <w:r w:rsidRPr="00AA51BF">
        <w:rPr>
          <w:sz w:val="23"/>
          <w:szCs w:val="23"/>
        </w:rPr>
        <w:t xml:space="preserve"> – zwraca uwagę </w:t>
      </w:r>
      <w:r w:rsidRPr="00AA51BF">
        <w:rPr>
          <w:b/>
          <w:bCs/>
          <w:sz w:val="23"/>
          <w:szCs w:val="23"/>
        </w:rPr>
        <w:t xml:space="preserve">Sławomir Nosal, kierownik Zespołu Analiz Portfelowych w Grupie BIK. </w:t>
      </w:r>
    </w:p>
    <w:p w14:paraId="673010BD" w14:textId="4B06CB84" w:rsidR="00F72A43" w:rsidRPr="00AA51BF" w:rsidRDefault="00F72A43" w:rsidP="00F72A43">
      <w:pPr>
        <w:jc w:val="both"/>
        <w:rPr>
          <w:b/>
          <w:bCs/>
          <w:sz w:val="23"/>
          <w:szCs w:val="23"/>
        </w:rPr>
      </w:pPr>
    </w:p>
    <w:p w14:paraId="39FF01E5" w14:textId="2ED1BDD1" w:rsidR="00F72A43" w:rsidRPr="00AA51BF" w:rsidRDefault="00F72A43" w:rsidP="00F72A43">
      <w:pPr>
        <w:jc w:val="both"/>
        <w:rPr>
          <w:b/>
          <w:bCs/>
          <w:sz w:val="23"/>
          <w:szCs w:val="23"/>
        </w:rPr>
      </w:pPr>
      <w:r w:rsidRPr="00AA51BF">
        <w:rPr>
          <w:b/>
          <w:bCs/>
          <w:sz w:val="23"/>
          <w:szCs w:val="23"/>
        </w:rPr>
        <w:t>Branże, które się rozwijają chętnie</w:t>
      </w:r>
      <w:r>
        <w:rPr>
          <w:b/>
          <w:bCs/>
          <w:sz w:val="23"/>
          <w:szCs w:val="23"/>
        </w:rPr>
        <w:t xml:space="preserve"> </w:t>
      </w:r>
      <w:r w:rsidRPr="00AA51BF">
        <w:rPr>
          <w:b/>
          <w:bCs/>
          <w:sz w:val="23"/>
          <w:szCs w:val="23"/>
        </w:rPr>
        <w:t xml:space="preserve">pożyczają  </w:t>
      </w:r>
    </w:p>
    <w:p w14:paraId="06F882DD" w14:textId="04F2B5A2" w:rsidR="00F72A43" w:rsidRPr="00AA51BF" w:rsidRDefault="00F72A43" w:rsidP="00F72A43">
      <w:pPr>
        <w:jc w:val="both"/>
        <w:rPr>
          <w:sz w:val="23"/>
          <w:szCs w:val="23"/>
        </w:rPr>
      </w:pPr>
    </w:p>
    <w:p w14:paraId="1F83E067" w14:textId="3EE08141" w:rsidR="00F72A43" w:rsidRDefault="00F72A43" w:rsidP="00F72A43">
      <w:pPr>
        <w:jc w:val="both"/>
        <w:rPr>
          <w:sz w:val="23"/>
          <w:szCs w:val="23"/>
        </w:rPr>
      </w:pPr>
      <w:r w:rsidRPr="00AA51BF">
        <w:rPr>
          <w:sz w:val="23"/>
          <w:szCs w:val="23"/>
        </w:rPr>
        <w:t xml:space="preserve">Jeśli chodzi jednak o wartość portfeli kredytowych, to najbardziej zyskały one w przypadku firm medialnych skupionych na nadawaniu programów radiowych i telewizyjnych, przedsiębiorstw kurierskich, podmiotów oferujących usługi w zakresie informacji, gdzie mieści się m.in. zarządzenie stronami internetowymi oraz firm informatycznych i pośredników finansowych.  - </w:t>
      </w:r>
      <w:r w:rsidRPr="00AA51BF">
        <w:rPr>
          <w:i/>
          <w:iCs/>
          <w:sz w:val="23"/>
          <w:szCs w:val="23"/>
        </w:rPr>
        <w:t xml:space="preserve">Zmiany potrafiły przekraczać nawet 100 proc. i z pewnością są wyrazem korzystnej koniunktury w tych działach gospodarki </w:t>
      </w:r>
      <w:r w:rsidRPr="00AA51BF">
        <w:rPr>
          <w:sz w:val="23"/>
          <w:szCs w:val="23"/>
        </w:rPr>
        <w:t xml:space="preserve">– zauważa </w:t>
      </w:r>
      <w:r w:rsidRPr="00AA51BF">
        <w:rPr>
          <w:b/>
          <w:bCs/>
          <w:sz w:val="23"/>
          <w:szCs w:val="23"/>
        </w:rPr>
        <w:t>Sławomir Nosal.</w:t>
      </w:r>
      <w:r w:rsidRPr="00AA51BF">
        <w:rPr>
          <w:sz w:val="23"/>
          <w:szCs w:val="23"/>
        </w:rPr>
        <w:t xml:space="preserve">   </w:t>
      </w:r>
    </w:p>
    <w:p w14:paraId="7288A35F" w14:textId="7B0D385F" w:rsidR="00F72A43" w:rsidRDefault="00F72A43" w:rsidP="00F72A43">
      <w:pPr>
        <w:jc w:val="both"/>
        <w:rPr>
          <w:sz w:val="23"/>
          <w:szCs w:val="23"/>
        </w:rPr>
      </w:pPr>
    </w:p>
    <w:p w14:paraId="087661BF" w14:textId="77777777" w:rsidR="009F738C" w:rsidRDefault="009F738C" w:rsidP="00F72A43">
      <w:pPr>
        <w:jc w:val="both"/>
        <w:rPr>
          <w:sz w:val="23"/>
          <w:szCs w:val="23"/>
        </w:rPr>
      </w:pPr>
    </w:p>
    <w:p w14:paraId="2B700E70" w14:textId="0A9979A9" w:rsidR="009F738C" w:rsidRDefault="009F738C" w:rsidP="00F72A43">
      <w:pPr>
        <w:jc w:val="both"/>
        <w:rPr>
          <w:sz w:val="23"/>
          <w:szCs w:val="23"/>
        </w:rPr>
      </w:pPr>
    </w:p>
    <w:p w14:paraId="5E856186" w14:textId="49FDD1E1" w:rsidR="00F72A43" w:rsidRDefault="004A183E" w:rsidP="00F72A43">
      <w:pPr>
        <w:jc w:val="both"/>
        <w:rPr>
          <w:sz w:val="23"/>
          <w:szCs w:val="23"/>
        </w:rPr>
      </w:pPr>
      <w:r>
        <w:rPr>
          <w:noProof/>
          <w:sz w:val="23"/>
          <w:szCs w:val="23"/>
        </w:rPr>
        <w:drawing>
          <wp:anchor distT="0" distB="0" distL="114300" distR="114300" simplePos="0" relativeHeight="251663360" behindDoc="0" locked="0" layoutInCell="1" allowOverlap="1" wp14:anchorId="296991C3" wp14:editId="2DD4FC90">
            <wp:simplePos x="0" y="0"/>
            <wp:positionH relativeFrom="column">
              <wp:posOffset>3719</wp:posOffset>
            </wp:positionH>
            <wp:positionV relativeFrom="paragraph">
              <wp:posOffset>-190500</wp:posOffset>
            </wp:positionV>
            <wp:extent cx="5760720" cy="3073400"/>
            <wp:effectExtent l="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073400"/>
                    </a:xfrm>
                    <a:prstGeom prst="rect">
                      <a:avLst/>
                    </a:prstGeom>
                    <a:ln w="3175">
                      <a:noFill/>
                    </a:ln>
                  </pic:spPr>
                </pic:pic>
              </a:graphicData>
            </a:graphic>
          </wp:anchor>
        </w:drawing>
      </w:r>
    </w:p>
    <w:p w14:paraId="4716B7EC" w14:textId="1AB7482F" w:rsidR="00F72A43" w:rsidRPr="00AA51BF" w:rsidRDefault="00F72A43" w:rsidP="00F72A43">
      <w:pPr>
        <w:jc w:val="both"/>
        <w:rPr>
          <w:b/>
          <w:bCs/>
          <w:sz w:val="23"/>
          <w:szCs w:val="23"/>
        </w:rPr>
      </w:pPr>
      <w:r w:rsidRPr="00AA51BF">
        <w:rPr>
          <w:b/>
          <w:bCs/>
          <w:sz w:val="23"/>
          <w:szCs w:val="23"/>
        </w:rPr>
        <w:t xml:space="preserve">Nie każdy mikroprzedsiębiorca jest zainteresowany dodatkowym finansowaniem  </w:t>
      </w:r>
    </w:p>
    <w:p w14:paraId="4D9AC4DB" w14:textId="3956AE9C" w:rsidR="00F72A43" w:rsidRPr="00AA51BF" w:rsidRDefault="00F72A43" w:rsidP="00F72A43">
      <w:pPr>
        <w:jc w:val="both"/>
        <w:rPr>
          <w:b/>
          <w:bCs/>
          <w:sz w:val="23"/>
          <w:szCs w:val="23"/>
        </w:rPr>
      </w:pPr>
    </w:p>
    <w:p w14:paraId="457EE385" w14:textId="60C295DA" w:rsidR="00F72A43" w:rsidRPr="00AA51BF" w:rsidRDefault="00F72A43" w:rsidP="00F72A43">
      <w:pPr>
        <w:jc w:val="both"/>
        <w:rPr>
          <w:sz w:val="23"/>
          <w:szCs w:val="23"/>
        </w:rPr>
      </w:pPr>
      <w:r w:rsidRPr="00AA51BF">
        <w:rPr>
          <w:sz w:val="23"/>
          <w:szCs w:val="23"/>
        </w:rPr>
        <w:t xml:space="preserve">Korzystanie z kredytów w segmencie mikrofirm nie jest jednak wcale zjawiskiem powszechnym. Średnio w kredyt zaangażowanych jest 17 proc. podmiotów i to zwykle pod warunkiem, że mają już kilkuletni staż. W grupie firm 3-5 letnich zdarza się spłacać kredyt 12-16 procentom podmiotów. Ale gdy firma ma 12 lat i więcej, odsetek ten jest już niemal dwa razy wyższy, po kredyt sięga co najmniej co czwarty biznes. </w:t>
      </w:r>
    </w:p>
    <w:p w14:paraId="2FEB369D" w14:textId="483C06E0" w:rsidR="00F72A43" w:rsidRPr="00AA51BF" w:rsidRDefault="00F72A43" w:rsidP="00F72A43">
      <w:pPr>
        <w:jc w:val="both"/>
        <w:rPr>
          <w:sz w:val="23"/>
          <w:szCs w:val="23"/>
        </w:rPr>
      </w:pPr>
    </w:p>
    <w:p w14:paraId="5A19E0D2" w14:textId="77777777" w:rsidR="001418BF" w:rsidRDefault="00F72A43" w:rsidP="00F72A43">
      <w:pPr>
        <w:jc w:val="both"/>
        <w:rPr>
          <w:sz w:val="23"/>
          <w:szCs w:val="23"/>
        </w:rPr>
      </w:pPr>
      <w:r w:rsidRPr="00AA51BF">
        <w:rPr>
          <w:sz w:val="23"/>
          <w:szCs w:val="23"/>
        </w:rPr>
        <w:t xml:space="preserve">Fakt, że kredyt firmowy jedynie w 17 proc. przypadków jest źródłem finansowania działalności mikroprzedsiębiorstw ma swoje przyczyny. </w:t>
      </w:r>
      <w:r w:rsidRPr="00AA51BF">
        <w:rPr>
          <w:i/>
          <w:iCs/>
          <w:sz w:val="23"/>
          <w:szCs w:val="23"/>
        </w:rPr>
        <w:t>- Z jednej strony są to nadal trudne do spełnienia wymagania banków, które część właścicieli mikrofirm omija zadłużając się na rozwój biznesu jako osoby prywatne, biorąc pożyczki hipoteczne, czy nawet kredyty konsumpcyjne. Ewentualnie wspomagają firmę wykorzystując leasing. Z kolei, gdy pomysł na działalność opiera się na kapitale intelektualnym nie ma po prostu potrzeby korzystania z kredytu bankowego. Często też jednak skupienie się na przetrwaniu tu i teraz sprawia, że nie ma miejsca na myślenie o rozwoju i kredycie –</w:t>
      </w:r>
      <w:r w:rsidRPr="00AA51BF">
        <w:rPr>
          <w:sz w:val="23"/>
          <w:szCs w:val="23"/>
        </w:rPr>
        <w:t xml:space="preserve"> wyjaśnia</w:t>
      </w:r>
      <w:r w:rsidRPr="00AA51BF">
        <w:rPr>
          <w:b/>
          <w:bCs/>
          <w:sz w:val="23"/>
          <w:szCs w:val="23"/>
        </w:rPr>
        <w:t xml:space="preserve"> prof. Rogowski</w:t>
      </w:r>
      <w:r w:rsidRPr="00AA51BF">
        <w:rPr>
          <w:sz w:val="23"/>
          <w:szCs w:val="23"/>
        </w:rPr>
        <w:t xml:space="preserve">. </w:t>
      </w:r>
    </w:p>
    <w:p w14:paraId="0B977928" w14:textId="77777777" w:rsidR="001418BF" w:rsidRDefault="001418BF" w:rsidP="00F72A43">
      <w:pPr>
        <w:jc w:val="both"/>
        <w:rPr>
          <w:sz w:val="23"/>
          <w:szCs w:val="23"/>
        </w:rPr>
      </w:pPr>
    </w:p>
    <w:p w14:paraId="6EA683BE" w14:textId="2D282DDC" w:rsidR="00F72A43" w:rsidRDefault="00F72A43" w:rsidP="00F72A43">
      <w:pPr>
        <w:jc w:val="both"/>
        <w:rPr>
          <w:sz w:val="23"/>
          <w:szCs w:val="23"/>
        </w:rPr>
      </w:pPr>
      <w:r w:rsidRPr="00AA51BF">
        <w:rPr>
          <w:sz w:val="23"/>
          <w:szCs w:val="23"/>
        </w:rPr>
        <w:t>W ostatnich latach warunki do planowania inwestycji nie były też szczególnie sprzyjające.</w:t>
      </w:r>
      <w:r w:rsidRPr="00AA51BF" w:rsidDel="00002977">
        <w:rPr>
          <w:sz w:val="23"/>
          <w:szCs w:val="23"/>
        </w:rPr>
        <w:t xml:space="preserve"> </w:t>
      </w:r>
      <w:r w:rsidRPr="00AA51BF">
        <w:rPr>
          <w:sz w:val="23"/>
          <w:szCs w:val="23"/>
        </w:rPr>
        <w:t xml:space="preserve">Dobitnie pokazuje to zapoczątkowany już w 2019 r. trend spadkowy na portfelu kredytów inwestycyjnych. Jeśli chodzi o kredyty obrotowe ulegają one nieznacznym wahaniom. </w:t>
      </w:r>
      <w:r w:rsidR="00205F61">
        <w:rPr>
          <w:sz w:val="23"/>
          <w:szCs w:val="23"/>
        </w:rPr>
        <w:t>-</w:t>
      </w:r>
      <w:r w:rsidRPr="00AA51BF">
        <w:rPr>
          <w:sz w:val="23"/>
          <w:szCs w:val="23"/>
        </w:rPr>
        <w:t xml:space="preserve"> </w:t>
      </w:r>
      <w:r w:rsidRPr="00AA51BF">
        <w:rPr>
          <w:i/>
          <w:iCs/>
          <w:sz w:val="23"/>
          <w:szCs w:val="23"/>
        </w:rPr>
        <w:t xml:space="preserve">W górę idzie jedynie suma kredytów w rachunku, co akurat może być przejawem prób poprawy pogarszającej się płynności finansowej </w:t>
      </w:r>
      <w:r w:rsidRPr="00AA51BF">
        <w:rPr>
          <w:sz w:val="23"/>
          <w:szCs w:val="23"/>
        </w:rPr>
        <w:t xml:space="preserve">– zwraca uwagę </w:t>
      </w:r>
      <w:r w:rsidRPr="00AA51BF">
        <w:rPr>
          <w:b/>
          <w:bCs/>
          <w:sz w:val="23"/>
          <w:szCs w:val="23"/>
        </w:rPr>
        <w:t>Waldemar Rogowski</w:t>
      </w:r>
      <w:r w:rsidRPr="00AA51BF">
        <w:rPr>
          <w:sz w:val="23"/>
          <w:szCs w:val="23"/>
        </w:rPr>
        <w:t xml:space="preserve">. </w:t>
      </w:r>
    </w:p>
    <w:p w14:paraId="3B348248" w14:textId="622A7D48" w:rsidR="00F72A43" w:rsidRDefault="004A183E" w:rsidP="00F72A43">
      <w:pPr>
        <w:jc w:val="both"/>
        <w:rPr>
          <w:sz w:val="23"/>
          <w:szCs w:val="23"/>
        </w:rPr>
      </w:pPr>
      <w:r>
        <w:rPr>
          <w:noProof/>
          <w:sz w:val="23"/>
          <w:szCs w:val="23"/>
        </w:rPr>
        <w:lastRenderedPageBreak/>
        <w:drawing>
          <wp:anchor distT="0" distB="0" distL="114300" distR="114300" simplePos="0" relativeHeight="251660288" behindDoc="0" locked="0" layoutInCell="1" allowOverlap="1" wp14:anchorId="6BEA9A27" wp14:editId="50DDFF76">
            <wp:simplePos x="0" y="0"/>
            <wp:positionH relativeFrom="margin">
              <wp:align>right</wp:align>
            </wp:positionH>
            <wp:positionV relativeFrom="paragraph">
              <wp:posOffset>19050</wp:posOffset>
            </wp:positionV>
            <wp:extent cx="5760720" cy="2863215"/>
            <wp:effectExtent l="0" t="0" r="0" b="0"/>
            <wp:wrapTopAndBottom/>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2863215"/>
                    </a:xfrm>
                    <a:prstGeom prst="rect">
                      <a:avLst/>
                    </a:prstGeom>
                    <a:ln w="3175">
                      <a:noFill/>
                    </a:ln>
                  </pic:spPr>
                </pic:pic>
              </a:graphicData>
            </a:graphic>
            <wp14:sizeRelH relativeFrom="margin">
              <wp14:pctWidth>0</wp14:pctWidth>
            </wp14:sizeRelH>
            <wp14:sizeRelV relativeFrom="margin">
              <wp14:pctHeight>0</wp14:pctHeight>
            </wp14:sizeRelV>
          </wp:anchor>
        </w:drawing>
      </w:r>
    </w:p>
    <w:p w14:paraId="3C3568E9" w14:textId="0A40F0E1" w:rsidR="009F738C" w:rsidRDefault="009F738C" w:rsidP="00F72A43">
      <w:pPr>
        <w:jc w:val="both"/>
        <w:rPr>
          <w:sz w:val="23"/>
          <w:szCs w:val="23"/>
        </w:rPr>
      </w:pPr>
    </w:p>
    <w:p w14:paraId="0686B30A" w14:textId="6031DC0C" w:rsidR="00F72A43" w:rsidRPr="00AA51BF" w:rsidRDefault="00F72A43" w:rsidP="00F72A43">
      <w:pPr>
        <w:jc w:val="both"/>
        <w:rPr>
          <w:b/>
          <w:bCs/>
          <w:sz w:val="23"/>
          <w:szCs w:val="23"/>
        </w:rPr>
      </w:pPr>
      <w:r w:rsidRPr="00AA51BF">
        <w:rPr>
          <w:b/>
          <w:bCs/>
          <w:sz w:val="23"/>
          <w:szCs w:val="23"/>
        </w:rPr>
        <w:t xml:space="preserve">Zaległości wobec dostawców bardziej powszechne niż wobec banków  </w:t>
      </w:r>
    </w:p>
    <w:p w14:paraId="788F286C" w14:textId="6E3ADDB9" w:rsidR="00F72A43" w:rsidRPr="00AA51BF" w:rsidRDefault="00F72A43" w:rsidP="00F72A43">
      <w:pPr>
        <w:jc w:val="both"/>
        <w:rPr>
          <w:sz w:val="23"/>
          <w:szCs w:val="23"/>
        </w:rPr>
      </w:pPr>
    </w:p>
    <w:p w14:paraId="6EAEB091" w14:textId="2437AC0B" w:rsidR="001418BF" w:rsidRDefault="00F72A43" w:rsidP="00F72A43">
      <w:pPr>
        <w:jc w:val="both"/>
        <w:rPr>
          <w:sz w:val="23"/>
          <w:szCs w:val="23"/>
        </w:rPr>
      </w:pPr>
      <w:r w:rsidRPr="00AA51BF">
        <w:rPr>
          <w:sz w:val="23"/>
          <w:szCs w:val="23"/>
        </w:rPr>
        <w:t xml:space="preserve">Na koniec minionego roku, suma zaległych zobowiązań kredytowych, według definicji informacji gospodarczej, opóźnionych o min. 30 dni płatności na co najmniej 500 zł, wyniosła 11,2 mld zł. Zaległości ciążyły na 121 tys. przedsiębiorstw. W prowadzącym rejestr dłużników Biurze Informacji Gospodarczej InfoMonitor wartość zgłoszonych przez wierzycieli długów mikrofirm przekroczyła 4,6 mld zł. </w:t>
      </w:r>
    </w:p>
    <w:p w14:paraId="49D735A5" w14:textId="05E98065" w:rsidR="001418BF" w:rsidRDefault="001418BF" w:rsidP="00F72A43">
      <w:pPr>
        <w:jc w:val="both"/>
        <w:rPr>
          <w:sz w:val="23"/>
          <w:szCs w:val="23"/>
        </w:rPr>
      </w:pPr>
    </w:p>
    <w:p w14:paraId="7AFC6173" w14:textId="048CB716" w:rsidR="00E57535" w:rsidRDefault="00971B96" w:rsidP="00F72A43">
      <w:pPr>
        <w:jc w:val="both"/>
        <w:rPr>
          <w:sz w:val="23"/>
          <w:szCs w:val="23"/>
        </w:rPr>
      </w:pPr>
      <w:r>
        <w:rPr>
          <w:noProof/>
          <w:sz w:val="23"/>
          <w:szCs w:val="23"/>
        </w:rPr>
        <w:drawing>
          <wp:anchor distT="0" distB="0" distL="114300" distR="114300" simplePos="0" relativeHeight="251664384" behindDoc="0" locked="0" layoutInCell="1" allowOverlap="1" wp14:anchorId="544F20C2" wp14:editId="033B5E07">
            <wp:simplePos x="0" y="0"/>
            <wp:positionH relativeFrom="margin">
              <wp:posOffset>-38735</wp:posOffset>
            </wp:positionH>
            <wp:positionV relativeFrom="page">
              <wp:posOffset>6949440</wp:posOffset>
            </wp:positionV>
            <wp:extent cx="5715000" cy="3057525"/>
            <wp:effectExtent l="0" t="0" r="0" b="9525"/>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2">
                      <a:extLst>
                        <a:ext uri="{28A0092B-C50C-407E-A947-70E740481C1C}">
                          <a14:useLocalDpi xmlns:a14="http://schemas.microsoft.com/office/drawing/2010/main" val="0"/>
                        </a:ext>
                      </a:extLst>
                    </a:blip>
                    <a:stretch>
                      <a:fillRect/>
                    </a:stretch>
                  </pic:blipFill>
                  <pic:spPr>
                    <a:xfrm>
                      <a:off x="0" y="0"/>
                      <a:ext cx="5715000" cy="3057525"/>
                    </a:xfrm>
                    <a:prstGeom prst="rect">
                      <a:avLst/>
                    </a:prstGeom>
                    <a:ln w="3175">
                      <a:noFill/>
                    </a:ln>
                  </pic:spPr>
                </pic:pic>
              </a:graphicData>
            </a:graphic>
            <wp14:sizeRelH relativeFrom="margin">
              <wp14:pctWidth>0</wp14:pctWidth>
            </wp14:sizeRelH>
            <wp14:sizeRelV relativeFrom="margin">
              <wp14:pctHeight>0</wp14:pctHeight>
            </wp14:sizeRelV>
          </wp:anchor>
        </w:drawing>
      </w:r>
      <w:r w:rsidR="00F72A43" w:rsidRPr="00AA51BF">
        <w:rPr>
          <w:sz w:val="23"/>
          <w:szCs w:val="23"/>
        </w:rPr>
        <w:t xml:space="preserve">- </w:t>
      </w:r>
      <w:r w:rsidR="00F72A43" w:rsidRPr="00AA51BF">
        <w:rPr>
          <w:i/>
          <w:iCs/>
          <w:sz w:val="23"/>
          <w:szCs w:val="23"/>
        </w:rPr>
        <w:t>A, że łatwiej odmówić zapłaty innemu przedsiębiorcy niż bankowi, najlepiej pokazuje fakt, że pozakredytowych niesolidnych dłużników jest niemal trzy razy więcej, niż kredytowych. Nie ma wątpliwości, że warto sprawdzać partnerów biznesowych przed podpisaniem umowy, szczególnie gdy zakłada się sprzedaż z odroczonym terminem płatności. Konsekwencje uwikłania się w relacje z niesolidnym kontrahentem mogą poważnie zachwiać płynnością finansową. Niestety w obecnych warunkach takie ryzyko jest wyższe</w:t>
      </w:r>
      <w:r w:rsidR="00F72A43" w:rsidRPr="00AA51BF">
        <w:rPr>
          <w:sz w:val="23"/>
          <w:szCs w:val="23"/>
        </w:rPr>
        <w:t xml:space="preserve"> – przestrzega </w:t>
      </w:r>
      <w:r w:rsidR="00F72A43" w:rsidRPr="00AA51BF">
        <w:rPr>
          <w:b/>
          <w:bCs/>
          <w:sz w:val="23"/>
          <w:szCs w:val="23"/>
        </w:rPr>
        <w:t>prof.</w:t>
      </w:r>
      <w:r w:rsidR="00F72A43" w:rsidRPr="00AA51BF">
        <w:rPr>
          <w:sz w:val="23"/>
          <w:szCs w:val="23"/>
        </w:rPr>
        <w:t xml:space="preserve"> </w:t>
      </w:r>
      <w:r w:rsidR="00F72A43" w:rsidRPr="00AA51BF">
        <w:rPr>
          <w:b/>
          <w:bCs/>
          <w:sz w:val="23"/>
          <w:szCs w:val="23"/>
        </w:rPr>
        <w:t>Waldemar Rogowski</w:t>
      </w:r>
      <w:r w:rsidR="00F72A43" w:rsidRPr="00AA51BF">
        <w:rPr>
          <w:sz w:val="23"/>
          <w:szCs w:val="23"/>
        </w:rPr>
        <w:t xml:space="preserve">.  </w:t>
      </w:r>
    </w:p>
    <w:p w14:paraId="270EB45E" w14:textId="706F9AA6" w:rsidR="00F72A43" w:rsidRPr="00AA51BF" w:rsidRDefault="00F72A43" w:rsidP="00F72A43">
      <w:pPr>
        <w:jc w:val="both"/>
        <w:rPr>
          <w:sz w:val="23"/>
          <w:szCs w:val="23"/>
        </w:rPr>
      </w:pPr>
      <w:r w:rsidRPr="00AA51BF">
        <w:rPr>
          <w:sz w:val="23"/>
          <w:szCs w:val="23"/>
        </w:rPr>
        <w:lastRenderedPageBreak/>
        <w:t xml:space="preserve">   </w:t>
      </w:r>
    </w:p>
    <w:p w14:paraId="6E12D356" w14:textId="5BA2B972" w:rsidR="00F72A43" w:rsidRPr="00AA51BF" w:rsidRDefault="00F72A43" w:rsidP="00F72A43">
      <w:pPr>
        <w:jc w:val="both"/>
        <w:rPr>
          <w:b/>
          <w:bCs/>
          <w:sz w:val="23"/>
          <w:szCs w:val="23"/>
        </w:rPr>
      </w:pPr>
      <w:r w:rsidRPr="00AA51BF">
        <w:rPr>
          <w:b/>
          <w:bCs/>
          <w:sz w:val="23"/>
          <w:szCs w:val="23"/>
        </w:rPr>
        <w:t>Najtrudniej o solidność płatniczą firm i konsumentów w woj. zachodniopomorskim i lubuskim</w:t>
      </w:r>
    </w:p>
    <w:p w14:paraId="6342796F" w14:textId="39926502" w:rsidR="00F72A43" w:rsidRPr="00AA51BF" w:rsidRDefault="00F72A43" w:rsidP="00F72A43">
      <w:pPr>
        <w:jc w:val="both"/>
        <w:rPr>
          <w:sz w:val="23"/>
          <w:szCs w:val="23"/>
        </w:rPr>
      </w:pPr>
    </w:p>
    <w:p w14:paraId="08398672" w14:textId="0D918C23" w:rsidR="00F72A43" w:rsidRPr="00AA51BF" w:rsidRDefault="00F72A43" w:rsidP="00F72A43">
      <w:pPr>
        <w:jc w:val="both"/>
        <w:rPr>
          <w:sz w:val="23"/>
          <w:szCs w:val="23"/>
        </w:rPr>
      </w:pPr>
      <w:r w:rsidRPr="00AA51BF">
        <w:rPr>
          <w:sz w:val="23"/>
          <w:szCs w:val="23"/>
        </w:rPr>
        <w:t>Spowolnienie gospodarcze w 2022 roku przyczyniło się nie tylko do spadku akcji kredytowej, ale również do pogorszenia jakości obsługi kredytów przez mikroprzedsiębiorców. Odsetek złych kredytów, czyli opóźnianych o min. 90 dni wzrósł w 2022 r. z 14,9 do 16,4 proc. Z kolei udział mikroprzedsiębiorstw z takimi kłopotami podwyższył się z 10,6 proc. do 11,6 proc.</w:t>
      </w:r>
    </w:p>
    <w:p w14:paraId="21E78534" w14:textId="71F72FD3" w:rsidR="00F72A43" w:rsidRPr="00AA51BF" w:rsidRDefault="00F72A43" w:rsidP="00F72A43">
      <w:pPr>
        <w:jc w:val="both"/>
        <w:rPr>
          <w:noProof/>
          <w:sz w:val="23"/>
          <w:szCs w:val="23"/>
        </w:rPr>
      </w:pPr>
    </w:p>
    <w:p w14:paraId="49EDE1CC" w14:textId="64215E43" w:rsidR="00F72A43" w:rsidRPr="00AA51BF" w:rsidRDefault="00F72A43" w:rsidP="00F72A43">
      <w:pPr>
        <w:jc w:val="both"/>
        <w:rPr>
          <w:sz w:val="23"/>
          <w:szCs w:val="23"/>
        </w:rPr>
      </w:pPr>
      <w:r w:rsidRPr="00AA51BF">
        <w:rPr>
          <w:sz w:val="23"/>
          <w:szCs w:val="23"/>
        </w:rPr>
        <w:t xml:space="preserve">Najwyższy odsetek biznesów z problemami w spłacie kredytów występuje w województwach: warmińsko-mazurskim, zachodniopomorskim, kujawsko-pomorskim, lubuskim i dolnośląskim. </w:t>
      </w:r>
      <w:r>
        <w:rPr>
          <w:sz w:val="23"/>
          <w:szCs w:val="23"/>
        </w:rPr>
        <w:br/>
      </w:r>
      <w:r>
        <w:rPr>
          <w:sz w:val="23"/>
          <w:szCs w:val="23"/>
        </w:rPr>
        <w:br/>
      </w:r>
      <w:r w:rsidRPr="00AA51BF">
        <w:rPr>
          <w:sz w:val="23"/>
          <w:szCs w:val="23"/>
        </w:rPr>
        <w:t xml:space="preserve">- </w:t>
      </w:r>
      <w:r w:rsidRPr="00AA51BF">
        <w:rPr>
          <w:i/>
          <w:iCs/>
          <w:sz w:val="23"/>
          <w:szCs w:val="23"/>
        </w:rPr>
        <w:t>Fakt, że finanse mikrobiznesów niemal w 80 proc. są silnie powiązane z prywatnymi finansami ich właścicieli sprawia, że zachowania mikroprzedsiębiorców odwzorowują moralność płatniczą konsumentów. Polsk</w:t>
      </w:r>
      <w:r>
        <w:rPr>
          <w:i/>
          <w:iCs/>
          <w:sz w:val="23"/>
          <w:szCs w:val="23"/>
        </w:rPr>
        <w:t>a</w:t>
      </w:r>
      <w:r w:rsidRPr="00AA51BF">
        <w:rPr>
          <w:i/>
          <w:iCs/>
          <w:sz w:val="23"/>
          <w:szCs w:val="23"/>
        </w:rPr>
        <w:t xml:space="preserve"> zachodnia i północna płaci gorzej niż  solidniejsza Polska południowo-wschodnia</w:t>
      </w:r>
      <w:r w:rsidRPr="00AA51BF">
        <w:rPr>
          <w:sz w:val="23"/>
          <w:szCs w:val="23"/>
        </w:rPr>
        <w:t xml:space="preserve"> – zwraca uwagę </w:t>
      </w:r>
      <w:r w:rsidRPr="00AA51BF">
        <w:rPr>
          <w:b/>
          <w:bCs/>
          <w:sz w:val="23"/>
          <w:szCs w:val="23"/>
        </w:rPr>
        <w:t>Sławomir Nosal</w:t>
      </w:r>
      <w:r w:rsidRPr="00AA51BF">
        <w:rPr>
          <w:sz w:val="23"/>
          <w:szCs w:val="23"/>
        </w:rPr>
        <w:t>.</w:t>
      </w:r>
    </w:p>
    <w:p w14:paraId="45FC3B02" w14:textId="7E3F6958" w:rsidR="00F72A43" w:rsidRPr="00AA51BF" w:rsidRDefault="009F738C" w:rsidP="00F72A43">
      <w:pPr>
        <w:jc w:val="both"/>
        <w:rPr>
          <w:sz w:val="23"/>
          <w:szCs w:val="23"/>
        </w:rPr>
      </w:pPr>
      <w:r>
        <w:rPr>
          <w:noProof/>
          <w:sz w:val="23"/>
          <w:szCs w:val="23"/>
        </w:rPr>
        <w:drawing>
          <wp:anchor distT="0" distB="0" distL="114300" distR="114300" simplePos="0" relativeHeight="251662336" behindDoc="0" locked="0" layoutInCell="1" allowOverlap="1" wp14:anchorId="75F593D2" wp14:editId="3197845D">
            <wp:simplePos x="0" y="0"/>
            <wp:positionH relativeFrom="margin">
              <wp:align>right</wp:align>
            </wp:positionH>
            <wp:positionV relativeFrom="paragraph">
              <wp:posOffset>342265</wp:posOffset>
            </wp:positionV>
            <wp:extent cx="5760720" cy="3168650"/>
            <wp:effectExtent l="0" t="0" r="0" b="0"/>
            <wp:wrapTopAndBottom/>
            <wp:docPr id="10" name="Obraz 10"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Obraz zawierający mapa&#10;&#10;Opis wygenerowany automatyczni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720" cy="3168650"/>
                    </a:xfrm>
                    <a:prstGeom prst="rect">
                      <a:avLst/>
                    </a:prstGeom>
                    <a:ln w="3175">
                      <a:noFill/>
                    </a:ln>
                  </pic:spPr>
                </pic:pic>
              </a:graphicData>
            </a:graphic>
          </wp:anchor>
        </w:drawing>
      </w:r>
    </w:p>
    <w:p w14:paraId="11A821E8" w14:textId="6FE1D177" w:rsidR="009F738C" w:rsidRDefault="009F738C" w:rsidP="00F72A43">
      <w:pPr>
        <w:jc w:val="both"/>
        <w:rPr>
          <w:sz w:val="23"/>
          <w:szCs w:val="23"/>
        </w:rPr>
      </w:pPr>
    </w:p>
    <w:p w14:paraId="2646A3A9" w14:textId="53FFC370" w:rsidR="00F72A43" w:rsidRDefault="00F72A43" w:rsidP="00F72A43">
      <w:pPr>
        <w:jc w:val="both"/>
        <w:rPr>
          <w:sz w:val="23"/>
          <w:szCs w:val="23"/>
        </w:rPr>
      </w:pPr>
    </w:p>
    <w:p w14:paraId="6F15A4F1" w14:textId="116FAFA3" w:rsidR="00F72A43" w:rsidRPr="00AA51BF" w:rsidRDefault="00F72A43" w:rsidP="00F72A43">
      <w:pPr>
        <w:jc w:val="both"/>
        <w:rPr>
          <w:sz w:val="23"/>
          <w:szCs w:val="23"/>
        </w:rPr>
      </w:pPr>
      <w:r w:rsidRPr="00AA51BF">
        <w:rPr>
          <w:sz w:val="23"/>
          <w:szCs w:val="23"/>
        </w:rPr>
        <w:t xml:space="preserve">Nie wszystkim udają się zmagania z rynkiem i mimo ambitnych planów i podjętych wcześniej zobowiązań, kończy się na zawieszeniu lub zamknięciu działalności. Na koniec ub.r. ponad 64 tys. nieaktywnych mikrofirm miało nadal do spłaty 8,25 mld zł kredytów. Losy tych kredytów nie wyglądają najlepiej, obsługa bez opóźnień udaje się jeszcze dwóm na pięć firm, jednak wartościowo w terminie do kas banków wraca mniej niż co piąta złotówka. </w:t>
      </w:r>
    </w:p>
    <w:p w14:paraId="2C659B34" w14:textId="77777777" w:rsidR="00F72A43" w:rsidRPr="00AA51BF" w:rsidRDefault="00F72A43" w:rsidP="00F72A43">
      <w:pPr>
        <w:jc w:val="both"/>
        <w:rPr>
          <w:sz w:val="23"/>
          <w:szCs w:val="23"/>
        </w:rPr>
      </w:pPr>
    </w:p>
    <w:p w14:paraId="50FFD1DD" w14:textId="66C25554" w:rsidR="00F72A43" w:rsidRDefault="00F72A43" w:rsidP="00F72A43">
      <w:pPr>
        <w:jc w:val="both"/>
        <w:rPr>
          <w:b/>
          <w:bCs/>
          <w:sz w:val="23"/>
          <w:szCs w:val="23"/>
        </w:rPr>
      </w:pPr>
      <w:r w:rsidRPr="00AA51BF">
        <w:rPr>
          <w:b/>
          <w:bCs/>
          <w:sz w:val="23"/>
          <w:szCs w:val="23"/>
        </w:rPr>
        <w:t>Prognoza dla akcji kredytowej mikrofirm na 2023 rok</w:t>
      </w:r>
    </w:p>
    <w:p w14:paraId="48505507" w14:textId="77777777" w:rsidR="00F72A43" w:rsidRPr="00AA51BF" w:rsidRDefault="00F72A43" w:rsidP="00F72A43">
      <w:pPr>
        <w:jc w:val="both"/>
        <w:rPr>
          <w:b/>
          <w:bCs/>
          <w:sz w:val="23"/>
          <w:szCs w:val="23"/>
        </w:rPr>
      </w:pPr>
    </w:p>
    <w:p w14:paraId="3132AD8C" w14:textId="4CDABB65" w:rsidR="00F72A43" w:rsidRDefault="00F72A43" w:rsidP="00F72A43">
      <w:pPr>
        <w:tabs>
          <w:tab w:val="num" w:pos="720"/>
        </w:tabs>
        <w:jc w:val="both"/>
        <w:rPr>
          <w:i/>
          <w:iCs/>
          <w:sz w:val="23"/>
          <w:szCs w:val="23"/>
        </w:rPr>
      </w:pPr>
      <w:r w:rsidRPr="00AA51BF">
        <w:rPr>
          <w:sz w:val="23"/>
          <w:szCs w:val="23"/>
        </w:rPr>
        <w:t xml:space="preserve">Mimo, że jak wynika z badań dla BIG InfoMonitor, dla mikroprzedsiębiorców szczytem optymizmu stało się założenie, że w tym roku nie będzie gorzej niż w zeszłym, analitycy Grupy BIK przewidują, iż skierowana do mikrofirm akcja kredytowa wypadnie lepiej. W miejsce niecałych 16,3 mld zł </w:t>
      </w:r>
      <w:r w:rsidRPr="00AA51BF">
        <w:rPr>
          <w:sz w:val="23"/>
          <w:szCs w:val="23"/>
        </w:rPr>
        <w:lastRenderedPageBreak/>
        <w:t>kredytów udzielonych w 2022 r., tym razem banki pożyczą ok. 18,7 mld zł. Wartość kredytów inwestycyjnych powinna być wyższa o 10 proc. i wynieść 3,16 mld zł, choć zwiększone zainteresowanie będzie tu zauważalne dopiero w drugim półroczu. Sprzedaż kredytów obrotowych i w rachunku bieżącym wzrośnie o 15 proc. i sięgnie 15,5 mld zł.</w:t>
      </w:r>
      <w:r w:rsidRPr="00AA51BF">
        <w:rPr>
          <w:i/>
          <w:iCs/>
          <w:sz w:val="23"/>
          <w:szCs w:val="23"/>
        </w:rPr>
        <w:t xml:space="preserve"> </w:t>
      </w:r>
    </w:p>
    <w:p w14:paraId="7E53E0F6" w14:textId="77777777" w:rsidR="00F72A43" w:rsidRPr="00AA51BF" w:rsidRDefault="00F72A43" w:rsidP="00F72A43">
      <w:pPr>
        <w:tabs>
          <w:tab w:val="num" w:pos="720"/>
        </w:tabs>
        <w:jc w:val="both"/>
        <w:rPr>
          <w:i/>
          <w:iCs/>
          <w:sz w:val="23"/>
          <w:szCs w:val="23"/>
        </w:rPr>
      </w:pPr>
    </w:p>
    <w:p w14:paraId="0038A1FA" w14:textId="77777777" w:rsidR="00F72A43" w:rsidRPr="00AA51BF" w:rsidRDefault="00F72A43" w:rsidP="00F72A43">
      <w:pPr>
        <w:tabs>
          <w:tab w:val="num" w:pos="720"/>
        </w:tabs>
        <w:jc w:val="both"/>
        <w:rPr>
          <w:b/>
          <w:bCs/>
          <w:sz w:val="23"/>
          <w:szCs w:val="23"/>
        </w:rPr>
      </w:pPr>
      <w:r w:rsidRPr="00AA51BF">
        <w:rPr>
          <w:i/>
          <w:iCs/>
          <w:sz w:val="23"/>
          <w:szCs w:val="23"/>
        </w:rPr>
        <w:t xml:space="preserve">- Za lepszymi perspektywami dla rynku kredytów dla mikrofirm przemawia bardzo prawdopodobny proces dezinflacji, brak dalszych podwyżek stóp procentowych oraz spowolnienie wzrostu gospodarczego, w miejsce spodziewanej wcześniej głębokiej recesji. W przypadku mikroprzedsiębiorstw, dla których normą jest praca na B2B oraz przenikanie budżetów firmowych z prywatnymi, nie bez znaczenia jest też tylko nieznaczny wzrost poziomu bezrobocia </w:t>
      </w:r>
      <w:r w:rsidRPr="00AA51BF">
        <w:rPr>
          <w:sz w:val="23"/>
          <w:szCs w:val="23"/>
        </w:rPr>
        <w:t xml:space="preserve">– wyjaśnia prof. </w:t>
      </w:r>
      <w:r w:rsidRPr="00AA51BF">
        <w:rPr>
          <w:b/>
          <w:bCs/>
          <w:sz w:val="23"/>
          <w:szCs w:val="23"/>
        </w:rPr>
        <w:t xml:space="preserve">Waldemar Rogowski. </w:t>
      </w:r>
    </w:p>
    <w:p w14:paraId="6F5E9248" w14:textId="77777777" w:rsidR="00F72A43" w:rsidRPr="00AA51BF" w:rsidRDefault="00F72A43" w:rsidP="00F72A43">
      <w:pPr>
        <w:jc w:val="both"/>
        <w:rPr>
          <w:sz w:val="23"/>
          <w:szCs w:val="23"/>
        </w:rPr>
      </w:pPr>
    </w:p>
    <w:p w14:paraId="1FA6C139" w14:textId="22F0BF3E" w:rsidR="0079419B" w:rsidRPr="0079419B" w:rsidRDefault="0079419B" w:rsidP="0079419B">
      <w:pPr>
        <w:jc w:val="both"/>
        <w:rPr>
          <w:sz w:val="22"/>
        </w:rPr>
      </w:pPr>
      <w:r w:rsidRPr="0079419B">
        <w:rPr>
          <w:sz w:val="22"/>
        </w:rPr>
        <w:t xml:space="preserve">Aktualne informacje o rynku kredytowym publikowane są na: </w:t>
      </w:r>
      <w:hyperlink r:id="rId14" w:history="1">
        <w:r w:rsidRPr="0079419B">
          <w:rPr>
            <w:rStyle w:val="Hipercze"/>
            <w:sz w:val="22"/>
          </w:rPr>
          <w:t>www.bik.pl/newsletter-kredytowy</w:t>
        </w:r>
      </w:hyperlink>
      <w:r w:rsidRPr="0079419B">
        <w:rPr>
          <w:sz w:val="22"/>
        </w:rPr>
        <w:t xml:space="preserve"> oraz w sekcji </w:t>
      </w:r>
      <w:hyperlink r:id="rId15" w:history="1">
        <w:r w:rsidRPr="0079419B">
          <w:rPr>
            <w:rStyle w:val="Hipercze"/>
            <w:sz w:val="22"/>
          </w:rPr>
          <w:t>Analizy rynkowe BIK</w:t>
        </w:r>
      </w:hyperlink>
      <w:r w:rsidRPr="0079419B">
        <w:rPr>
          <w:sz w:val="22"/>
        </w:rPr>
        <w:t xml:space="preserve">. </w:t>
      </w:r>
    </w:p>
    <w:p w14:paraId="2F56D808" w14:textId="595F2F1F" w:rsidR="00263BB5" w:rsidRPr="00263BB5" w:rsidRDefault="00263BB5" w:rsidP="00263BB5">
      <w:pPr>
        <w:jc w:val="both"/>
        <w:rPr>
          <w:sz w:val="22"/>
        </w:rPr>
      </w:pPr>
    </w:p>
    <w:p w14:paraId="601942D4" w14:textId="7C6EAB24" w:rsidR="00270A75" w:rsidRPr="00D61CB3" w:rsidRDefault="00270A75" w:rsidP="00270A75">
      <w:pPr>
        <w:spacing w:line="240" w:lineRule="auto"/>
        <w:jc w:val="both"/>
        <w:rPr>
          <w:rFonts w:cstheme="minorHAnsi"/>
          <w:color w:val="595959"/>
          <w:sz w:val="16"/>
          <w:szCs w:val="16"/>
        </w:rPr>
      </w:pPr>
      <w:r w:rsidRPr="00D61CB3">
        <w:rPr>
          <w:rFonts w:cstheme="minorHAnsi"/>
          <w:b/>
          <w:bCs/>
          <w:color w:val="595959"/>
          <w:sz w:val="16"/>
          <w:szCs w:val="16"/>
        </w:rPr>
        <w:t xml:space="preserve">Biuro Informacji Kredytowej S.A. </w:t>
      </w:r>
      <w:r w:rsidRPr="00D61CB3">
        <w:rPr>
          <w:rFonts w:cstheme="minorHAnsi"/>
          <w:color w:val="595959"/>
          <w:sz w:val="16"/>
          <w:szCs w:val="16"/>
        </w:rPr>
        <w:t xml:space="preserve">wspiera bezpieczeństwo </w:t>
      </w:r>
      <w:bookmarkStart w:id="2" w:name="_Hlk103870080"/>
      <w:r w:rsidRPr="00D61CB3">
        <w:rPr>
          <w:rFonts w:cstheme="minorHAnsi"/>
          <w:color w:val="595959"/>
          <w:sz w:val="16"/>
          <w:szCs w:val="16"/>
        </w:rPr>
        <w:t>instytucji finansowych i ich klientów</w:t>
      </w:r>
      <w:bookmarkEnd w:id="2"/>
      <w:r w:rsidRPr="00D61CB3">
        <w:rPr>
          <w:rFonts w:cstheme="minorHAnsi"/>
          <w:color w:val="595959"/>
          <w:sz w:val="16"/>
          <w:szCs w:val="16"/>
        </w:rPr>
        <w:t>, udostępniając bezpieczny system wymiany informacji kredytowych i gospodarczych oraz nowatorskie rozwiązania antyfraudowe</w:t>
      </w:r>
      <w:r w:rsidRPr="00D61CB3">
        <w:rPr>
          <w:bCs/>
          <w:color w:val="595959"/>
          <w:sz w:val="16"/>
          <w:szCs w:val="16"/>
        </w:rPr>
        <w:t>.</w:t>
      </w:r>
      <w:r w:rsidRPr="00D61CB3">
        <w:rPr>
          <w:rFonts w:cstheme="minorHAnsi"/>
          <w:bCs/>
          <w:color w:val="595959"/>
          <w:sz w:val="16"/>
          <w:szCs w:val="16"/>
        </w:rPr>
        <w:t xml:space="preserve"> Jako jedyne biuro kredytowe w Polsce, poprzez internetowy portal </w:t>
      </w:r>
      <w:hyperlink r:id="rId16" w:history="1">
        <w:r w:rsidRPr="00D61CB3">
          <w:rPr>
            <w:rStyle w:val="Hipercze"/>
            <w:rFonts w:cstheme="minorHAnsi"/>
            <w:bCs/>
            <w:sz w:val="16"/>
            <w:szCs w:val="16"/>
          </w:rPr>
          <w:t>www.bik.pl</w:t>
        </w:r>
      </w:hyperlink>
      <w:r w:rsidRPr="00D61CB3">
        <w:rPr>
          <w:rFonts w:cstheme="minorHAnsi"/>
          <w:bCs/>
          <w:color w:val="595959"/>
          <w:sz w:val="16"/>
          <w:szCs w:val="16"/>
        </w:rPr>
        <w:t xml:space="preserve"> oraz aplikację mobilną </w:t>
      </w:r>
      <w:hyperlink r:id="rId17" w:history="1">
        <w:r w:rsidRPr="00D61CB3">
          <w:rPr>
            <w:rStyle w:val="Hipercze"/>
            <w:rFonts w:cstheme="minorHAnsi"/>
            <w:bCs/>
            <w:sz w:val="16"/>
            <w:szCs w:val="16"/>
          </w:rPr>
          <w:t>Mój BIK</w:t>
        </w:r>
      </w:hyperlink>
      <w:r w:rsidRPr="00D61CB3">
        <w:rPr>
          <w:rStyle w:val="Hipercze"/>
          <w:rFonts w:cstheme="minorHAnsi"/>
          <w:bCs/>
          <w:sz w:val="16"/>
          <w:szCs w:val="16"/>
        </w:rPr>
        <w:t>,</w:t>
      </w:r>
      <w:r w:rsidRPr="00D61CB3">
        <w:rPr>
          <w:rFonts w:cstheme="minorHAnsi"/>
          <w:bCs/>
          <w:color w:val="595959"/>
          <w:sz w:val="16"/>
          <w:szCs w:val="16"/>
        </w:rPr>
        <w:t xml:space="preserve"> umożliwia klientom indywidualnym monitorowanie własnej historii kredytowej, a dzięki </w:t>
      </w:r>
      <w:hyperlink r:id="rId18" w:history="1">
        <w:r w:rsidRPr="00D61CB3">
          <w:rPr>
            <w:rStyle w:val="Hipercze"/>
            <w:rFonts w:cstheme="minorHAnsi"/>
            <w:bCs/>
            <w:sz w:val="16"/>
            <w:szCs w:val="16"/>
          </w:rPr>
          <w:t>Alertom BIK</w:t>
        </w:r>
      </w:hyperlink>
      <w:r w:rsidRPr="00D61CB3">
        <w:rPr>
          <w:rFonts w:cstheme="minorHAnsi"/>
          <w:bCs/>
          <w:color w:val="595959"/>
          <w:sz w:val="16"/>
          <w:szCs w:val="16"/>
        </w:rPr>
        <w:t xml:space="preserve"> ostrzega przed każdą próbą wyłudzenia kredytu. Systemowe rozwiązania antyfraudowe w portfolio BIK to: Platforma Antyfraudowa BIK, Platforma Blockchain, Platforma Cyber Fraud Detection oraz Platforma Biometrii Behawioralnej. BIK aktywnie  wspiera innowacje, stąd idea powołania p</w:t>
      </w:r>
      <w:r w:rsidRPr="00D61CB3">
        <w:rPr>
          <w:rFonts w:cstheme="minorHAnsi"/>
          <w:color w:val="595959"/>
          <w:sz w:val="16"/>
          <w:szCs w:val="16"/>
        </w:rPr>
        <w:t xml:space="preserve">iaskownicy technologicznej </w:t>
      </w:r>
      <w:hyperlink r:id="rId19" w:history="1">
        <w:r w:rsidRPr="00D61CB3">
          <w:rPr>
            <w:rStyle w:val="Hipercze"/>
            <w:rFonts w:cstheme="minorHAnsi"/>
            <w:sz w:val="16"/>
            <w:szCs w:val="16"/>
          </w:rPr>
          <w:t>BIK HUB</w:t>
        </w:r>
      </w:hyperlink>
      <w:r w:rsidRPr="00D61CB3">
        <w:rPr>
          <w:rFonts w:cstheme="minorHAnsi"/>
          <w:color w:val="595959"/>
          <w:sz w:val="16"/>
          <w:szCs w:val="16"/>
        </w:rPr>
        <w:t xml:space="preserve">, adresowanej do przedsiębiorców z sektora finansów, a także innych segmentów rynku, startupów, fintechów. </w:t>
      </w:r>
      <w:r w:rsidRPr="00D61CB3">
        <w:rPr>
          <w:rFonts w:cstheme="minorHAnsi"/>
          <w:bCs/>
          <w:color w:val="595959"/>
          <w:sz w:val="16"/>
          <w:szCs w:val="16"/>
        </w:rPr>
        <w:t xml:space="preserve">BIK gromadzi i udostępnia dane o historii kredytowej klientów indywidualnych i przedsiębiorców z całego rynku kredytowego, oraz dane z obszaru pożyczek pozabankowych. Baza BIK zawiera informacje o 164 mln rachunków należących do 25 mln klientów indywidualnych oraz 1,4 mln firm, w tym o 845 tys. mikroprzedsiębiorców prowadzących działalność gospodarczą. BIK posiada najwyższe kompetencje w zakresie </w:t>
      </w:r>
      <w:hyperlink r:id="rId20" w:history="1">
        <w:r w:rsidRPr="00D61CB3">
          <w:rPr>
            <w:rStyle w:val="Hipercze"/>
            <w:rFonts w:cstheme="minorHAnsi"/>
            <w:bCs/>
            <w:sz w:val="16"/>
            <w:szCs w:val="16"/>
          </w:rPr>
          <w:t>Analiz rynkowych</w:t>
        </w:r>
      </w:hyperlink>
      <w:r w:rsidRPr="00D61CB3">
        <w:rPr>
          <w:rFonts w:cstheme="minorHAnsi"/>
          <w:bCs/>
          <w:color w:val="595959"/>
          <w:sz w:val="16"/>
          <w:szCs w:val="16"/>
        </w:rPr>
        <w:t xml:space="preserve"> i nowoczesnych technologii. Łączy cechy nowoczesnej firmy technologicznej z </w:t>
      </w:r>
      <w:bookmarkStart w:id="3" w:name="_Hlk103869313"/>
      <w:r w:rsidRPr="00D61CB3">
        <w:rPr>
          <w:rFonts w:cstheme="minorHAnsi"/>
          <w:bCs/>
          <w:color w:val="595959"/>
          <w:sz w:val="16"/>
          <w:szCs w:val="16"/>
        </w:rPr>
        <w:t>atrybutami instytucji zaufania publicznego</w:t>
      </w:r>
      <w:bookmarkEnd w:id="3"/>
      <w:r w:rsidRPr="00D61CB3">
        <w:rPr>
          <w:rFonts w:cstheme="minorHAnsi"/>
          <w:bCs/>
          <w:color w:val="595959"/>
          <w:sz w:val="16"/>
          <w:szCs w:val="16"/>
        </w:rPr>
        <w:t>. Od kilkunastu lat BIK jest aktywnym członkiem międzynarodowego Stowarzyszenia ACCIS, zrzeszającego największą grupę rejestrów kredytowych na świeci</w:t>
      </w:r>
      <w:r>
        <w:rPr>
          <w:rFonts w:cstheme="minorHAnsi"/>
          <w:bCs/>
          <w:color w:val="595959"/>
          <w:sz w:val="16"/>
          <w:szCs w:val="16"/>
        </w:rPr>
        <w:t xml:space="preserve">e. </w:t>
      </w:r>
    </w:p>
    <w:p w14:paraId="7DDDC38B" w14:textId="1CD1635C" w:rsidR="00270A75" w:rsidRDefault="00270A75" w:rsidP="00C06041">
      <w:pPr>
        <w:spacing w:line="240" w:lineRule="auto"/>
        <w:jc w:val="both"/>
        <w:rPr>
          <w:b/>
          <w:bCs/>
          <w:color w:val="595959"/>
          <w:sz w:val="16"/>
          <w:szCs w:val="16"/>
        </w:rPr>
      </w:pPr>
    </w:p>
    <w:p w14:paraId="79706D8E" w14:textId="21E0DD70" w:rsidR="002B3FE4" w:rsidRPr="00C06041" w:rsidRDefault="002B3FE4" w:rsidP="00C06041">
      <w:pPr>
        <w:spacing w:line="240" w:lineRule="auto"/>
        <w:jc w:val="both"/>
        <w:rPr>
          <w:bCs/>
          <w:color w:val="595959"/>
          <w:sz w:val="16"/>
          <w:szCs w:val="16"/>
        </w:rPr>
      </w:pPr>
      <w:r w:rsidRPr="00C06041">
        <w:rPr>
          <w:bCs/>
          <w:color w:val="595959"/>
          <w:sz w:val="16"/>
          <w:szCs w:val="16"/>
        </w:rPr>
        <w:t xml:space="preserve"> </w:t>
      </w:r>
    </w:p>
    <w:tbl>
      <w:tblPr>
        <w:tblStyle w:val="Tabela-Siatka"/>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4531"/>
        <w:gridCol w:w="4531"/>
      </w:tblGrid>
      <w:tr w:rsidR="00654C97" w:rsidRPr="00B73326" w14:paraId="2F378DA0" w14:textId="77777777" w:rsidTr="00E32749">
        <w:tc>
          <w:tcPr>
            <w:tcW w:w="4531" w:type="dxa"/>
            <w:shd w:val="clear" w:color="auto" w:fill="auto"/>
          </w:tcPr>
          <w:p w14:paraId="076EA016" w14:textId="47A7EC82" w:rsidR="00654C97" w:rsidRPr="00B73326" w:rsidRDefault="00654C97" w:rsidP="00654C97">
            <w:pPr>
              <w:rPr>
                <w:b/>
                <w:bCs/>
                <w:sz w:val="16"/>
                <w:szCs w:val="16"/>
                <w:lang w:val="sv-SE"/>
              </w:rPr>
            </w:pPr>
            <w:r w:rsidRPr="00B73326">
              <w:rPr>
                <w:b/>
                <w:bCs/>
                <w:sz w:val="16"/>
                <w:szCs w:val="16"/>
                <w:lang w:val="sv-SE"/>
              </w:rPr>
              <w:t>Kontakt dla mediów:</w:t>
            </w:r>
          </w:p>
        </w:tc>
        <w:tc>
          <w:tcPr>
            <w:tcW w:w="4531" w:type="dxa"/>
            <w:shd w:val="clear" w:color="auto" w:fill="auto"/>
          </w:tcPr>
          <w:p w14:paraId="3A000E76" w14:textId="77777777" w:rsidR="00654C97" w:rsidRPr="00B73326" w:rsidRDefault="00654C97" w:rsidP="00654C97">
            <w:pPr>
              <w:rPr>
                <w:sz w:val="16"/>
                <w:szCs w:val="16"/>
                <w:lang w:val="sv-SE"/>
              </w:rPr>
            </w:pPr>
          </w:p>
        </w:tc>
      </w:tr>
      <w:tr w:rsidR="00654C97" w:rsidRPr="00B73326" w14:paraId="2604847A" w14:textId="77777777" w:rsidTr="00E32749">
        <w:tc>
          <w:tcPr>
            <w:tcW w:w="4531" w:type="dxa"/>
            <w:shd w:val="clear" w:color="auto" w:fill="auto"/>
          </w:tcPr>
          <w:p w14:paraId="149F90B2" w14:textId="2D4E161F" w:rsidR="00654C97" w:rsidRPr="00B73326" w:rsidRDefault="00654C97" w:rsidP="00654C97">
            <w:pPr>
              <w:rPr>
                <w:b/>
                <w:bCs/>
                <w:sz w:val="16"/>
                <w:szCs w:val="16"/>
                <w:lang w:val="sv-SE"/>
              </w:rPr>
            </w:pPr>
            <w:r w:rsidRPr="00B73326">
              <w:rPr>
                <w:b/>
                <w:bCs/>
                <w:sz w:val="16"/>
                <w:szCs w:val="16"/>
                <w:lang w:val="sv-SE"/>
              </w:rPr>
              <w:t>Aleksandra Stankiewicz-Billewicz</w:t>
            </w:r>
          </w:p>
          <w:p w14:paraId="487EAE7E" w14:textId="77777777" w:rsidR="00654C97" w:rsidRPr="00B73326" w:rsidRDefault="00654C97" w:rsidP="00654C97">
            <w:pPr>
              <w:rPr>
                <w:sz w:val="16"/>
                <w:szCs w:val="16"/>
                <w:lang w:val="sv-SE"/>
              </w:rPr>
            </w:pPr>
            <w:r w:rsidRPr="00B73326">
              <w:rPr>
                <w:sz w:val="16"/>
                <w:szCs w:val="16"/>
                <w:lang w:val="sv-SE"/>
              </w:rPr>
              <w:t xml:space="preserve">Biuro prasowe BIK </w:t>
            </w:r>
          </w:p>
          <w:p w14:paraId="3EF8E998" w14:textId="77777777" w:rsidR="00654C97" w:rsidRPr="00B73326" w:rsidRDefault="00654C97" w:rsidP="00654C97">
            <w:pPr>
              <w:rPr>
                <w:sz w:val="16"/>
                <w:szCs w:val="16"/>
                <w:lang w:val="sv-SE"/>
              </w:rPr>
            </w:pPr>
            <w:r w:rsidRPr="00B73326">
              <w:rPr>
                <w:sz w:val="16"/>
                <w:szCs w:val="16"/>
                <w:lang w:val="sv-SE"/>
              </w:rPr>
              <w:t>tel.:     + 48 22 348 4131</w:t>
            </w:r>
          </w:p>
          <w:p w14:paraId="6E26538B" w14:textId="77777777" w:rsidR="00654C97" w:rsidRPr="00B73326" w:rsidRDefault="00654C97" w:rsidP="00654C97">
            <w:pPr>
              <w:rPr>
                <w:sz w:val="16"/>
                <w:szCs w:val="16"/>
                <w:lang w:val="sv-SE"/>
              </w:rPr>
            </w:pPr>
            <w:r w:rsidRPr="00B73326">
              <w:rPr>
                <w:sz w:val="16"/>
                <w:szCs w:val="16"/>
                <w:lang w:val="sv-SE"/>
              </w:rPr>
              <w:t>kom.:  + 48 512 164 131</w:t>
            </w:r>
          </w:p>
          <w:p w14:paraId="4F5FE7D8" w14:textId="4489EC5F" w:rsidR="00654C97" w:rsidRPr="00B73326" w:rsidRDefault="00000000" w:rsidP="00654C97">
            <w:pPr>
              <w:rPr>
                <w:sz w:val="16"/>
                <w:szCs w:val="16"/>
                <w:lang w:val="sv-SE"/>
              </w:rPr>
            </w:pPr>
            <w:hyperlink r:id="rId21" w:history="1">
              <w:r w:rsidR="00C03ADD" w:rsidRPr="00B73326">
                <w:rPr>
                  <w:rStyle w:val="Hipercze"/>
                  <w:sz w:val="16"/>
                  <w:szCs w:val="16"/>
                  <w:lang w:val="sv-SE"/>
                </w:rPr>
                <w:t>aleksandra.stankiewicz-billewicz@bik.pl</w:t>
              </w:r>
            </w:hyperlink>
            <w:r w:rsidR="00C03ADD" w:rsidRPr="00B73326">
              <w:rPr>
                <w:sz w:val="16"/>
                <w:szCs w:val="16"/>
                <w:lang w:val="sv-SE"/>
              </w:rPr>
              <w:t xml:space="preserve"> </w:t>
            </w:r>
            <w:r w:rsidR="00654C97" w:rsidRPr="00B73326">
              <w:rPr>
                <w:sz w:val="16"/>
                <w:szCs w:val="16"/>
                <w:lang w:val="sv-SE"/>
              </w:rPr>
              <w:t xml:space="preserve"> </w:t>
            </w:r>
          </w:p>
          <w:p w14:paraId="5CE4E2A8" w14:textId="77777777" w:rsidR="00654C97" w:rsidRPr="00B73326" w:rsidRDefault="00654C97" w:rsidP="00654C97">
            <w:pPr>
              <w:rPr>
                <w:sz w:val="16"/>
                <w:szCs w:val="16"/>
                <w:lang w:val="sv-SE"/>
              </w:rPr>
            </w:pPr>
          </w:p>
        </w:tc>
        <w:tc>
          <w:tcPr>
            <w:tcW w:w="4531" w:type="dxa"/>
            <w:shd w:val="clear" w:color="auto" w:fill="auto"/>
          </w:tcPr>
          <w:p w14:paraId="1BCD4325" w14:textId="77777777" w:rsidR="00E32749" w:rsidRPr="00B73326" w:rsidRDefault="00E32749" w:rsidP="00E32749">
            <w:pPr>
              <w:rPr>
                <w:b/>
                <w:bCs/>
                <w:sz w:val="16"/>
                <w:szCs w:val="16"/>
                <w:lang w:val="sv-SE"/>
              </w:rPr>
            </w:pPr>
            <w:r w:rsidRPr="00B73326">
              <w:rPr>
                <w:b/>
                <w:bCs/>
                <w:sz w:val="16"/>
                <w:szCs w:val="16"/>
                <w:lang w:val="sv-SE"/>
              </w:rPr>
              <w:t xml:space="preserve">Halina Kochalska </w:t>
            </w:r>
          </w:p>
          <w:p w14:paraId="2C95A2BB" w14:textId="77777777" w:rsidR="00E32749" w:rsidRPr="00B73326" w:rsidRDefault="00E32749" w:rsidP="00E32749">
            <w:pPr>
              <w:rPr>
                <w:sz w:val="16"/>
                <w:szCs w:val="16"/>
                <w:lang w:val="sv-SE"/>
              </w:rPr>
            </w:pPr>
            <w:r w:rsidRPr="00B73326">
              <w:rPr>
                <w:sz w:val="16"/>
                <w:szCs w:val="16"/>
                <w:lang w:val="sv-SE"/>
              </w:rPr>
              <w:t>Rzecznik prasowy BIG InfoMonitor</w:t>
            </w:r>
          </w:p>
          <w:p w14:paraId="0390B3EF" w14:textId="77777777" w:rsidR="00E32749" w:rsidRPr="00B73326" w:rsidRDefault="00E32749" w:rsidP="00E32749">
            <w:pPr>
              <w:rPr>
                <w:sz w:val="16"/>
                <w:szCs w:val="16"/>
                <w:lang w:val="sv-SE"/>
              </w:rPr>
            </w:pPr>
            <w:r w:rsidRPr="00B73326">
              <w:rPr>
                <w:sz w:val="16"/>
                <w:szCs w:val="16"/>
                <w:lang w:val="sv-SE"/>
              </w:rPr>
              <w:t>tel.:     + 48 22 486 5616</w:t>
            </w:r>
          </w:p>
          <w:p w14:paraId="61537CB0" w14:textId="77777777" w:rsidR="00E32749" w:rsidRPr="00B73326" w:rsidRDefault="00E32749" w:rsidP="00E32749">
            <w:pPr>
              <w:rPr>
                <w:sz w:val="16"/>
                <w:szCs w:val="16"/>
                <w:lang w:val="sv-SE"/>
              </w:rPr>
            </w:pPr>
            <w:r w:rsidRPr="00B73326">
              <w:rPr>
                <w:sz w:val="16"/>
                <w:szCs w:val="16"/>
                <w:lang w:val="sv-SE"/>
              </w:rPr>
              <w:t>kom.: + 48 602 601 010</w:t>
            </w:r>
          </w:p>
          <w:p w14:paraId="7B8D2605" w14:textId="5AE353DD" w:rsidR="00654C97" w:rsidRPr="00B73326" w:rsidRDefault="00000000" w:rsidP="00E32749">
            <w:pPr>
              <w:rPr>
                <w:sz w:val="16"/>
                <w:szCs w:val="16"/>
                <w:lang w:val="sv-SE"/>
              </w:rPr>
            </w:pPr>
            <w:hyperlink r:id="rId22" w:history="1">
              <w:r w:rsidR="00E32749" w:rsidRPr="00B73326">
                <w:rPr>
                  <w:rStyle w:val="Hipercze"/>
                  <w:sz w:val="16"/>
                  <w:szCs w:val="16"/>
                  <w:lang w:val="sv-SE"/>
                </w:rPr>
                <w:t>halina.kochalska@big.pl</w:t>
              </w:r>
            </w:hyperlink>
            <w:r w:rsidR="00E32749" w:rsidRPr="00B73326">
              <w:rPr>
                <w:sz w:val="16"/>
                <w:szCs w:val="16"/>
                <w:lang w:val="sv-SE"/>
              </w:rPr>
              <w:t xml:space="preserve">  </w:t>
            </w:r>
          </w:p>
          <w:p w14:paraId="4AE78B61" w14:textId="4C98C513" w:rsidR="00654C97" w:rsidRPr="00B73326" w:rsidRDefault="00654C97" w:rsidP="00654C97">
            <w:pPr>
              <w:rPr>
                <w:sz w:val="16"/>
                <w:szCs w:val="16"/>
                <w:lang w:val="sv-SE"/>
              </w:rPr>
            </w:pPr>
            <w:r w:rsidRPr="00B73326">
              <w:rPr>
                <w:sz w:val="16"/>
                <w:szCs w:val="16"/>
                <w:lang w:val="sv-SE"/>
              </w:rPr>
              <w:t xml:space="preserve"> </w:t>
            </w:r>
          </w:p>
          <w:p w14:paraId="53D824B1" w14:textId="77777777" w:rsidR="00654C97" w:rsidRPr="00B73326" w:rsidRDefault="00654C97" w:rsidP="00654C97">
            <w:pPr>
              <w:rPr>
                <w:sz w:val="16"/>
                <w:szCs w:val="16"/>
                <w:lang w:val="sv-SE"/>
              </w:rPr>
            </w:pPr>
          </w:p>
        </w:tc>
      </w:tr>
    </w:tbl>
    <w:p w14:paraId="16CC2832" w14:textId="77777777" w:rsidR="00654C97" w:rsidRDefault="00654C97" w:rsidP="00654C97">
      <w:pPr>
        <w:rPr>
          <w:lang w:val="sv-SE"/>
        </w:rPr>
      </w:pPr>
    </w:p>
    <w:p w14:paraId="4CE43B3E" w14:textId="77777777" w:rsidR="00654C97" w:rsidRPr="00654C97" w:rsidRDefault="00654C97" w:rsidP="00654C97">
      <w:pPr>
        <w:rPr>
          <w:lang w:val="sv-SE"/>
        </w:rPr>
      </w:pPr>
      <w:r w:rsidRPr="00654C97">
        <w:rPr>
          <w:lang w:val="sv-SE"/>
        </w:rPr>
        <w:tab/>
      </w:r>
    </w:p>
    <w:p w14:paraId="634B3D53" w14:textId="77777777" w:rsidR="00654C97" w:rsidRPr="00481AF1" w:rsidRDefault="00654C97" w:rsidP="002B3FE4">
      <w:pPr>
        <w:rPr>
          <w:lang w:val="sv-SE"/>
        </w:rPr>
      </w:pPr>
    </w:p>
    <w:sectPr w:rsidR="00654C97" w:rsidRPr="00481AF1" w:rsidSect="00E53739">
      <w:headerReference w:type="even" r:id="rId23"/>
      <w:footerReference w:type="even" r:id="rId24"/>
      <w:footerReference w:type="default" r:id="rId25"/>
      <w:headerReference w:type="first" r:id="rId26"/>
      <w:footerReference w:type="first" r:id="rId27"/>
      <w:type w:val="continuous"/>
      <w:pgSz w:w="11906" w:h="16838" w:code="9"/>
      <w:pgMar w:top="1417" w:right="1417" w:bottom="1417" w:left="1417" w:header="0"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EB6E" w14:textId="77777777" w:rsidR="000359B8" w:rsidRDefault="000359B8" w:rsidP="00866834">
      <w:r>
        <w:separator/>
      </w:r>
    </w:p>
    <w:p w14:paraId="0470A1EC" w14:textId="77777777" w:rsidR="000359B8" w:rsidRDefault="000359B8"/>
  </w:endnote>
  <w:endnote w:type="continuationSeparator" w:id="0">
    <w:p w14:paraId="60709E62" w14:textId="77777777" w:rsidR="000359B8" w:rsidRDefault="000359B8" w:rsidP="00866834">
      <w:r>
        <w:continuationSeparator/>
      </w:r>
    </w:p>
    <w:p w14:paraId="5B78F895" w14:textId="77777777" w:rsidR="000359B8" w:rsidRDefault="000359B8"/>
  </w:endnote>
  <w:endnote w:id="1">
    <w:p w14:paraId="01FDBE3E" w14:textId="77777777" w:rsidR="00F72A43" w:rsidRDefault="00F72A43" w:rsidP="00F72A43">
      <w:pPr>
        <w:pStyle w:val="Tekstprzypisukocowego"/>
      </w:pPr>
      <w:r>
        <w:rPr>
          <w:rStyle w:val="Odwoanieprzypisukocowego"/>
        </w:rPr>
        <w:endnoteRef/>
      </w:r>
      <w:r w:rsidRPr="00DB44E0">
        <w:rPr>
          <w:sz w:val="22"/>
          <w:szCs w:val="22"/>
        </w:rPr>
        <w:t xml:space="preserve"> GUS</w:t>
      </w:r>
      <w:r w:rsidRPr="002B4405">
        <w:rPr>
          <w:sz w:val="22"/>
          <w:szCs w:val="22"/>
        </w:rPr>
        <w:t>, Pracuj</w:t>
      </w:r>
      <w:r w:rsidRPr="002B4405">
        <w:rPr>
          <w:rFonts w:hint="eastAsia"/>
          <w:sz w:val="22"/>
          <w:szCs w:val="22"/>
        </w:rPr>
        <w:t>ą</w:t>
      </w:r>
      <w:r w:rsidRPr="002B4405">
        <w:rPr>
          <w:sz w:val="22"/>
          <w:szCs w:val="22"/>
        </w:rPr>
        <w:t>cy i wynagrodzenia w gospodarce narodowej (dane ostateczne) w 2020 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NeueLT Pro 45 L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280C" w14:textId="77777777" w:rsidR="00CE03AC" w:rsidRDefault="00CE03AC"/>
  <w:p w14:paraId="742445CC" w14:textId="77777777" w:rsidR="00A7543E" w:rsidRDefault="00A754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4DDC" w14:textId="2F913D2A" w:rsidR="00996627" w:rsidRPr="00725618" w:rsidRDefault="00996627" w:rsidP="00996627">
    <w:pPr>
      <w:pStyle w:val="BIK-Stopka"/>
    </w:pPr>
    <w:r>
      <w:rPr>
        <w:lang w:eastAsia="pl-PL"/>
      </w:rPr>
      <mc:AlternateContent>
        <mc:Choice Requires="wps">
          <w:drawing>
            <wp:anchor distT="0" distB="0" distL="114300" distR="114300" simplePos="0" relativeHeight="251670016" behindDoc="0" locked="0" layoutInCell="0" allowOverlap="1" wp14:anchorId="17CE0507" wp14:editId="71E445B4">
              <wp:simplePos x="0" y="0"/>
              <wp:positionH relativeFrom="page">
                <wp:posOffset>0</wp:posOffset>
              </wp:positionH>
              <wp:positionV relativeFrom="page">
                <wp:posOffset>10228580</wp:posOffset>
              </wp:positionV>
              <wp:extent cx="7560310" cy="273050"/>
              <wp:effectExtent l="0" t="0" r="0" b="12700"/>
              <wp:wrapNone/>
              <wp:docPr id="11" name="MSIPCMae2e4f7784f71ceaa8fba6f2" descr="{&quot;HashCode&quot;:-1048850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65B25C" w14:textId="77777777" w:rsidR="00996627" w:rsidRPr="00162D9C" w:rsidRDefault="00996627" w:rsidP="00996627">
                          <w:pPr>
                            <w:jc w:val="right"/>
                            <w:rPr>
                              <w:rFonts w:ascii="Calibri" w:hAnsi="Calibri" w:cs="Calibri"/>
                              <w:color w:val="008000"/>
                            </w:rPr>
                          </w:pPr>
                          <w:r w:rsidRPr="00162D9C">
                            <w:rPr>
                              <w:rFonts w:ascii="Calibri" w:hAnsi="Calibri" w:cs="Calibri"/>
                              <w:color w:val="008000"/>
                            </w:rPr>
                            <w:t>Informacje Jawne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7CE0507" id="_x0000_t202" coordsize="21600,21600" o:spt="202" path="m,l,21600r21600,l21600,xe">
              <v:stroke joinstyle="miter"/>
              <v:path gradientshapeok="t" o:connecttype="rect"/>
            </v:shapetype>
            <v:shape id="MSIPCMae2e4f7784f71ceaa8fba6f2" o:spid="_x0000_s1026" type="#_x0000_t202" alt="{&quot;HashCode&quot;:-1048850003,&quot;Height&quot;:841.0,&quot;Width&quot;:595.0,&quot;Placement&quot;:&quot;Footer&quot;,&quot;Index&quot;:&quot;Primary&quot;,&quot;Section&quot;:1,&quot;Top&quot;:0.0,&quot;Left&quot;:0.0}" style="position:absolute;margin-left:0;margin-top:805.4pt;width:595.3pt;height:21.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8I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" o:allowincell="f" filled="f" stroked="f" strokeweight=".5pt">
              <v:textbox inset=",0,20pt,0">
                <w:txbxContent>
                  <w:p w14:paraId="4565B25C" w14:textId="77777777" w:rsidR="00996627" w:rsidRPr="00162D9C" w:rsidRDefault="00996627" w:rsidP="00996627">
                    <w:pPr>
                      <w:jc w:val="right"/>
                      <w:rPr>
                        <w:rFonts w:ascii="Calibri" w:hAnsi="Calibri" w:cs="Calibri"/>
                        <w:color w:val="008000"/>
                      </w:rPr>
                    </w:pPr>
                    <w:r w:rsidRPr="00162D9C">
                      <w:rPr>
                        <w:rFonts w:ascii="Calibri" w:hAnsi="Calibri" w:cs="Calibri"/>
                        <w:color w:val="008000"/>
                      </w:rPr>
                      <w:t>Informacje Jawne</w:t>
                    </w:r>
                  </w:p>
                </w:txbxContent>
              </v:textbox>
              <w10:wrap anchorx="page" anchory="page"/>
            </v:shape>
          </w:pict>
        </mc:Fallback>
      </mc:AlternateContent>
    </w:r>
    <w:r w:rsidRPr="00725618">
      <w:t xml:space="preserve"> </w:t>
    </w:r>
  </w:p>
  <w:p w14:paraId="474FD3FA" w14:textId="77777777" w:rsidR="00996627" w:rsidRPr="00943829" w:rsidRDefault="00996627" w:rsidP="00996627">
    <w:pPr>
      <w:pStyle w:val="BIK-Pagina"/>
    </w:pPr>
    <w:r>
      <w:fldChar w:fldCharType="begin"/>
    </w:r>
    <w:r>
      <w:instrText>PAGE  \* Arabic  \* MERGEFORMAT</w:instrText>
    </w:r>
    <w:r>
      <w:fldChar w:fldCharType="separate"/>
    </w:r>
    <w:r w:rsidR="004F310C">
      <w:rPr>
        <w:noProof/>
      </w:rPr>
      <w:t>2</w:t>
    </w:r>
    <w:r>
      <w:fldChar w:fldCharType="end"/>
    </w:r>
    <w:r>
      <w:t>/</w:t>
    </w:r>
    <w:fldSimple w:instr="NUMPAGES  \* Arabic  \* MERGEFORMAT">
      <w:r w:rsidR="004F310C">
        <w:rPr>
          <w:noProof/>
        </w:rPr>
        <w:t>5</w:t>
      </w:r>
    </w:fldSimple>
  </w:p>
  <w:p w14:paraId="5C83FC9A" w14:textId="77777777" w:rsidR="00996627" w:rsidRDefault="00996627" w:rsidP="00996627">
    <w:pPr>
      <w:pStyle w:val="BIK-Stopka"/>
    </w:pPr>
  </w:p>
  <w:p w14:paraId="4E7E9788" w14:textId="77777777" w:rsidR="00996627" w:rsidRPr="00C15FB1" w:rsidRDefault="00996627" w:rsidP="009966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BFD1" w14:textId="423454D1" w:rsidR="00CC4824" w:rsidRPr="00725618" w:rsidRDefault="002D190A" w:rsidP="00CC4824">
    <w:pPr>
      <w:pStyle w:val="BIK-Stopka"/>
    </w:pPr>
    <w:r>
      <w:rPr>
        <w:lang w:eastAsia="pl-PL"/>
      </w:rPr>
      <mc:AlternateContent>
        <mc:Choice Requires="wps">
          <w:drawing>
            <wp:anchor distT="0" distB="0" distL="114300" distR="114300" simplePos="0" relativeHeight="251677184" behindDoc="0" locked="0" layoutInCell="0" allowOverlap="1" wp14:anchorId="5FD1FBA8" wp14:editId="32C1D56F">
              <wp:simplePos x="0" y="0"/>
              <wp:positionH relativeFrom="page">
                <wp:posOffset>0</wp:posOffset>
              </wp:positionH>
              <wp:positionV relativeFrom="page">
                <wp:posOffset>10227945</wp:posOffset>
              </wp:positionV>
              <wp:extent cx="7560310" cy="273050"/>
              <wp:effectExtent l="0" t="0" r="0" b="12700"/>
              <wp:wrapNone/>
              <wp:docPr id="3" name="MSIPCMa31449c585d7d74ca738652a" descr="{&quot;HashCode&quot;:-10488500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61514" w14:textId="5CC9AA30" w:rsidR="002D190A" w:rsidRPr="002D190A" w:rsidRDefault="002D190A" w:rsidP="002D190A">
                          <w:pPr>
                            <w:jc w:val="right"/>
                            <w:rPr>
                              <w:rFonts w:ascii="Calibri" w:hAnsi="Calibri" w:cs="Calibri"/>
                              <w:color w:val="008000"/>
                            </w:rPr>
                          </w:pPr>
                          <w:r w:rsidRPr="002D190A">
                            <w:rPr>
                              <w:rFonts w:ascii="Calibri" w:hAnsi="Calibri" w:cs="Calibri"/>
                              <w:color w:val="008000"/>
                            </w:rPr>
                            <w:t>Informacje Jawne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FD1FBA8" id="_x0000_t202" coordsize="21600,21600" o:spt="202" path="m,l,21600r21600,l21600,xe">
              <v:stroke joinstyle="miter"/>
              <v:path gradientshapeok="t" o:connecttype="rect"/>
            </v:shapetype>
            <v:shape id="MSIPCMa31449c585d7d74ca738652a" o:spid="_x0000_s1027" type="#_x0000_t202" alt="{&quot;HashCode&quot;:-1048850003,&quot;Height&quot;:841.0,&quot;Width&quot;:595.0,&quot;Placement&quot;:&quot;Footer&quot;,&quot;Index&quot;:&quot;FirstPage&quot;,&quot;Section&quot;:1,&quot;Top&quot;:0.0,&quot;Left&quot;:0.0}" style="position:absolute;margin-left:0;margin-top:805.35pt;width:595.3pt;height:21.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textbox inset=",0,20pt,0">
                <w:txbxContent>
                  <w:p w14:paraId="27961514" w14:textId="5CC9AA30" w:rsidR="002D190A" w:rsidRPr="002D190A" w:rsidRDefault="002D190A" w:rsidP="002D190A">
                    <w:pPr>
                      <w:jc w:val="right"/>
                      <w:rPr>
                        <w:rFonts w:ascii="Calibri" w:hAnsi="Calibri" w:cs="Calibri"/>
                        <w:color w:val="008000"/>
                      </w:rPr>
                    </w:pPr>
                    <w:r w:rsidRPr="002D190A">
                      <w:rPr>
                        <w:rFonts w:ascii="Calibri" w:hAnsi="Calibri" w:cs="Calibri"/>
                        <w:color w:val="008000"/>
                      </w:rPr>
                      <w:t>Informacje Jawne</w:t>
                    </w:r>
                  </w:p>
                </w:txbxContent>
              </v:textbox>
              <w10:wrap anchorx="page" anchory="page"/>
            </v:shape>
          </w:pict>
        </mc:Fallback>
      </mc:AlternateContent>
    </w:r>
    <w:r w:rsidR="00CC4824" w:rsidRPr="00725618">
      <w:t xml:space="preserve"> </w:t>
    </w:r>
  </w:p>
  <w:p w14:paraId="71ADC024" w14:textId="77777777" w:rsidR="00CC4824" w:rsidRPr="00943829" w:rsidRDefault="00CC4824" w:rsidP="00CC4824">
    <w:pPr>
      <w:pStyle w:val="BIK-Pagina"/>
    </w:pPr>
    <w:r>
      <w:fldChar w:fldCharType="begin"/>
    </w:r>
    <w:r>
      <w:instrText>PAGE  \* Arabic  \* MERGEFORMAT</w:instrText>
    </w:r>
    <w:r>
      <w:fldChar w:fldCharType="separate"/>
    </w:r>
    <w:r w:rsidR="004F310C">
      <w:rPr>
        <w:noProof/>
      </w:rPr>
      <w:t>1</w:t>
    </w:r>
    <w:r>
      <w:fldChar w:fldCharType="end"/>
    </w:r>
    <w:r>
      <w:t>/</w:t>
    </w:r>
    <w:fldSimple w:instr="NUMPAGES  \* Arabic  \* MERGEFORMAT">
      <w:r w:rsidR="004F310C">
        <w:rPr>
          <w:noProof/>
        </w:rPr>
        <w:t>5</w:t>
      </w:r>
    </w:fldSimple>
  </w:p>
  <w:p w14:paraId="31B111CD" w14:textId="77777777" w:rsidR="00CC4824" w:rsidRDefault="00CC4824" w:rsidP="00CC4824">
    <w:pPr>
      <w:pStyle w:val="BIK-Stopka"/>
    </w:pPr>
  </w:p>
  <w:p w14:paraId="7104AE86" w14:textId="77777777" w:rsidR="00CC4824" w:rsidRPr="00C15FB1" w:rsidRDefault="00CC4824" w:rsidP="00CC48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0AFB" w14:textId="77777777" w:rsidR="000359B8" w:rsidRDefault="000359B8" w:rsidP="00866834">
      <w:r>
        <w:separator/>
      </w:r>
    </w:p>
    <w:p w14:paraId="337FFDE6" w14:textId="77777777" w:rsidR="000359B8" w:rsidRDefault="000359B8"/>
  </w:footnote>
  <w:footnote w:type="continuationSeparator" w:id="0">
    <w:p w14:paraId="31C9E42A" w14:textId="77777777" w:rsidR="000359B8" w:rsidRDefault="000359B8" w:rsidP="00866834">
      <w:r>
        <w:continuationSeparator/>
      </w:r>
    </w:p>
    <w:p w14:paraId="2942FF51" w14:textId="77777777" w:rsidR="000359B8" w:rsidRDefault="00035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59B9" w14:textId="77777777" w:rsidR="00CE03AC" w:rsidRDefault="00CE03AC"/>
  <w:p w14:paraId="53450052" w14:textId="77777777" w:rsidR="00A7543E" w:rsidRDefault="00A754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CF8A" w14:textId="77777777" w:rsidR="004A2397" w:rsidRDefault="004A2397" w:rsidP="004A2397"/>
  <w:p w14:paraId="45E3B451" w14:textId="77777777" w:rsidR="004A2397" w:rsidRDefault="004A2397" w:rsidP="004A2397"/>
  <w:p w14:paraId="70FD9885" w14:textId="77777777" w:rsidR="004A2397" w:rsidRDefault="004A2397" w:rsidP="004A2397"/>
  <w:p w14:paraId="2DB1DCD4" w14:textId="77777777" w:rsidR="004A2397" w:rsidRDefault="004A2397" w:rsidP="004A2397"/>
  <w:p w14:paraId="68E99EC7" w14:textId="77777777" w:rsidR="004A2397" w:rsidRDefault="004A2397" w:rsidP="004A2397"/>
  <w:p w14:paraId="0EB99FA6" w14:textId="77777777" w:rsidR="004A2397" w:rsidRDefault="004A2397" w:rsidP="004A2397"/>
  <w:p w14:paraId="498A0862" w14:textId="4F7082E7" w:rsidR="004A2397" w:rsidRDefault="004A2397" w:rsidP="004A2397"/>
  <w:p w14:paraId="2A5AA698" w14:textId="77777777" w:rsidR="004A2397" w:rsidRDefault="004A2397" w:rsidP="004A2397"/>
  <w:p w14:paraId="7459BE45" w14:textId="022E694B" w:rsidR="00A7543E" w:rsidRDefault="008B4DBE" w:rsidP="004A2397">
    <w:r>
      <w:rPr>
        <w:noProof/>
        <w:lang w:eastAsia="pl-PL"/>
      </w:rPr>
      <w:drawing>
        <wp:anchor distT="0" distB="702310" distL="114300" distR="114300" simplePos="0" relativeHeight="251663872" behindDoc="0" locked="1" layoutInCell="0" allowOverlap="0" wp14:anchorId="33ED7646" wp14:editId="3FFDDB19">
          <wp:simplePos x="0" y="0"/>
          <wp:positionH relativeFrom="page">
            <wp:align>left</wp:align>
          </wp:positionH>
          <wp:positionV relativeFrom="page">
            <wp:align>top</wp:align>
          </wp:positionV>
          <wp:extent cx="3421440" cy="1120320"/>
          <wp:effectExtent l="0" t="0" r="7620" b="381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1">
                    <a:extLst>
                      <a:ext uri="{28A0092B-C50C-407E-A947-70E740481C1C}">
                        <a14:useLocalDpi xmlns:a14="http://schemas.microsoft.com/office/drawing/2010/main" val="0"/>
                      </a:ext>
                    </a:extLst>
                  </a:blip>
                  <a:stretch>
                    <a:fillRect/>
                  </a:stretch>
                </pic:blipFill>
                <pic:spPr>
                  <a:xfrm>
                    <a:off x="0" y="0"/>
                    <a:ext cx="3421440" cy="1120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243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2CE8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AAD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A87B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46C7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C0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E80B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12AC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EB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44C3E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50384ADE"/>
    <w:multiLevelType w:val="hybridMultilevel"/>
    <w:tmpl w:val="CE0064C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746227E7"/>
    <w:multiLevelType w:val="hybridMultilevel"/>
    <w:tmpl w:val="20F48736"/>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7A2B10AF"/>
    <w:multiLevelType w:val="hybridMultilevel"/>
    <w:tmpl w:val="86ACF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5842234">
    <w:abstractNumId w:val="9"/>
  </w:num>
  <w:num w:numId="2" w16cid:durableId="1700932925">
    <w:abstractNumId w:val="8"/>
  </w:num>
  <w:num w:numId="3" w16cid:durableId="1735858350">
    <w:abstractNumId w:val="3"/>
  </w:num>
  <w:num w:numId="4" w16cid:durableId="2052344929">
    <w:abstractNumId w:val="2"/>
  </w:num>
  <w:num w:numId="5" w16cid:durableId="886453976">
    <w:abstractNumId w:val="1"/>
  </w:num>
  <w:num w:numId="6" w16cid:durableId="1764761251">
    <w:abstractNumId w:val="0"/>
  </w:num>
  <w:num w:numId="7" w16cid:durableId="879125033">
    <w:abstractNumId w:val="7"/>
  </w:num>
  <w:num w:numId="8" w16cid:durableId="1937905459">
    <w:abstractNumId w:val="6"/>
  </w:num>
  <w:num w:numId="9" w16cid:durableId="1265308843">
    <w:abstractNumId w:val="5"/>
  </w:num>
  <w:num w:numId="10" w16cid:durableId="1676223895">
    <w:abstractNumId w:val="4"/>
  </w:num>
  <w:num w:numId="11" w16cid:durableId="1041173617">
    <w:abstractNumId w:val="12"/>
  </w:num>
  <w:num w:numId="12" w16cid:durableId="1503810012">
    <w:abstractNumId w:val="10"/>
  </w:num>
  <w:num w:numId="13" w16cid:durableId="1062370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740"/>
    <w:rsid w:val="000029D5"/>
    <w:rsid w:val="000033E1"/>
    <w:rsid w:val="0001284E"/>
    <w:rsid w:val="000148F4"/>
    <w:rsid w:val="00014AE8"/>
    <w:rsid w:val="00016952"/>
    <w:rsid w:val="00025FD9"/>
    <w:rsid w:val="00032718"/>
    <w:rsid w:val="000359B8"/>
    <w:rsid w:val="00042BBD"/>
    <w:rsid w:val="00042CF3"/>
    <w:rsid w:val="00053581"/>
    <w:rsid w:val="00056102"/>
    <w:rsid w:val="0006181C"/>
    <w:rsid w:val="00063660"/>
    <w:rsid w:val="00063EAB"/>
    <w:rsid w:val="000648A6"/>
    <w:rsid w:val="00065785"/>
    <w:rsid w:val="00067D08"/>
    <w:rsid w:val="00070141"/>
    <w:rsid w:val="00070438"/>
    <w:rsid w:val="000726C5"/>
    <w:rsid w:val="00072781"/>
    <w:rsid w:val="00077647"/>
    <w:rsid w:val="00094B68"/>
    <w:rsid w:val="000B0755"/>
    <w:rsid w:val="000B5746"/>
    <w:rsid w:val="000B6D5C"/>
    <w:rsid w:val="000C11E8"/>
    <w:rsid w:val="000C1BBD"/>
    <w:rsid w:val="000C4037"/>
    <w:rsid w:val="000C6ACC"/>
    <w:rsid w:val="000D03D3"/>
    <w:rsid w:val="000D073F"/>
    <w:rsid w:val="000D09A8"/>
    <w:rsid w:val="000D207A"/>
    <w:rsid w:val="000D51D6"/>
    <w:rsid w:val="000D6D8B"/>
    <w:rsid w:val="000E08A3"/>
    <w:rsid w:val="000E3C74"/>
    <w:rsid w:val="000E7D78"/>
    <w:rsid w:val="000F53B1"/>
    <w:rsid w:val="000F625E"/>
    <w:rsid w:val="0010407D"/>
    <w:rsid w:val="00107B72"/>
    <w:rsid w:val="00110551"/>
    <w:rsid w:val="0011507D"/>
    <w:rsid w:val="00120F7B"/>
    <w:rsid w:val="00122B86"/>
    <w:rsid w:val="0013027F"/>
    <w:rsid w:val="00130E26"/>
    <w:rsid w:val="00131717"/>
    <w:rsid w:val="001322E9"/>
    <w:rsid w:val="00134202"/>
    <w:rsid w:val="001418BF"/>
    <w:rsid w:val="001442BE"/>
    <w:rsid w:val="0014528E"/>
    <w:rsid w:val="00151DED"/>
    <w:rsid w:val="00162D9C"/>
    <w:rsid w:val="00163801"/>
    <w:rsid w:val="001661AF"/>
    <w:rsid w:val="001718BB"/>
    <w:rsid w:val="00171AC4"/>
    <w:rsid w:val="00175351"/>
    <w:rsid w:val="001753FD"/>
    <w:rsid w:val="0017730C"/>
    <w:rsid w:val="00181482"/>
    <w:rsid w:val="00183C67"/>
    <w:rsid w:val="00184906"/>
    <w:rsid w:val="00184952"/>
    <w:rsid w:val="001872A7"/>
    <w:rsid w:val="00191391"/>
    <w:rsid w:val="0019451E"/>
    <w:rsid w:val="00195482"/>
    <w:rsid w:val="00197FCB"/>
    <w:rsid w:val="001A01EF"/>
    <w:rsid w:val="001A1682"/>
    <w:rsid w:val="001B043C"/>
    <w:rsid w:val="001B04DA"/>
    <w:rsid w:val="001C0FA3"/>
    <w:rsid w:val="001C47B8"/>
    <w:rsid w:val="001C6E9A"/>
    <w:rsid w:val="001D1743"/>
    <w:rsid w:val="001E086F"/>
    <w:rsid w:val="001E4E47"/>
    <w:rsid w:val="001E5A0F"/>
    <w:rsid w:val="001F035B"/>
    <w:rsid w:val="001F2E74"/>
    <w:rsid w:val="001F6BED"/>
    <w:rsid w:val="002037E5"/>
    <w:rsid w:val="0020436C"/>
    <w:rsid w:val="00205F61"/>
    <w:rsid w:val="002132CA"/>
    <w:rsid w:val="0021482D"/>
    <w:rsid w:val="00214FD8"/>
    <w:rsid w:val="0022264D"/>
    <w:rsid w:val="00222683"/>
    <w:rsid w:val="00227E51"/>
    <w:rsid w:val="00231524"/>
    <w:rsid w:val="0023511B"/>
    <w:rsid w:val="00237F5F"/>
    <w:rsid w:val="002423B3"/>
    <w:rsid w:val="002436C3"/>
    <w:rsid w:val="00247326"/>
    <w:rsid w:val="00252D45"/>
    <w:rsid w:val="00263BB5"/>
    <w:rsid w:val="00267C71"/>
    <w:rsid w:val="00270A75"/>
    <w:rsid w:val="002719D4"/>
    <w:rsid w:val="00273BC8"/>
    <w:rsid w:val="00274101"/>
    <w:rsid w:val="0027514F"/>
    <w:rsid w:val="0028252C"/>
    <w:rsid w:val="00294777"/>
    <w:rsid w:val="002971C2"/>
    <w:rsid w:val="002A2029"/>
    <w:rsid w:val="002A5760"/>
    <w:rsid w:val="002A5E3E"/>
    <w:rsid w:val="002A60E4"/>
    <w:rsid w:val="002B31D5"/>
    <w:rsid w:val="002B3EAC"/>
    <w:rsid w:val="002B3FE4"/>
    <w:rsid w:val="002B4F94"/>
    <w:rsid w:val="002B5FC0"/>
    <w:rsid w:val="002B7FB2"/>
    <w:rsid w:val="002C7884"/>
    <w:rsid w:val="002D190A"/>
    <w:rsid w:val="002D1CE5"/>
    <w:rsid w:val="002D41FF"/>
    <w:rsid w:val="002D48BE"/>
    <w:rsid w:val="002D745D"/>
    <w:rsid w:val="002E27E0"/>
    <w:rsid w:val="002E4D29"/>
    <w:rsid w:val="002E79CC"/>
    <w:rsid w:val="002F1729"/>
    <w:rsid w:val="002F39DD"/>
    <w:rsid w:val="002F4540"/>
    <w:rsid w:val="002F59EF"/>
    <w:rsid w:val="002F67B8"/>
    <w:rsid w:val="002F7017"/>
    <w:rsid w:val="00300DB3"/>
    <w:rsid w:val="0030148E"/>
    <w:rsid w:val="00301E1C"/>
    <w:rsid w:val="00304611"/>
    <w:rsid w:val="00310034"/>
    <w:rsid w:val="00315358"/>
    <w:rsid w:val="0031648A"/>
    <w:rsid w:val="003223F2"/>
    <w:rsid w:val="0033042F"/>
    <w:rsid w:val="00335F9F"/>
    <w:rsid w:val="00337FED"/>
    <w:rsid w:val="003446F2"/>
    <w:rsid w:val="003465D9"/>
    <w:rsid w:val="00346C00"/>
    <w:rsid w:val="0035052A"/>
    <w:rsid w:val="00356C9E"/>
    <w:rsid w:val="0035787B"/>
    <w:rsid w:val="00361F8C"/>
    <w:rsid w:val="00364977"/>
    <w:rsid w:val="00370D24"/>
    <w:rsid w:val="00372135"/>
    <w:rsid w:val="00374A91"/>
    <w:rsid w:val="00382951"/>
    <w:rsid w:val="00384436"/>
    <w:rsid w:val="00387C34"/>
    <w:rsid w:val="003941F6"/>
    <w:rsid w:val="003A0292"/>
    <w:rsid w:val="003A3328"/>
    <w:rsid w:val="003A3965"/>
    <w:rsid w:val="003A6C9B"/>
    <w:rsid w:val="003B07B9"/>
    <w:rsid w:val="003B0E2A"/>
    <w:rsid w:val="003B13E9"/>
    <w:rsid w:val="003C3E89"/>
    <w:rsid w:val="003C62D5"/>
    <w:rsid w:val="003D2298"/>
    <w:rsid w:val="003D2A66"/>
    <w:rsid w:val="003D7126"/>
    <w:rsid w:val="003D7518"/>
    <w:rsid w:val="003E20F1"/>
    <w:rsid w:val="003E3267"/>
    <w:rsid w:val="003E3760"/>
    <w:rsid w:val="003F1B09"/>
    <w:rsid w:val="003F1C6E"/>
    <w:rsid w:val="003F2B05"/>
    <w:rsid w:val="003F2E09"/>
    <w:rsid w:val="003F4211"/>
    <w:rsid w:val="003F4BA3"/>
    <w:rsid w:val="004005A4"/>
    <w:rsid w:val="0040337F"/>
    <w:rsid w:val="00405681"/>
    <w:rsid w:val="00406694"/>
    <w:rsid w:val="00414487"/>
    <w:rsid w:val="0041706B"/>
    <w:rsid w:val="004176DE"/>
    <w:rsid w:val="0041782D"/>
    <w:rsid w:val="004211B1"/>
    <w:rsid w:val="004213C9"/>
    <w:rsid w:val="004216FB"/>
    <w:rsid w:val="0042425A"/>
    <w:rsid w:val="004307D3"/>
    <w:rsid w:val="004335ED"/>
    <w:rsid w:val="00437608"/>
    <w:rsid w:val="004461EF"/>
    <w:rsid w:val="00446788"/>
    <w:rsid w:val="00451C27"/>
    <w:rsid w:val="00451F91"/>
    <w:rsid w:val="00453B73"/>
    <w:rsid w:val="00455BD5"/>
    <w:rsid w:val="0045760C"/>
    <w:rsid w:val="004613C5"/>
    <w:rsid w:val="00462681"/>
    <w:rsid w:val="00463785"/>
    <w:rsid w:val="00464740"/>
    <w:rsid w:val="00471CA7"/>
    <w:rsid w:val="0047316D"/>
    <w:rsid w:val="00477CA0"/>
    <w:rsid w:val="00481AF1"/>
    <w:rsid w:val="00483AD6"/>
    <w:rsid w:val="004872B1"/>
    <w:rsid w:val="00487E91"/>
    <w:rsid w:val="00490399"/>
    <w:rsid w:val="004910BD"/>
    <w:rsid w:val="004919DC"/>
    <w:rsid w:val="00491DB1"/>
    <w:rsid w:val="0049313A"/>
    <w:rsid w:val="004A183E"/>
    <w:rsid w:val="004A20B3"/>
    <w:rsid w:val="004A2397"/>
    <w:rsid w:val="004A28E8"/>
    <w:rsid w:val="004C3FA7"/>
    <w:rsid w:val="004D05C5"/>
    <w:rsid w:val="004D7731"/>
    <w:rsid w:val="004F1E7F"/>
    <w:rsid w:val="004F310C"/>
    <w:rsid w:val="004F3147"/>
    <w:rsid w:val="004F5805"/>
    <w:rsid w:val="004F5815"/>
    <w:rsid w:val="0050297C"/>
    <w:rsid w:val="00504309"/>
    <w:rsid w:val="00515DAB"/>
    <w:rsid w:val="00521149"/>
    <w:rsid w:val="005223DE"/>
    <w:rsid w:val="00523041"/>
    <w:rsid w:val="005266B4"/>
    <w:rsid w:val="00526CDD"/>
    <w:rsid w:val="005302EB"/>
    <w:rsid w:val="00533073"/>
    <w:rsid w:val="005377DC"/>
    <w:rsid w:val="00541CDA"/>
    <w:rsid w:val="0054411B"/>
    <w:rsid w:val="005468AD"/>
    <w:rsid w:val="00546946"/>
    <w:rsid w:val="00551416"/>
    <w:rsid w:val="0056157B"/>
    <w:rsid w:val="00564F87"/>
    <w:rsid w:val="00566404"/>
    <w:rsid w:val="0057661A"/>
    <w:rsid w:val="00577C19"/>
    <w:rsid w:val="005827C5"/>
    <w:rsid w:val="0058464D"/>
    <w:rsid w:val="00590159"/>
    <w:rsid w:val="00593E95"/>
    <w:rsid w:val="00594F8E"/>
    <w:rsid w:val="005963BE"/>
    <w:rsid w:val="005A03F9"/>
    <w:rsid w:val="005A2D66"/>
    <w:rsid w:val="005A3068"/>
    <w:rsid w:val="005A4836"/>
    <w:rsid w:val="005A5999"/>
    <w:rsid w:val="005C0301"/>
    <w:rsid w:val="005C29A2"/>
    <w:rsid w:val="005C3666"/>
    <w:rsid w:val="005C68E4"/>
    <w:rsid w:val="005D0241"/>
    <w:rsid w:val="005D030A"/>
    <w:rsid w:val="005D1495"/>
    <w:rsid w:val="005E0EB0"/>
    <w:rsid w:val="005E173C"/>
    <w:rsid w:val="005E6697"/>
    <w:rsid w:val="005F0CA6"/>
    <w:rsid w:val="005F708E"/>
    <w:rsid w:val="00607426"/>
    <w:rsid w:val="00610045"/>
    <w:rsid w:val="006131A4"/>
    <w:rsid w:val="00614AC9"/>
    <w:rsid w:val="00615CC0"/>
    <w:rsid w:val="00623EF4"/>
    <w:rsid w:val="00624ED5"/>
    <w:rsid w:val="00627E9E"/>
    <w:rsid w:val="00634D79"/>
    <w:rsid w:val="00637443"/>
    <w:rsid w:val="006375ED"/>
    <w:rsid w:val="0063792B"/>
    <w:rsid w:val="00637C84"/>
    <w:rsid w:val="00637E97"/>
    <w:rsid w:val="00645188"/>
    <w:rsid w:val="00653C42"/>
    <w:rsid w:val="00654C97"/>
    <w:rsid w:val="00654EEC"/>
    <w:rsid w:val="00656656"/>
    <w:rsid w:val="00657A03"/>
    <w:rsid w:val="00657B6A"/>
    <w:rsid w:val="0066238B"/>
    <w:rsid w:val="00664FE7"/>
    <w:rsid w:val="00672020"/>
    <w:rsid w:val="00673B10"/>
    <w:rsid w:val="00674254"/>
    <w:rsid w:val="006745D8"/>
    <w:rsid w:val="006747BD"/>
    <w:rsid w:val="006824E5"/>
    <w:rsid w:val="00685450"/>
    <w:rsid w:val="006919A3"/>
    <w:rsid w:val="006A0104"/>
    <w:rsid w:val="006A2C5F"/>
    <w:rsid w:val="006A4F08"/>
    <w:rsid w:val="006A5C5A"/>
    <w:rsid w:val="006A634C"/>
    <w:rsid w:val="006A65EC"/>
    <w:rsid w:val="006A6B2C"/>
    <w:rsid w:val="006A73F5"/>
    <w:rsid w:val="006B025D"/>
    <w:rsid w:val="006B31A3"/>
    <w:rsid w:val="006B31E9"/>
    <w:rsid w:val="006B52C1"/>
    <w:rsid w:val="006B7D8F"/>
    <w:rsid w:val="006C0978"/>
    <w:rsid w:val="006C4F1D"/>
    <w:rsid w:val="006D0610"/>
    <w:rsid w:val="006D2EFB"/>
    <w:rsid w:val="006D6DE5"/>
    <w:rsid w:val="006E14D5"/>
    <w:rsid w:val="006E1E0A"/>
    <w:rsid w:val="006E30FE"/>
    <w:rsid w:val="006E34DC"/>
    <w:rsid w:val="006E4DA9"/>
    <w:rsid w:val="006E516A"/>
    <w:rsid w:val="006E5990"/>
    <w:rsid w:val="006E733D"/>
    <w:rsid w:val="006F09D5"/>
    <w:rsid w:val="006F1DAC"/>
    <w:rsid w:val="006F2F88"/>
    <w:rsid w:val="006F72EF"/>
    <w:rsid w:val="00702BD7"/>
    <w:rsid w:val="0070349D"/>
    <w:rsid w:val="007042E5"/>
    <w:rsid w:val="007051F8"/>
    <w:rsid w:val="00710943"/>
    <w:rsid w:val="00713260"/>
    <w:rsid w:val="0071601E"/>
    <w:rsid w:val="0072379F"/>
    <w:rsid w:val="00725618"/>
    <w:rsid w:val="00726604"/>
    <w:rsid w:val="00737001"/>
    <w:rsid w:val="00737767"/>
    <w:rsid w:val="00740474"/>
    <w:rsid w:val="007428FB"/>
    <w:rsid w:val="007433A0"/>
    <w:rsid w:val="00745D1B"/>
    <w:rsid w:val="00766582"/>
    <w:rsid w:val="007670D7"/>
    <w:rsid w:val="0076714A"/>
    <w:rsid w:val="00771201"/>
    <w:rsid w:val="007747D1"/>
    <w:rsid w:val="00774F73"/>
    <w:rsid w:val="00780D1C"/>
    <w:rsid w:val="0078154B"/>
    <w:rsid w:val="00781A35"/>
    <w:rsid w:val="007860C8"/>
    <w:rsid w:val="00786E03"/>
    <w:rsid w:val="00790B98"/>
    <w:rsid w:val="0079419B"/>
    <w:rsid w:val="00794B24"/>
    <w:rsid w:val="00796185"/>
    <w:rsid w:val="00796D3F"/>
    <w:rsid w:val="007A002C"/>
    <w:rsid w:val="007A17F4"/>
    <w:rsid w:val="007A43D8"/>
    <w:rsid w:val="007A4D8F"/>
    <w:rsid w:val="007B56AF"/>
    <w:rsid w:val="007B58FC"/>
    <w:rsid w:val="007B5D47"/>
    <w:rsid w:val="007B63A6"/>
    <w:rsid w:val="007B6818"/>
    <w:rsid w:val="007C0787"/>
    <w:rsid w:val="007C33C0"/>
    <w:rsid w:val="007D0085"/>
    <w:rsid w:val="007D0B3B"/>
    <w:rsid w:val="007D6109"/>
    <w:rsid w:val="007F63FF"/>
    <w:rsid w:val="007F7355"/>
    <w:rsid w:val="00805DF6"/>
    <w:rsid w:val="00806733"/>
    <w:rsid w:val="00814E1A"/>
    <w:rsid w:val="008161FD"/>
    <w:rsid w:val="0081730E"/>
    <w:rsid w:val="00821F16"/>
    <w:rsid w:val="00825213"/>
    <w:rsid w:val="0083015C"/>
    <w:rsid w:val="008301AA"/>
    <w:rsid w:val="00830E9E"/>
    <w:rsid w:val="0083365B"/>
    <w:rsid w:val="00836C83"/>
    <w:rsid w:val="00841A2A"/>
    <w:rsid w:val="0084396A"/>
    <w:rsid w:val="00847698"/>
    <w:rsid w:val="00847806"/>
    <w:rsid w:val="008519BA"/>
    <w:rsid w:val="00851C6D"/>
    <w:rsid w:val="0085243D"/>
    <w:rsid w:val="00852709"/>
    <w:rsid w:val="00854B13"/>
    <w:rsid w:val="00854B7B"/>
    <w:rsid w:val="00857BCB"/>
    <w:rsid w:val="008628DC"/>
    <w:rsid w:val="00866834"/>
    <w:rsid w:val="0086772F"/>
    <w:rsid w:val="00867CB5"/>
    <w:rsid w:val="00872F41"/>
    <w:rsid w:val="00873CF9"/>
    <w:rsid w:val="0088285A"/>
    <w:rsid w:val="008840F8"/>
    <w:rsid w:val="0089120C"/>
    <w:rsid w:val="008917A1"/>
    <w:rsid w:val="008A0736"/>
    <w:rsid w:val="008A0FD0"/>
    <w:rsid w:val="008A2121"/>
    <w:rsid w:val="008A4361"/>
    <w:rsid w:val="008A5D93"/>
    <w:rsid w:val="008B2062"/>
    <w:rsid w:val="008B3792"/>
    <w:rsid w:val="008B4DBE"/>
    <w:rsid w:val="008C1729"/>
    <w:rsid w:val="008C3D7E"/>
    <w:rsid w:val="008C5855"/>
    <w:rsid w:val="008C75DD"/>
    <w:rsid w:val="008D6FCE"/>
    <w:rsid w:val="008E04B2"/>
    <w:rsid w:val="008E1940"/>
    <w:rsid w:val="008E6419"/>
    <w:rsid w:val="008E67DB"/>
    <w:rsid w:val="008E7388"/>
    <w:rsid w:val="008F209D"/>
    <w:rsid w:val="00906790"/>
    <w:rsid w:val="0091082D"/>
    <w:rsid w:val="009154F2"/>
    <w:rsid w:val="00920006"/>
    <w:rsid w:val="009225C1"/>
    <w:rsid w:val="0092387C"/>
    <w:rsid w:val="00925329"/>
    <w:rsid w:val="00930267"/>
    <w:rsid w:val="0093027C"/>
    <w:rsid w:val="00931732"/>
    <w:rsid w:val="00931D58"/>
    <w:rsid w:val="00936258"/>
    <w:rsid w:val="00943829"/>
    <w:rsid w:val="00945AD3"/>
    <w:rsid w:val="00947280"/>
    <w:rsid w:val="0094790E"/>
    <w:rsid w:val="00954066"/>
    <w:rsid w:val="00954F60"/>
    <w:rsid w:val="009558E4"/>
    <w:rsid w:val="00955CFE"/>
    <w:rsid w:val="00966C2F"/>
    <w:rsid w:val="00970D51"/>
    <w:rsid w:val="00971B96"/>
    <w:rsid w:val="0097434B"/>
    <w:rsid w:val="00981D67"/>
    <w:rsid w:val="009846D3"/>
    <w:rsid w:val="0098789B"/>
    <w:rsid w:val="009932A0"/>
    <w:rsid w:val="00994B55"/>
    <w:rsid w:val="00996627"/>
    <w:rsid w:val="00996CE5"/>
    <w:rsid w:val="009A3F1C"/>
    <w:rsid w:val="009A6984"/>
    <w:rsid w:val="009B0D7E"/>
    <w:rsid w:val="009B611E"/>
    <w:rsid w:val="009C061D"/>
    <w:rsid w:val="009C0766"/>
    <w:rsid w:val="009C1267"/>
    <w:rsid w:val="009C56EE"/>
    <w:rsid w:val="009D0271"/>
    <w:rsid w:val="009D1D9F"/>
    <w:rsid w:val="009D3E46"/>
    <w:rsid w:val="009D4C4D"/>
    <w:rsid w:val="009D75D3"/>
    <w:rsid w:val="009E4A7E"/>
    <w:rsid w:val="009E72F1"/>
    <w:rsid w:val="009F4426"/>
    <w:rsid w:val="009F5B2B"/>
    <w:rsid w:val="009F738C"/>
    <w:rsid w:val="00A010A7"/>
    <w:rsid w:val="00A03EFC"/>
    <w:rsid w:val="00A11066"/>
    <w:rsid w:val="00A1115D"/>
    <w:rsid w:val="00A11BB9"/>
    <w:rsid w:val="00A13509"/>
    <w:rsid w:val="00A24512"/>
    <w:rsid w:val="00A3365D"/>
    <w:rsid w:val="00A34D68"/>
    <w:rsid w:val="00A350A7"/>
    <w:rsid w:val="00A36F46"/>
    <w:rsid w:val="00A4363C"/>
    <w:rsid w:val="00A44FFE"/>
    <w:rsid w:val="00A512A6"/>
    <w:rsid w:val="00A52DCF"/>
    <w:rsid w:val="00A52F9B"/>
    <w:rsid w:val="00A64541"/>
    <w:rsid w:val="00A72BE7"/>
    <w:rsid w:val="00A7302D"/>
    <w:rsid w:val="00A7543E"/>
    <w:rsid w:val="00A7657A"/>
    <w:rsid w:val="00A82827"/>
    <w:rsid w:val="00A82E57"/>
    <w:rsid w:val="00A85D65"/>
    <w:rsid w:val="00A87FFE"/>
    <w:rsid w:val="00A944A1"/>
    <w:rsid w:val="00A94C25"/>
    <w:rsid w:val="00AA1576"/>
    <w:rsid w:val="00AA4804"/>
    <w:rsid w:val="00AA4FB6"/>
    <w:rsid w:val="00AA5ABA"/>
    <w:rsid w:val="00AB0962"/>
    <w:rsid w:val="00AB44FD"/>
    <w:rsid w:val="00AB45FE"/>
    <w:rsid w:val="00AB5637"/>
    <w:rsid w:val="00AC190B"/>
    <w:rsid w:val="00AC2258"/>
    <w:rsid w:val="00AC22B6"/>
    <w:rsid w:val="00AC2801"/>
    <w:rsid w:val="00AC48A9"/>
    <w:rsid w:val="00AC65DA"/>
    <w:rsid w:val="00AD112C"/>
    <w:rsid w:val="00AD3AF8"/>
    <w:rsid w:val="00AD3E35"/>
    <w:rsid w:val="00AD514C"/>
    <w:rsid w:val="00AE025A"/>
    <w:rsid w:val="00AE31F3"/>
    <w:rsid w:val="00AE67A6"/>
    <w:rsid w:val="00AE788C"/>
    <w:rsid w:val="00AE7D12"/>
    <w:rsid w:val="00AF1605"/>
    <w:rsid w:val="00AF3176"/>
    <w:rsid w:val="00AF77C1"/>
    <w:rsid w:val="00B05CA3"/>
    <w:rsid w:val="00B14202"/>
    <w:rsid w:val="00B14597"/>
    <w:rsid w:val="00B15758"/>
    <w:rsid w:val="00B201B8"/>
    <w:rsid w:val="00B20B1D"/>
    <w:rsid w:val="00B21D57"/>
    <w:rsid w:val="00B32F96"/>
    <w:rsid w:val="00B35B63"/>
    <w:rsid w:val="00B377BA"/>
    <w:rsid w:val="00B46B2C"/>
    <w:rsid w:val="00B5362D"/>
    <w:rsid w:val="00B53CE7"/>
    <w:rsid w:val="00B60E67"/>
    <w:rsid w:val="00B61F8A"/>
    <w:rsid w:val="00B679ED"/>
    <w:rsid w:val="00B716B1"/>
    <w:rsid w:val="00B71C20"/>
    <w:rsid w:val="00B73326"/>
    <w:rsid w:val="00B74A2B"/>
    <w:rsid w:val="00B76F06"/>
    <w:rsid w:val="00B77C02"/>
    <w:rsid w:val="00B80178"/>
    <w:rsid w:val="00B814D6"/>
    <w:rsid w:val="00B858A5"/>
    <w:rsid w:val="00B85FCC"/>
    <w:rsid w:val="00B9165A"/>
    <w:rsid w:val="00B92103"/>
    <w:rsid w:val="00B93CAA"/>
    <w:rsid w:val="00B93FC9"/>
    <w:rsid w:val="00B976FD"/>
    <w:rsid w:val="00B97967"/>
    <w:rsid w:val="00BB3391"/>
    <w:rsid w:val="00BD042C"/>
    <w:rsid w:val="00BD0AD6"/>
    <w:rsid w:val="00BD2D5C"/>
    <w:rsid w:val="00BD32DE"/>
    <w:rsid w:val="00BD6260"/>
    <w:rsid w:val="00BD684A"/>
    <w:rsid w:val="00BE15DF"/>
    <w:rsid w:val="00BE1AAA"/>
    <w:rsid w:val="00BE3617"/>
    <w:rsid w:val="00BE5B70"/>
    <w:rsid w:val="00BE5E1D"/>
    <w:rsid w:val="00BF191F"/>
    <w:rsid w:val="00BF1CBB"/>
    <w:rsid w:val="00BF575B"/>
    <w:rsid w:val="00BF6EE9"/>
    <w:rsid w:val="00BF7242"/>
    <w:rsid w:val="00BF7629"/>
    <w:rsid w:val="00C00F0A"/>
    <w:rsid w:val="00C03ADD"/>
    <w:rsid w:val="00C05352"/>
    <w:rsid w:val="00C06041"/>
    <w:rsid w:val="00C07EDD"/>
    <w:rsid w:val="00C1518D"/>
    <w:rsid w:val="00C15265"/>
    <w:rsid w:val="00C15FB1"/>
    <w:rsid w:val="00C213D6"/>
    <w:rsid w:val="00C22D2A"/>
    <w:rsid w:val="00C250DF"/>
    <w:rsid w:val="00C25E6E"/>
    <w:rsid w:val="00C277A7"/>
    <w:rsid w:val="00C30A32"/>
    <w:rsid w:val="00C3236C"/>
    <w:rsid w:val="00C4153D"/>
    <w:rsid w:val="00C43822"/>
    <w:rsid w:val="00C50374"/>
    <w:rsid w:val="00C5064F"/>
    <w:rsid w:val="00C551AC"/>
    <w:rsid w:val="00C5786F"/>
    <w:rsid w:val="00C662DD"/>
    <w:rsid w:val="00C71FD5"/>
    <w:rsid w:val="00C72131"/>
    <w:rsid w:val="00C724D9"/>
    <w:rsid w:val="00C76E84"/>
    <w:rsid w:val="00C80308"/>
    <w:rsid w:val="00C80BB4"/>
    <w:rsid w:val="00C8776E"/>
    <w:rsid w:val="00C91915"/>
    <w:rsid w:val="00C91C36"/>
    <w:rsid w:val="00C9424E"/>
    <w:rsid w:val="00C9640C"/>
    <w:rsid w:val="00CB2A6D"/>
    <w:rsid w:val="00CB44DA"/>
    <w:rsid w:val="00CB4F57"/>
    <w:rsid w:val="00CC4824"/>
    <w:rsid w:val="00CD113F"/>
    <w:rsid w:val="00CD1BAB"/>
    <w:rsid w:val="00CD252A"/>
    <w:rsid w:val="00CD32F9"/>
    <w:rsid w:val="00CD3939"/>
    <w:rsid w:val="00CE03AC"/>
    <w:rsid w:val="00CE245A"/>
    <w:rsid w:val="00CE2AD7"/>
    <w:rsid w:val="00CE5D10"/>
    <w:rsid w:val="00CF0EE1"/>
    <w:rsid w:val="00CF3E7F"/>
    <w:rsid w:val="00CF3E86"/>
    <w:rsid w:val="00CF4487"/>
    <w:rsid w:val="00CF51E1"/>
    <w:rsid w:val="00CF65B1"/>
    <w:rsid w:val="00D005B3"/>
    <w:rsid w:val="00D04CCB"/>
    <w:rsid w:val="00D06D36"/>
    <w:rsid w:val="00D141CD"/>
    <w:rsid w:val="00D26BFA"/>
    <w:rsid w:val="00D37160"/>
    <w:rsid w:val="00D37982"/>
    <w:rsid w:val="00D40690"/>
    <w:rsid w:val="00D42905"/>
    <w:rsid w:val="00D52D05"/>
    <w:rsid w:val="00D5390B"/>
    <w:rsid w:val="00D6077A"/>
    <w:rsid w:val="00D61BE6"/>
    <w:rsid w:val="00D6359F"/>
    <w:rsid w:val="00D706FB"/>
    <w:rsid w:val="00D72E52"/>
    <w:rsid w:val="00D74346"/>
    <w:rsid w:val="00D75C31"/>
    <w:rsid w:val="00D81036"/>
    <w:rsid w:val="00D82E75"/>
    <w:rsid w:val="00D84F93"/>
    <w:rsid w:val="00D85799"/>
    <w:rsid w:val="00D91E68"/>
    <w:rsid w:val="00D92A09"/>
    <w:rsid w:val="00DA0AAF"/>
    <w:rsid w:val="00DA39E5"/>
    <w:rsid w:val="00DA4196"/>
    <w:rsid w:val="00DC2EF2"/>
    <w:rsid w:val="00DC698D"/>
    <w:rsid w:val="00DD60D6"/>
    <w:rsid w:val="00DD77D2"/>
    <w:rsid w:val="00DE114D"/>
    <w:rsid w:val="00DE3B1C"/>
    <w:rsid w:val="00DE3D3D"/>
    <w:rsid w:val="00DE42E7"/>
    <w:rsid w:val="00DE7A44"/>
    <w:rsid w:val="00DF1CF7"/>
    <w:rsid w:val="00DF229F"/>
    <w:rsid w:val="00E021C1"/>
    <w:rsid w:val="00E04101"/>
    <w:rsid w:val="00E07D82"/>
    <w:rsid w:val="00E12E34"/>
    <w:rsid w:val="00E14964"/>
    <w:rsid w:val="00E20CD9"/>
    <w:rsid w:val="00E23BC8"/>
    <w:rsid w:val="00E23D6B"/>
    <w:rsid w:val="00E32749"/>
    <w:rsid w:val="00E32A60"/>
    <w:rsid w:val="00E339B5"/>
    <w:rsid w:val="00E41696"/>
    <w:rsid w:val="00E43179"/>
    <w:rsid w:val="00E43C32"/>
    <w:rsid w:val="00E516DF"/>
    <w:rsid w:val="00E53739"/>
    <w:rsid w:val="00E54658"/>
    <w:rsid w:val="00E57453"/>
    <w:rsid w:val="00E57535"/>
    <w:rsid w:val="00E6625F"/>
    <w:rsid w:val="00E70F66"/>
    <w:rsid w:val="00E73CE3"/>
    <w:rsid w:val="00E747AE"/>
    <w:rsid w:val="00E81E48"/>
    <w:rsid w:val="00E86BFC"/>
    <w:rsid w:val="00E86ED1"/>
    <w:rsid w:val="00E95E2F"/>
    <w:rsid w:val="00EA0FFD"/>
    <w:rsid w:val="00EA1DB9"/>
    <w:rsid w:val="00EA7273"/>
    <w:rsid w:val="00EB46E0"/>
    <w:rsid w:val="00EC3D3A"/>
    <w:rsid w:val="00ED03ED"/>
    <w:rsid w:val="00ED30BE"/>
    <w:rsid w:val="00ED31F7"/>
    <w:rsid w:val="00ED68B5"/>
    <w:rsid w:val="00EE493C"/>
    <w:rsid w:val="00EF3CDE"/>
    <w:rsid w:val="00EF5056"/>
    <w:rsid w:val="00EF79A5"/>
    <w:rsid w:val="00F00D90"/>
    <w:rsid w:val="00F013C8"/>
    <w:rsid w:val="00F0468B"/>
    <w:rsid w:val="00F13DDF"/>
    <w:rsid w:val="00F14991"/>
    <w:rsid w:val="00F1646A"/>
    <w:rsid w:val="00F21E8C"/>
    <w:rsid w:val="00F22E37"/>
    <w:rsid w:val="00F25F37"/>
    <w:rsid w:val="00F26ECD"/>
    <w:rsid w:val="00F323D1"/>
    <w:rsid w:val="00F34146"/>
    <w:rsid w:val="00F36491"/>
    <w:rsid w:val="00F44840"/>
    <w:rsid w:val="00F4740E"/>
    <w:rsid w:val="00F53DCC"/>
    <w:rsid w:val="00F56E5E"/>
    <w:rsid w:val="00F63136"/>
    <w:rsid w:val="00F63C51"/>
    <w:rsid w:val="00F669CA"/>
    <w:rsid w:val="00F72A43"/>
    <w:rsid w:val="00F74160"/>
    <w:rsid w:val="00F80040"/>
    <w:rsid w:val="00F81176"/>
    <w:rsid w:val="00F81C17"/>
    <w:rsid w:val="00F85535"/>
    <w:rsid w:val="00F92401"/>
    <w:rsid w:val="00F975F4"/>
    <w:rsid w:val="00FA0F92"/>
    <w:rsid w:val="00FA216C"/>
    <w:rsid w:val="00FA3608"/>
    <w:rsid w:val="00FA5166"/>
    <w:rsid w:val="00FA6B8E"/>
    <w:rsid w:val="00FA7095"/>
    <w:rsid w:val="00FA7ED8"/>
    <w:rsid w:val="00FB1A13"/>
    <w:rsid w:val="00FB31CA"/>
    <w:rsid w:val="00FB577D"/>
    <w:rsid w:val="00FC0582"/>
    <w:rsid w:val="00FD106B"/>
    <w:rsid w:val="00FD52BA"/>
    <w:rsid w:val="00FD6960"/>
    <w:rsid w:val="00FE0DAB"/>
    <w:rsid w:val="00FF6EC4"/>
    <w:rsid w:val="00FF7672"/>
    <w:rsid w:val="00FF7B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310F"/>
  <w15:docId w15:val="{432E8C26-E77A-4209-8FEF-25248A2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3391"/>
    <w:pPr>
      <w:spacing w:after="0" w:line="300" w:lineRule="exact"/>
    </w:pPr>
    <w:rPr>
      <w:color w:val="161616"/>
      <w:sz w:val="20"/>
    </w:rPr>
  </w:style>
  <w:style w:type="paragraph" w:styleId="Nagwek1">
    <w:name w:val="heading 1"/>
    <w:basedOn w:val="Normalny"/>
    <w:next w:val="Normalny"/>
    <w:link w:val="Nagwek1Znak"/>
    <w:uiPriority w:val="9"/>
    <w:rsid w:val="00231524"/>
    <w:pPr>
      <w:keepNext/>
      <w:keepLines/>
      <w:spacing w:before="240"/>
      <w:outlineLvl w:val="0"/>
    </w:pPr>
    <w:rPr>
      <w:rFonts w:asciiTheme="majorHAnsi" w:eastAsiaTheme="majorEastAsia" w:hAnsiTheme="majorHAnsi" w:cstheme="majorBidi"/>
      <w:color w:val="auto"/>
      <w:sz w:val="32"/>
      <w:szCs w:val="32"/>
    </w:rPr>
  </w:style>
  <w:style w:type="paragraph" w:styleId="Nagwek2">
    <w:name w:val="heading 2"/>
    <w:basedOn w:val="Normalny"/>
    <w:next w:val="Normalny"/>
    <w:link w:val="Nagwek2Znak"/>
    <w:uiPriority w:val="9"/>
    <w:semiHidden/>
    <w:unhideWhenUsed/>
    <w:rsid w:val="00263BB5"/>
    <w:pPr>
      <w:keepNext/>
      <w:keepLines/>
      <w:spacing w:before="40"/>
      <w:outlineLvl w:val="1"/>
    </w:pPr>
    <w:rPr>
      <w:rFonts w:asciiTheme="majorHAnsi" w:eastAsiaTheme="majorEastAsia" w:hAnsiTheme="majorHAnsi" w:cstheme="majorBidi"/>
      <w:color w:val="0068BF"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524"/>
    <w:rPr>
      <w:rFonts w:asciiTheme="majorHAnsi" w:eastAsiaTheme="majorEastAsia" w:hAnsiTheme="majorHAnsi" w:cstheme="majorBidi"/>
      <w:spacing w:val="4"/>
      <w:sz w:val="32"/>
      <w:szCs w:val="32"/>
    </w:rPr>
  </w:style>
  <w:style w:type="paragraph" w:customStyle="1" w:styleId="BIK-Zwrotgrzecznociowy">
    <w:name w:val="BIK - Zwrot grzecznościowy"/>
    <w:basedOn w:val="BIK-Trepisma-odstp"/>
    <w:next w:val="BIK-Trepisma-odstp"/>
    <w:autoRedefine/>
    <w:qFormat/>
    <w:rsid w:val="00BB3391"/>
    <w:pPr>
      <w:keepLines/>
      <w:spacing w:before="400"/>
    </w:pPr>
    <w:rPr>
      <w:rFonts w:cs="Verdana"/>
      <w:szCs w:val="20"/>
    </w:rPr>
  </w:style>
  <w:style w:type="paragraph" w:customStyle="1" w:styleId="LukImiiNazwwisko">
    <w:name w:val="Luk_Imię i Nazwwisko"/>
    <w:basedOn w:val="LucInstytut"/>
    <w:rsid w:val="00D005B3"/>
    <w:rPr>
      <w:b/>
    </w:rPr>
  </w:style>
  <w:style w:type="paragraph" w:customStyle="1" w:styleId="BIK-Miasto-data">
    <w:name w:val="BIK - Miasto - data"/>
    <w:basedOn w:val="BIK-Trepisma-odstp"/>
    <w:next w:val="BIK-Adresat"/>
    <w:autoRedefine/>
    <w:qFormat/>
    <w:rsid w:val="00CE03AC"/>
    <w:pPr>
      <w:spacing w:after="160"/>
    </w:pPr>
  </w:style>
  <w:style w:type="paragraph" w:customStyle="1" w:styleId="LucInstytut">
    <w:name w:val="Luc_Instytut"/>
    <w:basedOn w:val="BIK-Zwrotgrzecznociowy"/>
    <w:rsid w:val="00D005B3"/>
  </w:style>
  <w:style w:type="paragraph" w:styleId="Listapunktowana">
    <w:name w:val="List Bullet"/>
    <w:basedOn w:val="Normalny"/>
    <w:uiPriority w:val="99"/>
    <w:unhideWhenUsed/>
    <w:rsid w:val="00854B7B"/>
    <w:pPr>
      <w:numPr>
        <w:numId w:val="1"/>
      </w:numPr>
      <w:contextualSpacing/>
    </w:pPr>
  </w:style>
  <w:style w:type="table" w:styleId="Tabela-Siatka">
    <w:name w:val="Table Grid"/>
    <w:basedOn w:val="Standardowy"/>
    <w:uiPriority w:val="39"/>
    <w:rsid w:val="00A3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K-Zpowaaniem">
    <w:name w:val="BIK - Z poważaniem"/>
    <w:basedOn w:val="BIK-Trepisma-odstp"/>
    <w:next w:val="BIK-ImiiNazwisko"/>
    <w:autoRedefine/>
    <w:qFormat/>
    <w:rsid w:val="00BB3391"/>
    <w:pPr>
      <w:keepLines/>
      <w:spacing w:before="900" w:after="600"/>
    </w:pPr>
  </w:style>
  <w:style w:type="paragraph" w:styleId="Bezodstpw">
    <w:name w:val="No Spacing"/>
    <w:aliases w:val="Luc_Bez odstępów"/>
    <w:basedOn w:val="Normalny"/>
    <w:autoRedefine/>
    <w:uiPriority w:val="1"/>
    <w:rsid w:val="00821F16"/>
  </w:style>
  <w:style w:type="paragraph" w:styleId="Tekstpodstawowy">
    <w:name w:val="Body Text"/>
    <w:aliases w:val="22SniezkaGr Tekst podstawowy"/>
    <w:basedOn w:val="Normalny"/>
    <w:link w:val="TekstpodstawowyZnak"/>
    <w:autoRedefine/>
    <w:uiPriority w:val="99"/>
    <w:unhideWhenUsed/>
    <w:rsid w:val="006F72EF"/>
    <w:pPr>
      <w:spacing w:after="240"/>
    </w:pPr>
  </w:style>
  <w:style w:type="character" w:customStyle="1" w:styleId="TekstpodstawowyZnak">
    <w:name w:val="Tekst podstawowy Znak"/>
    <w:aliases w:val="22SniezkaGr Tekst podstawowy Znak"/>
    <w:basedOn w:val="Domylnaczcionkaakapitu"/>
    <w:link w:val="Tekstpodstawowy"/>
    <w:uiPriority w:val="99"/>
    <w:rsid w:val="006F72EF"/>
    <w:rPr>
      <w:color w:val="000000" w:themeColor="text1"/>
      <w:spacing w:val="4"/>
      <w:sz w:val="18"/>
      <w:lang w:val="en-US"/>
    </w:rPr>
  </w:style>
  <w:style w:type="paragraph" w:customStyle="1" w:styleId="KRUKSA-rdtytu">
    <w:name w:val="KRUK_SA - Śródtytuł"/>
    <w:basedOn w:val="BIK-Trepisma-odstp"/>
    <w:next w:val="BIK-Trepisma-odstp"/>
    <w:autoRedefine/>
    <w:rsid w:val="007A002C"/>
    <w:rPr>
      <w:b/>
      <w:color w:val="000000" w:themeColor="text1"/>
    </w:rPr>
  </w:style>
  <w:style w:type="paragraph" w:customStyle="1" w:styleId="BIK-ImiiNazwisko">
    <w:name w:val="BIK  - Imię i Nazwisko"/>
    <w:basedOn w:val="BIK-Trepisma-odstp"/>
    <w:autoRedefine/>
    <w:qFormat/>
    <w:rsid w:val="00F21E8C"/>
    <w:pPr>
      <w:spacing w:after="0"/>
    </w:pPr>
    <w:rPr>
      <w:b/>
    </w:rPr>
  </w:style>
  <w:style w:type="character" w:customStyle="1" w:styleId="TekstpodstawowyZnak1">
    <w:name w:val="Tekst podstawowy Znak1"/>
    <w:aliases w:val="SniezkaGr Tekst podstawowy Znak1"/>
    <w:basedOn w:val="Domylnaczcionkaakapitu"/>
    <w:uiPriority w:val="99"/>
    <w:semiHidden/>
    <w:rsid w:val="00E86BFC"/>
    <w:rPr>
      <w:color w:val="000000" w:themeColor="text1"/>
      <w:spacing w:val="4"/>
      <w:sz w:val="18"/>
      <w:lang w:val="en-US"/>
    </w:rPr>
  </w:style>
  <w:style w:type="paragraph" w:customStyle="1" w:styleId="BIK-Trepisma-odstp">
    <w:name w:val="BIK - Treść pisma - odstęp"/>
    <w:basedOn w:val="Normalny"/>
    <w:autoRedefine/>
    <w:qFormat/>
    <w:rsid w:val="00372135"/>
    <w:pPr>
      <w:spacing w:after="300"/>
    </w:pPr>
    <w:rPr>
      <w:color w:val="161616" w:themeColor="text2"/>
    </w:rPr>
  </w:style>
  <w:style w:type="paragraph" w:customStyle="1" w:styleId="BIK-Stopka">
    <w:name w:val="BIK - Stopka"/>
    <w:basedOn w:val="BIK-Trepisma-odstp"/>
    <w:autoRedefine/>
    <w:qFormat/>
    <w:rsid w:val="00BB3391"/>
    <w:pPr>
      <w:widowControl w:val="0"/>
      <w:spacing w:after="0" w:line="220" w:lineRule="exact"/>
      <w:contextualSpacing/>
    </w:pPr>
    <w:rPr>
      <w:noProof/>
      <w:color w:val="9E9E9E"/>
      <w:sz w:val="16"/>
    </w:rPr>
  </w:style>
  <w:style w:type="paragraph" w:customStyle="1" w:styleId="BIK-Adresat">
    <w:name w:val="BIK - Adresat"/>
    <w:basedOn w:val="BIK-Miasto-data"/>
    <w:autoRedefine/>
    <w:qFormat/>
    <w:rsid w:val="005468AD"/>
    <w:pPr>
      <w:spacing w:after="0"/>
    </w:pPr>
    <w:rPr>
      <w:b/>
    </w:rPr>
  </w:style>
  <w:style w:type="character" w:styleId="Pogrubienie">
    <w:name w:val="Strong"/>
    <w:basedOn w:val="Domylnaczcionkaakapitu"/>
    <w:uiPriority w:val="22"/>
    <w:qFormat/>
    <w:rsid w:val="00BB3391"/>
    <w:rPr>
      <w:b/>
      <w:bCs/>
      <w:noProof w:val="0"/>
      <w:lang w:val="pl-PL"/>
    </w:rPr>
  </w:style>
  <w:style w:type="paragraph" w:customStyle="1" w:styleId="BIK-Adresat-Adres">
    <w:name w:val="BIK - Adresat - Adres"/>
    <w:basedOn w:val="BIK-Adresat"/>
    <w:autoRedefine/>
    <w:qFormat/>
    <w:rsid w:val="00BB3391"/>
    <w:rPr>
      <w:b w:val="0"/>
    </w:rPr>
  </w:style>
  <w:style w:type="paragraph" w:customStyle="1" w:styleId="BIK-Stanowisko">
    <w:name w:val="BIK - Stanowisko"/>
    <w:basedOn w:val="BIK-Trepisma-odstp"/>
    <w:autoRedefine/>
    <w:qFormat/>
    <w:rsid w:val="00BB3391"/>
    <w:pPr>
      <w:spacing w:after="0"/>
    </w:pPr>
  </w:style>
  <w:style w:type="paragraph" w:customStyle="1" w:styleId="BIK-Pagina">
    <w:name w:val="BIK - Pagina"/>
    <w:basedOn w:val="BIK-Trepisma-odstp"/>
    <w:autoRedefine/>
    <w:qFormat/>
    <w:rsid w:val="00BB3391"/>
    <w:pPr>
      <w:widowControl w:val="0"/>
      <w:spacing w:after="0"/>
      <w:jc w:val="right"/>
    </w:pPr>
  </w:style>
  <w:style w:type="paragraph" w:styleId="Stopka">
    <w:name w:val="footer"/>
    <w:basedOn w:val="Normalny"/>
    <w:link w:val="StopkaZnak"/>
    <w:uiPriority w:val="99"/>
    <w:unhideWhenUsed/>
    <w:rsid w:val="00C15FB1"/>
    <w:pPr>
      <w:tabs>
        <w:tab w:val="center" w:pos="4536"/>
        <w:tab w:val="right" w:pos="9072"/>
      </w:tabs>
      <w:spacing w:line="240" w:lineRule="auto"/>
    </w:pPr>
  </w:style>
  <w:style w:type="character" w:customStyle="1" w:styleId="StopkaZnak">
    <w:name w:val="Stopka Znak"/>
    <w:basedOn w:val="Domylnaczcionkaakapitu"/>
    <w:link w:val="Stopka"/>
    <w:uiPriority w:val="99"/>
    <w:rsid w:val="00C15FB1"/>
    <w:rPr>
      <w:color w:val="161616"/>
      <w:sz w:val="20"/>
    </w:rPr>
  </w:style>
  <w:style w:type="paragraph" w:customStyle="1" w:styleId="BIKNagwek1">
    <w:name w:val="BIK Nagłówek 1"/>
    <w:basedOn w:val="Nagwek1"/>
    <w:rsid w:val="00F85535"/>
    <w:pPr>
      <w:keepNext w:val="0"/>
      <w:keepLines w:val="0"/>
      <w:spacing w:before="0" w:line="240" w:lineRule="auto"/>
    </w:pPr>
    <w:rPr>
      <w:rFonts w:ascii="Times New Roman" w:eastAsia="Times New Roman" w:hAnsi="Times New Roman" w:cs="Times New Roman"/>
      <w:b/>
      <w:i/>
      <w:sz w:val="36"/>
      <w:szCs w:val="36"/>
      <w:lang w:eastAsia="pl-PL"/>
    </w:rPr>
  </w:style>
  <w:style w:type="character" w:customStyle="1" w:styleId="Nagwekwiadomoci-etykieta">
    <w:name w:val="Nagłówek wiadomości - etykieta"/>
    <w:rsid w:val="00A350A7"/>
    <w:rPr>
      <w:rFonts w:ascii="Arial" w:hAnsi="Arial"/>
      <w:b/>
      <w:spacing w:val="-4"/>
      <w:sz w:val="18"/>
      <w:vertAlign w:val="baseline"/>
    </w:rPr>
  </w:style>
  <w:style w:type="paragraph" w:customStyle="1" w:styleId="StylBIKsubowagwka">
    <w:name w:val="Styl BIK służbowa główka"/>
    <w:basedOn w:val="Normalny"/>
    <w:link w:val="StylBIKsubowagwkaZnak"/>
    <w:rsid w:val="00A350A7"/>
    <w:pPr>
      <w:keepLines/>
      <w:spacing w:line="415" w:lineRule="atLeast"/>
    </w:pPr>
    <w:rPr>
      <w:rFonts w:eastAsia="Times New Roman" w:cs="Times New Roman"/>
      <w:b/>
      <w:bCs/>
      <w:color w:val="auto"/>
      <w:spacing w:val="-5"/>
      <w:sz w:val="24"/>
      <w:szCs w:val="20"/>
    </w:rPr>
  </w:style>
  <w:style w:type="paragraph" w:customStyle="1" w:styleId="StylStBIKsubowagwka">
    <w:name w:val="Styl StBIK służbowa główka"/>
    <w:basedOn w:val="StylBIKsubowagwka"/>
    <w:link w:val="StylStBIKsubowagwkaZnak"/>
    <w:rsid w:val="00A350A7"/>
    <w:rPr>
      <w:bCs w:val="0"/>
    </w:rPr>
  </w:style>
  <w:style w:type="character" w:customStyle="1" w:styleId="StylBIKsubowagwkaZnak">
    <w:name w:val="Styl BIK służbowa główka Znak"/>
    <w:basedOn w:val="Domylnaczcionkaakapitu"/>
    <w:link w:val="StylBIKsubowagwka"/>
    <w:rsid w:val="00A350A7"/>
    <w:rPr>
      <w:rFonts w:eastAsia="Times New Roman" w:cs="Times New Roman"/>
      <w:b/>
      <w:bCs/>
      <w:spacing w:val="-5"/>
      <w:sz w:val="24"/>
      <w:szCs w:val="20"/>
    </w:rPr>
  </w:style>
  <w:style w:type="character" w:customStyle="1" w:styleId="StylStBIKsubowagwkaZnak">
    <w:name w:val="Styl StBIK służbowa główka Znak"/>
    <w:basedOn w:val="StylBIKsubowagwkaZnak"/>
    <w:link w:val="StylStBIKsubowagwka"/>
    <w:rsid w:val="00A350A7"/>
    <w:rPr>
      <w:rFonts w:eastAsia="Times New Roman" w:cs="Times New Roman"/>
      <w:b/>
      <w:bCs w:val="0"/>
      <w:spacing w:val="-5"/>
      <w:sz w:val="24"/>
      <w:szCs w:val="20"/>
    </w:rPr>
  </w:style>
  <w:style w:type="paragraph" w:styleId="Akapitzlist">
    <w:name w:val="List Paragraph"/>
    <w:basedOn w:val="Normalny"/>
    <w:uiPriority w:val="34"/>
    <w:qFormat/>
    <w:rsid w:val="00A350A7"/>
    <w:pPr>
      <w:spacing w:line="240" w:lineRule="auto"/>
      <w:ind w:left="720"/>
      <w:contextualSpacing/>
    </w:pPr>
    <w:rPr>
      <w:rFonts w:eastAsia="Times New Roman" w:cs="Times New Roman"/>
      <w:color w:val="auto"/>
      <w:sz w:val="23"/>
      <w:szCs w:val="24"/>
      <w:lang w:eastAsia="pl-PL"/>
    </w:rPr>
  </w:style>
  <w:style w:type="character" w:styleId="Hipercze">
    <w:name w:val="Hyperlink"/>
    <w:uiPriority w:val="99"/>
    <w:rsid w:val="002B3FE4"/>
    <w:rPr>
      <w:color w:val="0000FF"/>
      <w:u w:val="single"/>
    </w:rPr>
  </w:style>
  <w:style w:type="paragraph" w:customStyle="1" w:styleId="Default">
    <w:name w:val="Default"/>
    <w:rsid w:val="002B3FE4"/>
    <w:pPr>
      <w:autoSpaceDE w:val="0"/>
      <w:autoSpaceDN w:val="0"/>
      <w:adjustRightInd w:val="0"/>
      <w:spacing w:after="0" w:line="240" w:lineRule="auto"/>
    </w:pPr>
    <w:rPr>
      <w:rFonts w:ascii="HelveticaNeueLT Pro 45 Lt" w:eastAsia="Times New Roman" w:hAnsi="HelveticaNeueLT Pro 45 Lt" w:cs="HelveticaNeueLT Pro 45 Lt"/>
      <w:color w:val="000000"/>
      <w:sz w:val="24"/>
      <w:szCs w:val="24"/>
      <w:lang w:eastAsia="pl-PL"/>
    </w:rPr>
  </w:style>
  <w:style w:type="paragraph" w:styleId="Nagwek">
    <w:name w:val="header"/>
    <w:basedOn w:val="Normalny"/>
    <w:link w:val="NagwekZnak"/>
    <w:uiPriority w:val="99"/>
    <w:unhideWhenUsed/>
    <w:rsid w:val="004A2397"/>
    <w:pPr>
      <w:tabs>
        <w:tab w:val="center" w:pos="4536"/>
        <w:tab w:val="right" w:pos="9072"/>
      </w:tabs>
      <w:spacing w:line="240" w:lineRule="auto"/>
    </w:pPr>
  </w:style>
  <w:style w:type="character" w:customStyle="1" w:styleId="NagwekZnak">
    <w:name w:val="Nagłówek Znak"/>
    <w:basedOn w:val="Domylnaczcionkaakapitu"/>
    <w:link w:val="Nagwek"/>
    <w:uiPriority w:val="99"/>
    <w:rsid w:val="004A2397"/>
    <w:rPr>
      <w:color w:val="161616"/>
      <w:sz w:val="20"/>
    </w:rPr>
  </w:style>
  <w:style w:type="character" w:customStyle="1" w:styleId="Nagwek2Znak">
    <w:name w:val="Nagłówek 2 Znak"/>
    <w:basedOn w:val="Domylnaczcionkaakapitu"/>
    <w:link w:val="Nagwek2"/>
    <w:uiPriority w:val="9"/>
    <w:semiHidden/>
    <w:rsid w:val="00263BB5"/>
    <w:rPr>
      <w:rFonts w:asciiTheme="majorHAnsi" w:eastAsiaTheme="majorEastAsia" w:hAnsiTheme="majorHAnsi" w:cstheme="majorBidi"/>
      <w:color w:val="0068BF" w:themeColor="accent1" w:themeShade="BF"/>
      <w:sz w:val="26"/>
      <w:szCs w:val="26"/>
    </w:rPr>
  </w:style>
  <w:style w:type="character" w:customStyle="1" w:styleId="Nierozpoznanawzmianka1">
    <w:name w:val="Nierozpoznana wzmianka1"/>
    <w:basedOn w:val="Domylnaczcionkaakapitu"/>
    <w:uiPriority w:val="99"/>
    <w:semiHidden/>
    <w:unhideWhenUsed/>
    <w:rsid w:val="00263BB5"/>
    <w:rPr>
      <w:color w:val="605E5C"/>
      <w:shd w:val="clear" w:color="auto" w:fill="E1DFDD"/>
    </w:rPr>
  </w:style>
  <w:style w:type="paragraph" w:styleId="Zwykytekst">
    <w:name w:val="Plain Text"/>
    <w:basedOn w:val="Normalny"/>
    <w:link w:val="ZwykytekstZnak"/>
    <w:uiPriority w:val="99"/>
    <w:unhideWhenUsed/>
    <w:rsid w:val="00D37982"/>
    <w:pPr>
      <w:spacing w:line="240" w:lineRule="auto"/>
    </w:pPr>
    <w:rPr>
      <w:rFonts w:ascii="Calibri" w:eastAsiaTheme="minorEastAsia" w:hAnsi="Calibri"/>
      <w:color w:val="auto"/>
      <w:sz w:val="22"/>
      <w:szCs w:val="21"/>
      <w:lang w:eastAsia="pl-PL"/>
    </w:rPr>
  </w:style>
  <w:style w:type="character" w:customStyle="1" w:styleId="ZwykytekstZnak">
    <w:name w:val="Zwykły tekst Znak"/>
    <w:basedOn w:val="Domylnaczcionkaakapitu"/>
    <w:link w:val="Zwykytekst"/>
    <w:uiPriority w:val="99"/>
    <w:rsid w:val="00D37982"/>
    <w:rPr>
      <w:rFonts w:ascii="Calibri" w:eastAsiaTheme="minorEastAsia" w:hAnsi="Calibri"/>
      <w:szCs w:val="21"/>
      <w:lang w:eastAsia="pl-PL"/>
    </w:rPr>
  </w:style>
  <w:style w:type="character" w:styleId="Nierozpoznanawzmianka">
    <w:name w:val="Unresolved Mention"/>
    <w:basedOn w:val="Domylnaczcionkaakapitu"/>
    <w:uiPriority w:val="99"/>
    <w:semiHidden/>
    <w:unhideWhenUsed/>
    <w:rsid w:val="0079419B"/>
    <w:rPr>
      <w:color w:val="605E5C"/>
      <w:shd w:val="clear" w:color="auto" w:fill="E1DFDD"/>
    </w:rPr>
  </w:style>
  <w:style w:type="character" w:styleId="Odwoaniedokomentarza">
    <w:name w:val="annotation reference"/>
    <w:basedOn w:val="Domylnaczcionkaakapitu"/>
    <w:uiPriority w:val="99"/>
    <w:semiHidden/>
    <w:unhideWhenUsed/>
    <w:rsid w:val="0054411B"/>
    <w:rPr>
      <w:sz w:val="16"/>
      <w:szCs w:val="16"/>
    </w:rPr>
  </w:style>
  <w:style w:type="paragraph" w:styleId="Tekstkomentarza">
    <w:name w:val="annotation text"/>
    <w:basedOn w:val="Normalny"/>
    <w:link w:val="TekstkomentarzaZnak"/>
    <w:uiPriority w:val="99"/>
    <w:unhideWhenUsed/>
    <w:rsid w:val="0054411B"/>
    <w:pPr>
      <w:spacing w:line="240" w:lineRule="auto"/>
    </w:pPr>
    <w:rPr>
      <w:szCs w:val="20"/>
    </w:rPr>
  </w:style>
  <w:style w:type="character" w:customStyle="1" w:styleId="TekstkomentarzaZnak">
    <w:name w:val="Tekst komentarza Znak"/>
    <w:basedOn w:val="Domylnaczcionkaakapitu"/>
    <w:link w:val="Tekstkomentarza"/>
    <w:uiPriority w:val="99"/>
    <w:rsid w:val="0054411B"/>
    <w:rPr>
      <w:color w:val="161616"/>
      <w:sz w:val="20"/>
      <w:szCs w:val="20"/>
    </w:rPr>
  </w:style>
  <w:style w:type="paragraph" w:styleId="Tematkomentarza">
    <w:name w:val="annotation subject"/>
    <w:basedOn w:val="Tekstkomentarza"/>
    <w:next w:val="Tekstkomentarza"/>
    <w:link w:val="TematkomentarzaZnak"/>
    <w:uiPriority w:val="99"/>
    <w:semiHidden/>
    <w:unhideWhenUsed/>
    <w:rsid w:val="0054411B"/>
    <w:rPr>
      <w:b/>
      <w:bCs/>
    </w:rPr>
  </w:style>
  <w:style w:type="character" w:customStyle="1" w:styleId="TematkomentarzaZnak">
    <w:name w:val="Temat komentarza Znak"/>
    <w:basedOn w:val="TekstkomentarzaZnak"/>
    <w:link w:val="Tematkomentarza"/>
    <w:uiPriority w:val="99"/>
    <w:semiHidden/>
    <w:rsid w:val="0054411B"/>
    <w:rPr>
      <w:b/>
      <w:bCs/>
      <w:color w:val="161616"/>
      <w:sz w:val="20"/>
      <w:szCs w:val="20"/>
    </w:rPr>
  </w:style>
  <w:style w:type="paragraph" w:styleId="Poprawka">
    <w:name w:val="Revision"/>
    <w:hidden/>
    <w:uiPriority w:val="99"/>
    <w:semiHidden/>
    <w:rsid w:val="009B0D7E"/>
    <w:pPr>
      <w:spacing w:after="0" w:line="240" w:lineRule="auto"/>
    </w:pPr>
    <w:rPr>
      <w:color w:val="161616"/>
      <w:sz w:val="20"/>
    </w:rPr>
  </w:style>
  <w:style w:type="character" w:styleId="Uwydatnienie">
    <w:name w:val="Emphasis"/>
    <w:basedOn w:val="Domylnaczcionkaakapitu"/>
    <w:uiPriority w:val="20"/>
    <w:qFormat/>
    <w:rsid w:val="00A1115D"/>
    <w:rPr>
      <w:i/>
      <w:iCs/>
    </w:rPr>
  </w:style>
  <w:style w:type="paragraph" w:styleId="Tekstprzypisukocowego">
    <w:name w:val="endnote text"/>
    <w:basedOn w:val="Normalny"/>
    <w:link w:val="TekstprzypisukocowegoZnak"/>
    <w:uiPriority w:val="99"/>
    <w:semiHidden/>
    <w:unhideWhenUsed/>
    <w:rsid w:val="00D26BFA"/>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D26BFA"/>
    <w:rPr>
      <w:color w:val="161616"/>
      <w:sz w:val="20"/>
      <w:szCs w:val="20"/>
    </w:rPr>
  </w:style>
  <w:style w:type="character" w:styleId="Odwoanieprzypisukocowego">
    <w:name w:val="endnote reference"/>
    <w:basedOn w:val="Domylnaczcionkaakapitu"/>
    <w:uiPriority w:val="99"/>
    <w:semiHidden/>
    <w:unhideWhenUsed/>
    <w:rsid w:val="00D26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08510">
      <w:bodyDiv w:val="1"/>
      <w:marLeft w:val="0"/>
      <w:marRight w:val="0"/>
      <w:marTop w:val="0"/>
      <w:marBottom w:val="0"/>
      <w:divBdr>
        <w:top w:val="none" w:sz="0" w:space="0" w:color="auto"/>
        <w:left w:val="none" w:sz="0" w:space="0" w:color="auto"/>
        <w:bottom w:val="none" w:sz="0" w:space="0" w:color="auto"/>
        <w:right w:val="none" w:sz="0" w:space="0" w:color="auto"/>
      </w:divBdr>
    </w:div>
    <w:div w:id="680548185">
      <w:bodyDiv w:val="1"/>
      <w:marLeft w:val="0"/>
      <w:marRight w:val="0"/>
      <w:marTop w:val="0"/>
      <w:marBottom w:val="0"/>
      <w:divBdr>
        <w:top w:val="none" w:sz="0" w:space="0" w:color="auto"/>
        <w:left w:val="none" w:sz="0" w:space="0" w:color="auto"/>
        <w:bottom w:val="none" w:sz="0" w:space="0" w:color="auto"/>
        <w:right w:val="none" w:sz="0" w:space="0" w:color="auto"/>
      </w:divBdr>
    </w:div>
    <w:div w:id="1255749951">
      <w:bodyDiv w:val="1"/>
      <w:marLeft w:val="0"/>
      <w:marRight w:val="0"/>
      <w:marTop w:val="0"/>
      <w:marBottom w:val="0"/>
      <w:divBdr>
        <w:top w:val="none" w:sz="0" w:space="0" w:color="auto"/>
        <w:left w:val="none" w:sz="0" w:space="0" w:color="auto"/>
        <w:bottom w:val="none" w:sz="0" w:space="0" w:color="auto"/>
        <w:right w:val="none" w:sz="0" w:space="0" w:color="auto"/>
      </w:divBdr>
    </w:div>
    <w:div w:id="147413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yperlink" Target="https://www.bik.pl/klienci-indywidualni/alerty-bik?utm_source=gazeta.pl&amp;utm_medium=artykul&amp;utm_campaign=alerty"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mailto:aleksandra.stankiewicz-billewicz@bik.pl"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s://www.bik.pl/moj-bi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bik.pl" TargetMode="External"/><Relationship Id="rId20" Type="http://schemas.openxmlformats.org/officeDocument/2006/relationships/hyperlink" Target="https://media.bik.pl/analizy-rynkow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media.bik.pl/analizy-rynkow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www.bikhub.pl/"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bik.pl/newsletter-kredytowy" TargetMode="External"/><Relationship Id="rId22" Type="http://schemas.openxmlformats.org/officeDocument/2006/relationships/hyperlink" Target="mailto:halina.kochalska@big.pl"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BIK_SA - kolory - Word">
      <a:dk1>
        <a:srgbClr val="000000"/>
      </a:dk1>
      <a:lt1>
        <a:srgbClr val="FFFFFF"/>
      </a:lt1>
      <a:dk2>
        <a:srgbClr val="161616"/>
      </a:dk2>
      <a:lt2>
        <a:srgbClr val="FFFFFF"/>
      </a:lt2>
      <a:accent1>
        <a:srgbClr val="008CFF"/>
      </a:accent1>
      <a:accent2>
        <a:srgbClr val="0041E1"/>
      </a:accent2>
      <a:accent3>
        <a:srgbClr val="0014AA"/>
      </a:accent3>
      <a:accent4>
        <a:srgbClr val="000A6E"/>
      </a:accent4>
      <a:accent5>
        <a:srgbClr val="5AD7FF"/>
      </a:accent5>
      <a:accent6>
        <a:srgbClr val="C8C8C8"/>
      </a:accent6>
      <a:hlink>
        <a:srgbClr val="0000FF"/>
      </a:hlink>
      <a:folHlink>
        <a:srgbClr val="800080"/>
      </a:folHlink>
    </a:clrScheme>
    <a:fontScheme name="BIK_SA - Fonty - Word">
      <a:majorFont>
        <a:latin typeface="Calibri"/>
        <a:ea typeface=""/>
        <a:cs typeface=""/>
      </a:majorFont>
      <a:minorFont>
        <a:latin typeface="Calibri"/>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8413b39-65eb-4ae7-a910-008744c3d581" origin="userSelected">
  <element uid="id_classification_nonbusiness" value=""/>
</sisl>
</file>

<file path=customXml/itemProps1.xml><?xml version="1.0" encoding="utf-8"?>
<ds:datastoreItem xmlns:ds="http://schemas.openxmlformats.org/officeDocument/2006/customXml" ds:itemID="{4EE4437C-CD73-4B7E-B304-162D095D9AB9}">
  <ds:schemaRefs>
    <ds:schemaRef ds:uri="http://schemas.openxmlformats.org/officeDocument/2006/bibliography"/>
  </ds:schemaRefs>
</ds:datastoreItem>
</file>

<file path=customXml/itemProps2.xml><?xml version="1.0" encoding="utf-8"?>
<ds:datastoreItem xmlns:ds="http://schemas.openxmlformats.org/officeDocument/2006/customXml" ds:itemID="{2C898C72-A753-478F-A294-BB5EEEDD29A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1672</Words>
  <Characters>10036</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Krzyśpiak Katarzyna</dc:creator>
  <cp:lastModifiedBy>Borowiecka Diana</cp:lastModifiedBy>
  <cp:revision>4</cp:revision>
  <cp:lastPrinted>2021-05-26T12:27:00Z</cp:lastPrinted>
  <dcterms:created xsi:type="dcterms:W3CDTF">2023-02-24T14:17:00Z</dcterms:created>
  <dcterms:modified xsi:type="dcterms:W3CDTF">2023-02-24T14:32:00Z</dcterms:modified>
  <cp:category>.Informacje Jawne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f1ad96d8-2770-42aa-85ba-1fe5ceb3dd4e</vt:lpwstr>
  </property>
  <property fmtid="{D5CDD505-2E9C-101B-9397-08002B2CF9AE}" pid="3" name="bjSaver">
    <vt:lpwstr>0HCT74yt1GSU3tsbIV9HGFPYHbfLce85</vt:lpwstr>
  </property>
  <property fmtid="{D5CDD505-2E9C-101B-9397-08002B2CF9AE}" pid="4" name="bjDocumentLabelXML">
    <vt:lpwstr>&lt;?xml version="1.0" encoding="us-ascii"?&gt;&lt;sisl xmlns:xsi="http://www.w3.org/2001/XMLSchema-instance" xmlns:xsd="http://www.w3.org/2001/XMLSchema" sislVersion="0" policy="88413b39-65eb-4ae7-a910-008744c3d581"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Jawne</vt:lpwstr>
  </property>
  <property fmtid="{D5CDD505-2E9C-101B-9397-08002B2CF9AE}" pid="7" name="MSIP_Label_1391a466-f120-4668-a5e5-7af4d8a99d82_Enabled">
    <vt:lpwstr>true</vt:lpwstr>
  </property>
  <property fmtid="{D5CDD505-2E9C-101B-9397-08002B2CF9AE}" pid="8" name="MSIP_Label_1391a466-f120-4668-a5e5-7af4d8a99d82_SetDate">
    <vt:lpwstr>2023-02-24T14:32:52Z</vt:lpwstr>
  </property>
  <property fmtid="{D5CDD505-2E9C-101B-9397-08002B2CF9AE}" pid="9" name="MSIP_Label_1391a466-f120-4668-a5e5-7af4d8a99d82_Method">
    <vt:lpwstr>Privileged</vt:lpwstr>
  </property>
  <property fmtid="{D5CDD505-2E9C-101B-9397-08002B2CF9AE}" pid="10" name="MSIP_Label_1391a466-f120-4668-a5e5-7af4d8a99d82_Name">
    <vt:lpwstr>Grupa BIK-Jawne</vt:lpwstr>
  </property>
  <property fmtid="{D5CDD505-2E9C-101B-9397-08002B2CF9AE}" pid="11" name="MSIP_Label_1391a466-f120-4668-a5e5-7af4d8a99d82_SiteId">
    <vt:lpwstr>f2871815-01ea-45c0-a64b-82e189df602c</vt:lpwstr>
  </property>
  <property fmtid="{D5CDD505-2E9C-101B-9397-08002B2CF9AE}" pid="12" name="MSIP_Label_1391a466-f120-4668-a5e5-7af4d8a99d82_ActionId">
    <vt:lpwstr>2fd048fb-010d-42b4-9e7b-b16b85d250d3</vt:lpwstr>
  </property>
  <property fmtid="{D5CDD505-2E9C-101B-9397-08002B2CF9AE}" pid="13" name="MSIP_Label_1391a466-f120-4668-a5e5-7af4d8a99d82_ContentBits">
    <vt:lpwstr>2</vt:lpwstr>
  </property>
</Properties>
</file>