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509" w14:textId="77777777" w:rsidR="003E0BC4" w:rsidRPr="003E0BC4" w:rsidRDefault="003E0BC4" w:rsidP="002E4EF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bookmarkStart w:id="0" w:name="_Hlk103858513"/>
    </w:p>
    <w:p w14:paraId="5F3E1E55" w14:textId="7D9FB31D" w:rsidR="002C6210" w:rsidRDefault="002C6210" w:rsidP="00880CF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  <w:lang w:val="pl-PL"/>
        </w:rPr>
      </w:pPr>
    </w:p>
    <w:p w14:paraId="5830F0B6" w14:textId="798BE49D" w:rsidR="00A12ACF" w:rsidRPr="00A12ACF" w:rsidRDefault="00C16C84" w:rsidP="00A12ACF">
      <w:pPr>
        <w:spacing w:line="276" w:lineRule="auto"/>
        <w:jc w:val="center"/>
        <w:rPr>
          <w:rFonts w:ascii="Styrene A" w:hAnsi="Styrene A"/>
          <w:b/>
          <w:bCs/>
          <w:sz w:val="22"/>
          <w:szCs w:val="22"/>
          <w:lang w:val="pl-PL"/>
        </w:rPr>
      </w:pPr>
      <w:bookmarkStart w:id="1" w:name="_Hlk124231035"/>
      <w:r>
        <w:rPr>
          <w:rFonts w:ascii="Styrene A" w:hAnsi="Styrene A"/>
          <w:b/>
          <w:bCs/>
          <w:sz w:val="22"/>
          <w:szCs w:val="22"/>
          <w:lang w:val="pl-PL"/>
        </w:rPr>
        <w:t>CTPark Opole</w:t>
      </w:r>
      <w:r w:rsidR="00FE0902">
        <w:rPr>
          <w:rFonts w:ascii="Styrene A" w:hAnsi="Styrene A"/>
          <w:b/>
          <w:bCs/>
          <w:sz w:val="22"/>
          <w:szCs w:val="22"/>
          <w:lang w:val="pl-PL"/>
        </w:rPr>
        <w:t xml:space="preserve"> w</w:t>
      </w:r>
      <w:r w:rsidR="006E687B">
        <w:rPr>
          <w:rFonts w:ascii="Styrene A" w:hAnsi="Styrene A"/>
          <w:b/>
          <w:bCs/>
          <w:sz w:val="22"/>
          <w:szCs w:val="22"/>
          <w:lang w:val="pl-PL"/>
        </w:rPr>
        <w:t xml:space="preserve"> rozbudowie</w:t>
      </w:r>
      <w:r w:rsidR="00FE0902">
        <w:rPr>
          <w:rFonts w:ascii="Styrene A" w:hAnsi="Styrene A"/>
          <w:b/>
          <w:bCs/>
          <w:sz w:val="22"/>
          <w:szCs w:val="22"/>
          <w:lang w:val="pl-PL"/>
        </w:rPr>
        <w:t>.</w:t>
      </w:r>
      <w:r w:rsidR="00FE0902" w:rsidRPr="00FE0902">
        <w:rPr>
          <w:rFonts w:ascii="Styrene A" w:hAnsi="Styrene A"/>
          <w:b/>
          <w:bCs/>
          <w:sz w:val="22"/>
          <w:szCs w:val="22"/>
          <w:lang w:val="pl-PL"/>
        </w:rPr>
        <w:t xml:space="preserve"> </w:t>
      </w:r>
      <w:r w:rsidR="00FE0902" w:rsidRPr="008A21EA">
        <w:rPr>
          <w:rFonts w:ascii="Styrene A" w:hAnsi="Styrene A"/>
          <w:b/>
          <w:bCs/>
          <w:sz w:val="22"/>
          <w:szCs w:val="22"/>
          <w:lang w:val="pl-PL"/>
        </w:rPr>
        <w:t>Titan</w:t>
      </w:r>
      <w:r w:rsidR="00FE0902">
        <w:rPr>
          <w:rFonts w:ascii="Styrene A" w:hAnsi="Styrene A"/>
          <w:b/>
          <w:bCs/>
          <w:sz w:val="22"/>
          <w:szCs w:val="22"/>
          <w:lang w:val="pl-PL"/>
        </w:rPr>
        <w:t>X wynajmuje kolejne powierzchnie w inwestycji</w:t>
      </w:r>
    </w:p>
    <w:bookmarkEnd w:id="1"/>
    <w:p w14:paraId="239DE95A" w14:textId="77777777" w:rsidR="00DC3664" w:rsidRPr="00897764" w:rsidRDefault="00DC3664" w:rsidP="00545D70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25D06AA" w14:textId="4F593D1E" w:rsidR="00772292" w:rsidRDefault="00DC3664" w:rsidP="004D2E4F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433919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Warszawa, </w:t>
      </w:r>
      <w:r w:rsidR="009C323A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7 marca</w:t>
      </w:r>
      <w:r w:rsidRPr="00433919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202</w:t>
      </w:r>
      <w:r w:rsidR="008A21EA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3</w:t>
      </w:r>
      <w:r w:rsidR="004B5B13" w:rsidRPr="00433919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r</w:t>
      </w:r>
      <w:r w:rsidR="00E845E5" w:rsidRPr="00433919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oku</w:t>
      </w:r>
      <w:r w:rsidRPr="00433919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43391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–</w:t>
      </w:r>
      <w:r w:rsidR="000C257A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bookmarkStart w:id="2" w:name="_Hlk124319530"/>
      <w:r w:rsidR="00AF53D9" w:rsidRPr="00AF53D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Deweloper </w:t>
      </w:r>
      <w:r w:rsidR="00B7165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i inwestor </w:t>
      </w:r>
      <w:r w:rsidR="00AF53D9" w:rsidRPr="00AF53D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CTP</w:t>
      </w:r>
      <w:r w:rsidR="00AF53D9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AF53D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rozpoczyna rozbudowę </w:t>
      </w:r>
      <w:r w:rsidR="00A917D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CTPark Opole – nowy </w:t>
      </w:r>
      <w:r w:rsidR="00A917D4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obiekt zostanie zrealizowany na potrzeby TitanX Engine Cooling. </w:t>
      </w:r>
      <w:bookmarkEnd w:id="2"/>
      <w:r w:rsidR="00A917D4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G</w:t>
      </w:r>
      <w:r w:rsidR="000C257A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lobalny dostawca układów chłodzenia do </w:t>
      </w:r>
      <w:r w:rsidR="00D53440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samochodów</w:t>
      </w:r>
      <w:r w:rsidR="000C257A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53440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ciężarowych</w:t>
      </w:r>
      <w:r w:rsidR="000C257A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72292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planuje</w:t>
      </w:r>
      <w:r w:rsidR="000C257A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ekspansję w ramach </w:t>
      </w:r>
      <w:r w:rsidR="00A917D4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opolskiej inwestycji</w:t>
      </w:r>
      <w:r w:rsidR="000C257A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i zwiększenie wynajmowanej powierzchni w sumie o ponad</w:t>
      </w:r>
      <w:r w:rsidR="000C257A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130 proc. do IV kwartału 2025 roku. Już w październiku tego roku </w:t>
      </w:r>
      <w:r w:rsidR="008C4526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firma wprowadzi </w:t>
      </w:r>
      <w:r w:rsidR="00DC23A3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się </w:t>
      </w:r>
      <w:r w:rsidR="008C4526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do budynku</w:t>
      </w:r>
      <w:r w:rsidR="006E687B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OPO3</w:t>
      </w:r>
      <w:r w:rsidR="008C4526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zrealizowanego w formule build-to-suit, zajmując blisko 18 230 mkw. </w:t>
      </w:r>
      <w:r w:rsidR="006E687B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Właśnie wmurowano kamień węgielny </w:t>
      </w:r>
      <w:r w:rsidR="009C323A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w fundamenty tego</w:t>
      </w:r>
      <w:r w:rsidR="006E687B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etap</w:t>
      </w:r>
      <w:r w:rsidR="009C323A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u</w:t>
      </w:r>
      <w:r w:rsidR="006E687B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917D4" w:rsidRPr="005413A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projektu.</w:t>
      </w:r>
      <w:r w:rsidR="00A917D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56D5161B" w14:textId="5F1777D5" w:rsidR="00772292" w:rsidRDefault="00AF53D9" w:rsidP="004D2E4F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 przyszłości </w:t>
      </w:r>
      <w:r w:rsidR="0077229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przewidziana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jest </w:t>
      </w:r>
      <w:r w:rsidR="008C4526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rozbudowa zakładu produkcyjnego o kolejne prawie 8 700 mkw. </w:t>
      </w:r>
      <w:r w:rsidR="006940E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 procesie negocjacji umowy z </w:t>
      </w:r>
      <w:r w:rsidR="006940E9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Titan</w:t>
      </w:r>
      <w:r w:rsidR="00A8361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X</w:t>
      </w:r>
      <w:r w:rsidR="006940E9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Engine Cooling</w:t>
      </w:r>
      <w:r w:rsidR="006940E9" w:rsidDel="006940E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940E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uczestniczyła firma doradcza CBRE.</w:t>
      </w:r>
    </w:p>
    <w:p w14:paraId="3649A079" w14:textId="12299EF2" w:rsidR="00266490" w:rsidRPr="00B052B2" w:rsidRDefault="008C4526" w:rsidP="004D2E4F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„Podpisane umowy najmu </w:t>
      </w:r>
      <w:r w:rsidR="00266490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z Titan</w:t>
      </w:r>
      <w:r w:rsidR="00A8361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X</w:t>
      </w:r>
      <w:r w:rsidR="00266490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Engine Cooling 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dotyczą łącznie </w:t>
      </w:r>
      <w:r w:rsidR="0046188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około 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26 930 mkw. powierzchni </w:t>
      </w:r>
      <w:r w:rsidR="00266490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w naszym opolskim parku przemysłowo-logistycznym. To dla CTP szczególnie ważny moment, bo pokazuje jak wraz z rozwojem naszych inwestycji rosną nasi klienci. Biznes potrzebuje odpowiedniej infrastruktury napędzającej wzrost</w:t>
      </w:r>
      <w:r w:rsidR="0093008A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 a Titan</w:t>
      </w:r>
      <w:r w:rsidR="00A8361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X</w:t>
      </w:r>
      <w:r w:rsidR="0093008A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Engine Cooling – jeden z pierwszych naszych najemców w Polsce – wykorzystał wszystkie atuty tej lokalizacji do dalszego </w:t>
      </w:r>
      <w:r w:rsidR="009C323A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rozwoju</w:t>
      </w:r>
      <w:r w:rsidR="0093008A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w obszarach realizowanych projektów biznesowych”, </w:t>
      </w:r>
      <w:r w:rsidR="000F090C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mówi</w:t>
      </w:r>
      <w:r w:rsidR="0093008A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B17AD" w:rsidRPr="008B17AD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Bogi Gabrovic, CFO w CTP Polska.</w:t>
      </w:r>
    </w:p>
    <w:p w14:paraId="28646E55" w14:textId="3667D73F" w:rsidR="00A0197E" w:rsidRPr="004D2E4F" w:rsidRDefault="008C4526" w:rsidP="004D2E4F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bookmarkStart w:id="3" w:name="_Hlk124233587"/>
      <w:r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Titan</w:t>
      </w:r>
      <w:r w:rsidR="00A83618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X</w:t>
      </w:r>
      <w:r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Engine Cooling </w:t>
      </w:r>
      <w:r w:rsidR="00D53440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od</w:t>
      </w:r>
      <w:r w:rsidR="008E115F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2018 roku wynajął 11 582 mkw. w CTPark Opole, tym samym stając się jednym z pierwszych </w:t>
      </w:r>
      <w:r w:rsidR="001D5915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najemców w portfelu CTP w Polsce. Od tego czasu firma systematycznie rozwija swoją działalność w parku usytuowanym w</w:t>
      </w:r>
      <w:r w:rsidR="001D5915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strategicznym punkcie, na terenie </w:t>
      </w:r>
      <w:r w:rsidR="00A4740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Wałbrzyskiej </w:t>
      </w:r>
      <w:r w:rsidR="001D5915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Specjalnej Strefy Ekonomicznej i pomiędzy dwiema ważnymi aglomeracjami – Katowicami i Wrocławiem. </w:t>
      </w:r>
      <w:r w:rsidR="00A0197E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6FE0AD1" w14:textId="12AFCE53" w:rsidR="000F090C" w:rsidRPr="004D2E4F" w:rsidRDefault="000F090C" w:rsidP="000F090C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„</w:t>
      </w:r>
      <w:r w:rsidRPr="00B62D2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Nasza ekspansja w Opolu stanowi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kolejny</w:t>
      </w:r>
      <w:r w:rsidRPr="00B62D2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kamień milowy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 procesie rozwoju </w:t>
      </w:r>
      <w:r w:rsidRPr="00B62D2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TitanX w Europie.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Z</w:t>
      </w:r>
      <w:r w:rsidRPr="00B62D2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powodzeniem </w:t>
      </w:r>
      <w:r w:rsidR="00D61E8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ulokowaliśmy się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w mieście</w:t>
      </w:r>
      <w:r w:rsidRPr="00B62D2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w 2018 roku i z niecierpliwością czekamy na rozszerzenie naszej działalności.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62D2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Opole jest centralnym punktem w Europie, pozwalającym skutecznie obsługiwać naszych regionalnych klientów, a województwo zapewnia wykwalifikowaną i zaangażowaną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kadrę</w:t>
      </w:r>
      <w:r w:rsidRPr="00B62D2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, która napędza </w:t>
      </w:r>
      <w:r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przyszłość TitanX. </w:t>
      </w:r>
      <w:r w:rsidR="000137BC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Nowy</w:t>
      </w:r>
      <w:r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zakład w Opolu będzie fundamentem naszej strategii umacniania pozycji lidera w dziedzinie </w:t>
      </w:r>
      <w:r w:rsidR="00D53440"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systemów chłodzenia silnika</w:t>
      </w:r>
      <w:r w:rsidRPr="00B052B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 przy jednoczesnym opracowywaniu innowacyjnych i konkurencyjnych rozwiązań, które przyspieszą działania na rzecz czy</w:t>
      </w:r>
      <w:r w:rsidRPr="00B62D2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stszego transportu w przyszłości.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62D2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Dzięki tej rozbudowie wchodzimy na drogę ku bardziej ekologicznemu transportowi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i</w:t>
      </w:r>
      <w:r w:rsidRPr="00B62D2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zrównoważonej przyszłości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”, tłumaczy </w:t>
      </w:r>
      <w:r w:rsidRPr="00B62D22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Cedric Huslin, Prezes Zarządu TitanX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094AB947" w14:textId="77777777" w:rsidR="00B052B2" w:rsidRDefault="006B1D1B" w:rsidP="004D2E4F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Gotowe do użytku i dopasowane do potrzeb rozwiązania w CTPark Opole mają sprostać </w:t>
      </w:r>
      <w:r w:rsidR="0099331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sprecyzowanym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wymaganiom najemc</w:t>
      </w:r>
      <w:r w:rsidR="0046188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ów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z różnych sektorów. W październiku 2022 roku </w:t>
      </w:r>
      <w:r w:rsidR="0046188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lokalizacja</w:t>
      </w:r>
      <w:r w:rsidR="00461887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została wybrana na polską siedzibę </w:t>
      </w:r>
      <w:r w:rsidR="00C92AE7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główną 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firmy ELSTEEL</w:t>
      </w:r>
      <w:r w:rsid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– 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jednego z czołowych dostawców obudów elektroinstalacyjnych niskiego napięcia. We wcześniej oddanych do użytkowania etapach projektu swoje operacje prowadzą </w:t>
      </w:r>
      <w:r w:rsidR="00C201D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już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między innymi Raben, UFI Filters czy International Automotive Components (IAC). </w:t>
      </w:r>
      <w:r w:rsidR="00CD19D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Rozwój dużych marek w ramach CTPark Opole przyczynia się do ożywienia gospodarczego miasta i całego regionu. </w:t>
      </w:r>
    </w:p>
    <w:p w14:paraId="0D551825" w14:textId="5D89C4AB" w:rsidR="006B1D1B" w:rsidRDefault="00430AFB" w:rsidP="004D2E4F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Zlokalizowany na obszarze miejskim </w:t>
      </w:r>
      <w:r w:rsidR="006B1D1B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park przemysłowo-logistyczny, </w:t>
      </w:r>
      <w:r w:rsidR="00C201D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składający się z czterech budynków, </w:t>
      </w:r>
      <w:r w:rsidR="006B1D1B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po zakończeniu </w:t>
      </w:r>
      <w:r w:rsidR="0046188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przewidzianych na dziś </w:t>
      </w:r>
      <w:r w:rsidR="006B1D1B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faz </w:t>
      </w:r>
      <w:r w:rsidR="00C201D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realizacji</w:t>
      </w:r>
      <w:r w:rsidR="006B1D1B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, będzie liczyć docelowo ponad 80 000 mkw. powierzchni najmu. </w:t>
      </w:r>
      <w:r w:rsidR="009C323A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Generalnym wykonawcą inwestycji jest firma Atlas Ward Polska. </w:t>
      </w:r>
    </w:p>
    <w:p w14:paraId="511A48C3" w14:textId="32DC0648" w:rsidR="009C323A" w:rsidRPr="004D2E4F" w:rsidRDefault="0048659B" w:rsidP="004D2E4F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lastRenderedPageBreak/>
        <w:t>„</w:t>
      </w:r>
      <w:r w:rsidRPr="0048659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Inwestor docenił nasze doświadczenie, partnerstwo w biznesie oraz kompleksowe doradztwo na każdym etapie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48659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procesu inwestycyjno-budowlanego. Realizowany przez nas obiekt dostosowany będzie do najwyższych wymogów logistyki i magazynowania, a inwestycja odpowie na dynamicznie rozwijające się potrzeby branży. Nowoczesne centrum logistyczne powstające w stolicy Opolszczyzny, to kolejny przykład naszej realizacji zgodnej z zasadami zrównoważonego budownictwa, w której wykorzystamy najnowocześniejsze technologie i rozwiązania budowlane</w:t>
      </w:r>
      <w:r w:rsidR="0005700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”, </w:t>
      </w:r>
      <w:r w:rsidRPr="0048659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wyjaśnia </w:t>
      </w:r>
      <w:r w:rsidRPr="00B975B1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Mariusz Górecki, Prezes Zarządu Atlas Ward Polska</w:t>
      </w:r>
      <w:r w:rsidRPr="0048659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69E6D4F3" w14:textId="1075E1DE" w:rsidR="000522EF" w:rsidRPr="004D2E4F" w:rsidRDefault="006B1D1B" w:rsidP="004D2E4F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Podobnie jak wszystkie nieruchomości należące do CTP, inwestycja w Opolu została zaprojektowana z myślą o najwyższym standardzie</w:t>
      </w:r>
      <w:r w:rsidR="004D2E4F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2090F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i efektywnym wykorzystywaniu energii, wody czy innych zasobów. </w:t>
      </w:r>
      <w:r w:rsidR="004D2E4F"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Celem dewelopera jest minimalizacja wpływu parku na środowisko, a także wsparcie klientów w realizacji założeń ESG – stąd też wszystkie budynki z portfela CTP poddawane są certyfikacji w systemie BREEAM oraz mają dachy przygotowane pod instalację systemów fotowoltaicznych, by zapewnić dostęp do odnawialnych źródeł energii. CTPark Opole 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dysponuje </w:t>
      </w:r>
      <w:r w:rsidR="00C201D1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także 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systemem BMS, a poprzez doświetlenie</w:t>
      </w:r>
      <w:r w:rsidR="0046188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światłem dziennym w strefie dokowej na poziomie 8</w:t>
      </w:r>
      <w:r w:rsidR="00DC23A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proc.</w:t>
      </w:r>
      <w:r w:rsidR="00E836F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</w:t>
      </w:r>
      <w:r w:rsidR="0046188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a w strefie produkcyjnej</w:t>
      </w:r>
      <w:r w:rsidR="00DC23A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– </w:t>
      </w:r>
      <w:r w:rsidR="00461887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12,5</w:t>
      </w:r>
      <w:r w:rsidR="00DC23A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proc.</w:t>
      </w:r>
      <w:r w:rsidRPr="004D2E4F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i wysoką izolacyjność zapewnia idealne warunki dla wydajnej produkcji i pracy stałej. </w:t>
      </w:r>
      <w:bookmarkEnd w:id="3"/>
    </w:p>
    <w:p w14:paraId="12D3D569" w14:textId="77777777" w:rsidR="000634FE" w:rsidRPr="00433919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433919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O CTP</w:t>
      </w:r>
    </w:p>
    <w:p w14:paraId="63AEE6DF" w14:textId="77777777" w:rsidR="000634FE" w:rsidRPr="00433919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47DBEF06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CTP jest największym w Europie kontynentalnej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pod względem powierzchni najmu brutto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właścicielem, deweloperem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oraz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zarządcą nieruchomości logistycznych i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 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przemysłowych notowanym na giełdzie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 Firma posiada w portfelu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ponad 9,5 mln mkw.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powierzchni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w dziesięciu krajach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 w tym w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Holandii, Niemczech, Austrii i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na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siedmiu rynkach Europy Środkowo-Wschodniej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(CEE)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takich, jak Czechy, Słowacja, Węgry, Serbia, Rumunia, Bułgaria i Polska. CTP jest jedynym inwestorem w regionie CEE posiadającym portfel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budynków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w całości certyfikowany w systemie BREEAM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 W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2021 roku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firma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osiągn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ęła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neutralność pod względem emisji dwutlenku węgla na poziomie operacyjnym, co podkreśla ambicje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CTP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obszarze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prowadzenia zrównoważonego biznesu.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</w:p>
    <w:p w14:paraId="5B6D963D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62992EE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Grupa CTP jest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także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największym właścicielem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-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deweloperem najwyższej jakości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powierzchni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przemysłowych i logistycznych w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regionie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Europ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y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Środkowo-Wschodniej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 zapewniającym swoim klientom kompleksowy pakiet usług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. Główny portfel Grupy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 CEE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obejmuje 6 mln mkw. nieruchomości klasy A w ponad 100 strategicznych lokalizacjach.</w:t>
      </w:r>
    </w:p>
    <w:p w14:paraId="53F67619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311D7B6B" w14:textId="77777777" w:rsidR="000634FE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Firma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CTP weszł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na polski rynek w 2021 roku. W 2022 nabyła 2,5 mln mkw. gruntów, które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gwarantują budowę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około 1,25 mln mkw. powierzchni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najmu brutto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 Łącznie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na koniec czerwca 2022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roku, polski bank ziemi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CTP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liczył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ponad 2,9 mln mkw.,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rozw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ój potencjału tych gruntów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firma zaplanowała na ok.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dw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a-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trz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y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lat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 działalności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. </w:t>
      </w:r>
    </w:p>
    <w:p w14:paraId="531485A5" w14:textId="77777777" w:rsidR="000634FE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5557F99C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Więcej informacji można znaleźć na stronie: </w:t>
      </w:r>
      <w:hyperlink r:id="rId8" w:history="1">
        <w:r w:rsidRPr="000D37AC">
          <w:rPr>
            <w:rStyle w:val="Hipercze"/>
            <w:rFonts w:ascii="Styrene A" w:hAnsi="Styrene A" w:cs="Arial"/>
            <w:sz w:val="20"/>
            <w:szCs w:val="20"/>
            <w:shd w:val="clear" w:color="auto" w:fill="FFFFFF"/>
            <w:lang w:val="pl-PL"/>
          </w:rPr>
          <w:t>https://www.ctp.eu/</w:t>
        </w:r>
      </w:hyperlink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</w:t>
      </w:r>
    </w:p>
    <w:p w14:paraId="2B0FBA61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56DD383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Kontakt dla mediów:</w:t>
      </w:r>
    </w:p>
    <w:p w14:paraId="31580BE0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9CC6E90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Przemysław Wardęga </w:t>
      </w:r>
    </w:p>
    <w:p w14:paraId="52BA4A27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Head of Marketing</w:t>
      </w:r>
    </w:p>
    <w:p w14:paraId="4FBB8AB7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CTP Invest Poland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s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p. z o. o</w:t>
      </w:r>
    </w:p>
    <w:p w14:paraId="68C5726F" w14:textId="77777777" w:rsidR="000634FE" w:rsidRPr="00C52F6F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C52F6F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E: przemyslaw.wardega@ctp.eu</w:t>
      </w:r>
    </w:p>
    <w:p w14:paraId="79C3F200" w14:textId="77777777" w:rsidR="000634FE" w:rsidRPr="00C52F6F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C52F6F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M: +48 734 108 586</w:t>
      </w:r>
    </w:p>
    <w:p w14:paraId="6D27D67E" w14:textId="77777777" w:rsidR="000634FE" w:rsidRPr="00C52F6F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</w:p>
    <w:p w14:paraId="2C5CA094" w14:textId="77777777" w:rsidR="000634FE" w:rsidRPr="00C52F6F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52F6F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</w:rPr>
        <w:t>Monika Sadowska</w:t>
      </w:r>
    </w:p>
    <w:p w14:paraId="78890A88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Senior Consultant</w:t>
      </w:r>
    </w:p>
    <w:p w14:paraId="3C65E929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Linkleaders</w:t>
      </w:r>
    </w:p>
    <w:p w14:paraId="2CAE9726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lastRenderedPageBreak/>
        <w:t>E: monika.sadowska@linkleaders.pl</w:t>
      </w:r>
    </w:p>
    <w:p w14:paraId="6782E95F" w14:textId="47281D88" w:rsidR="00E87099" w:rsidRPr="00EA6BC6" w:rsidRDefault="000634FE" w:rsidP="00EA6BC6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M: +48 502 243 620</w:t>
      </w:r>
      <w:bookmarkEnd w:id="0"/>
    </w:p>
    <w:sectPr w:rsidR="00E87099" w:rsidRPr="00EA6BC6" w:rsidSect="00574BD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AAD3" w14:textId="77777777" w:rsidR="00B864C9" w:rsidRDefault="00B864C9" w:rsidP="0042316E">
      <w:r>
        <w:separator/>
      </w:r>
    </w:p>
  </w:endnote>
  <w:endnote w:type="continuationSeparator" w:id="0">
    <w:p w14:paraId="08CFBF6E" w14:textId="77777777" w:rsidR="00B864C9" w:rsidRDefault="00B864C9" w:rsidP="004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rene A">
    <w:altName w:val="Calibri"/>
    <w:charset w:val="00"/>
    <w:family w:val="auto"/>
    <w:pitch w:val="variable"/>
    <w:sig w:usb0="A000002F" w:usb1="500004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F7E9" w14:textId="77777777" w:rsidR="00B864C9" w:rsidRDefault="00B864C9" w:rsidP="0042316E">
      <w:r>
        <w:separator/>
      </w:r>
    </w:p>
  </w:footnote>
  <w:footnote w:type="continuationSeparator" w:id="0">
    <w:p w14:paraId="13DB52C6" w14:textId="77777777" w:rsidR="00B864C9" w:rsidRDefault="00B864C9" w:rsidP="0042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2C69" w14:textId="6CB031BF" w:rsidR="0042316E" w:rsidRDefault="003E0BC4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7157FC" wp14:editId="4BF90554">
          <wp:simplePos x="0" y="0"/>
          <wp:positionH relativeFrom="page">
            <wp:posOffset>95250</wp:posOffset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" b="3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82A"/>
    <w:multiLevelType w:val="multilevel"/>
    <w:tmpl w:val="3E1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3305E3"/>
    <w:multiLevelType w:val="multilevel"/>
    <w:tmpl w:val="30A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5E4FC7"/>
    <w:multiLevelType w:val="hybridMultilevel"/>
    <w:tmpl w:val="A9DCE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1122F"/>
    <w:multiLevelType w:val="multilevel"/>
    <w:tmpl w:val="914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0690095">
    <w:abstractNumId w:val="1"/>
  </w:num>
  <w:num w:numId="2" w16cid:durableId="1865558708">
    <w:abstractNumId w:val="0"/>
  </w:num>
  <w:num w:numId="3" w16cid:durableId="2012097604">
    <w:abstractNumId w:val="3"/>
  </w:num>
  <w:num w:numId="4" w16cid:durableId="150077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9F"/>
    <w:rsid w:val="000007AA"/>
    <w:rsid w:val="00004C0C"/>
    <w:rsid w:val="00005C7B"/>
    <w:rsid w:val="00010B2A"/>
    <w:rsid w:val="000137BC"/>
    <w:rsid w:val="00017DFB"/>
    <w:rsid w:val="00042CF2"/>
    <w:rsid w:val="000522EF"/>
    <w:rsid w:val="0005234D"/>
    <w:rsid w:val="00054288"/>
    <w:rsid w:val="00057007"/>
    <w:rsid w:val="00060879"/>
    <w:rsid w:val="000634FE"/>
    <w:rsid w:val="00064B20"/>
    <w:rsid w:val="00070299"/>
    <w:rsid w:val="00070F29"/>
    <w:rsid w:val="000769C3"/>
    <w:rsid w:val="00080029"/>
    <w:rsid w:val="00080476"/>
    <w:rsid w:val="000853A9"/>
    <w:rsid w:val="000930D8"/>
    <w:rsid w:val="00097E94"/>
    <w:rsid w:val="000B5F82"/>
    <w:rsid w:val="000B79A4"/>
    <w:rsid w:val="000C257A"/>
    <w:rsid w:val="000D028A"/>
    <w:rsid w:val="000D3CE2"/>
    <w:rsid w:val="000D5D1B"/>
    <w:rsid w:val="000F03F7"/>
    <w:rsid w:val="000F07FE"/>
    <w:rsid w:val="000F090C"/>
    <w:rsid w:val="000F2512"/>
    <w:rsid w:val="000F7D51"/>
    <w:rsid w:val="00100028"/>
    <w:rsid w:val="0010081A"/>
    <w:rsid w:val="00106DC8"/>
    <w:rsid w:val="0011497B"/>
    <w:rsid w:val="00115DDB"/>
    <w:rsid w:val="0012028E"/>
    <w:rsid w:val="00140B0F"/>
    <w:rsid w:val="00141689"/>
    <w:rsid w:val="0016359F"/>
    <w:rsid w:val="00164CAD"/>
    <w:rsid w:val="0016703C"/>
    <w:rsid w:val="00170874"/>
    <w:rsid w:val="00171134"/>
    <w:rsid w:val="001748BA"/>
    <w:rsid w:val="001806BF"/>
    <w:rsid w:val="00185566"/>
    <w:rsid w:val="0019752B"/>
    <w:rsid w:val="001A4C7A"/>
    <w:rsid w:val="001B4404"/>
    <w:rsid w:val="001B4B20"/>
    <w:rsid w:val="001C57C7"/>
    <w:rsid w:val="001D5915"/>
    <w:rsid w:val="001D6F5D"/>
    <w:rsid w:val="001D788A"/>
    <w:rsid w:val="001E495E"/>
    <w:rsid w:val="001E66CB"/>
    <w:rsid w:val="001F4219"/>
    <w:rsid w:val="002023F3"/>
    <w:rsid w:val="00217563"/>
    <w:rsid w:val="00221326"/>
    <w:rsid w:val="00223561"/>
    <w:rsid w:val="00227C4E"/>
    <w:rsid w:val="0026277D"/>
    <w:rsid w:val="00266490"/>
    <w:rsid w:val="002670F9"/>
    <w:rsid w:val="002725BE"/>
    <w:rsid w:val="00272E18"/>
    <w:rsid w:val="00283E5A"/>
    <w:rsid w:val="0028705A"/>
    <w:rsid w:val="0029176D"/>
    <w:rsid w:val="002A418A"/>
    <w:rsid w:val="002B209F"/>
    <w:rsid w:val="002B4CA0"/>
    <w:rsid w:val="002C25D4"/>
    <w:rsid w:val="002C6210"/>
    <w:rsid w:val="002D6A8F"/>
    <w:rsid w:val="002E39CB"/>
    <w:rsid w:val="002E4EF2"/>
    <w:rsid w:val="003064EC"/>
    <w:rsid w:val="0032662A"/>
    <w:rsid w:val="00345520"/>
    <w:rsid w:val="0035447F"/>
    <w:rsid w:val="00363E86"/>
    <w:rsid w:val="00366599"/>
    <w:rsid w:val="00375680"/>
    <w:rsid w:val="00377202"/>
    <w:rsid w:val="003B01C4"/>
    <w:rsid w:val="003B2000"/>
    <w:rsid w:val="003B6212"/>
    <w:rsid w:val="003D2B6D"/>
    <w:rsid w:val="003D3F8B"/>
    <w:rsid w:val="003D657C"/>
    <w:rsid w:val="003E0BC4"/>
    <w:rsid w:val="003E2CAB"/>
    <w:rsid w:val="003E514A"/>
    <w:rsid w:val="003F10CF"/>
    <w:rsid w:val="00405FE9"/>
    <w:rsid w:val="00407C13"/>
    <w:rsid w:val="00421F00"/>
    <w:rsid w:val="0042316E"/>
    <w:rsid w:val="00427D6E"/>
    <w:rsid w:val="0043082A"/>
    <w:rsid w:val="00430AFB"/>
    <w:rsid w:val="00433919"/>
    <w:rsid w:val="00434071"/>
    <w:rsid w:val="00444217"/>
    <w:rsid w:val="0044604D"/>
    <w:rsid w:val="0045133C"/>
    <w:rsid w:val="004519E1"/>
    <w:rsid w:val="004564B4"/>
    <w:rsid w:val="00456840"/>
    <w:rsid w:val="00461887"/>
    <w:rsid w:val="00462C4F"/>
    <w:rsid w:val="00466E26"/>
    <w:rsid w:val="00467C3A"/>
    <w:rsid w:val="00476232"/>
    <w:rsid w:val="00481505"/>
    <w:rsid w:val="00482AC5"/>
    <w:rsid w:val="0048659B"/>
    <w:rsid w:val="00494581"/>
    <w:rsid w:val="004961BC"/>
    <w:rsid w:val="004976FB"/>
    <w:rsid w:val="004A3CCF"/>
    <w:rsid w:val="004A7101"/>
    <w:rsid w:val="004B4623"/>
    <w:rsid w:val="004B5B13"/>
    <w:rsid w:val="004C58C3"/>
    <w:rsid w:val="004C5BFB"/>
    <w:rsid w:val="004D0971"/>
    <w:rsid w:val="004D2E4F"/>
    <w:rsid w:val="004E09F7"/>
    <w:rsid w:val="004E6503"/>
    <w:rsid w:val="004F5DF9"/>
    <w:rsid w:val="005026BE"/>
    <w:rsid w:val="005027FC"/>
    <w:rsid w:val="005033F0"/>
    <w:rsid w:val="005171BC"/>
    <w:rsid w:val="00517EA6"/>
    <w:rsid w:val="0052090F"/>
    <w:rsid w:val="00525EA0"/>
    <w:rsid w:val="005413A7"/>
    <w:rsid w:val="00545D70"/>
    <w:rsid w:val="00552A3D"/>
    <w:rsid w:val="005557F4"/>
    <w:rsid w:val="00560967"/>
    <w:rsid w:val="00573AA2"/>
    <w:rsid w:val="00574BD0"/>
    <w:rsid w:val="00574C97"/>
    <w:rsid w:val="005935EA"/>
    <w:rsid w:val="005A1C9C"/>
    <w:rsid w:val="005A23BF"/>
    <w:rsid w:val="005B6948"/>
    <w:rsid w:val="005C01AE"/>
    <w:rsid w:val="005C7636"/>
    <w:rsid w:val="005D5CA4"/>
    <w:rsid w:val="005E17A6"/>
    <w:rsid w:val="005E5CE3"/>
    <w:rsid w:val="005F38C4"/>
    <w:rsid w:val="005F3E8D"/>
    <w:rsid w:val="005F589B"/>
    <w:rsid w:val="00605430"/>
    <w:rsid w:val="00615337"/>
    <w:rsid w:val="0061577A"/>
    <w:rsid w:val="0061781E"/>
    <w:rsid w:val="0063653A"/>
    <w:rsid w:val="00637720"/>
    <w:rsid w:val="00647F96"/>
    <w:rsid w:val="00650AA6"/>
    <w:rsid w:val="006548C1"/>
    <w:rsid w:val="00662FC4"/>
    <w:rsid w:val="006634F3"/>
    <w:rsid w:val="006940E9"/>
    <w:rsid w:val="006B1D1B"/>
    <w:rsid w:val="006B41FE"/>
    <w:rsid w:val="006C7368"/>
    <w:rsid w:val="006D13EE"/>
    <w:rsid w:val="006D38F8"/>
    <w:rsid w:val="006D6130"/>
    <w:rsid w:val="006E5483"/>
    <w:rsid w:val="006E687B"/>
    <w:rsid w:val="006F511F"/>
    <w:rsid w:val="00701D9C"/>
    <w:rsid w:val="00702884"/>
    <w:rsid w:val="00706E25"/>
    <w:rsid w:val="007142F7"/>
    <w:rsid w:val="00716D9F"/>
    <w:rsid w:val="00722342"/>
    <w:rsid w:val="00725502"/>
    <w:rsid w:val="0073642E"/>
    <w:rsid w:val="00736F90"/>
    <w:rsid w:val="00747C6B"/>
    <w:rsid w:val="00753F5D"/>
    <w:rsid w:val="00754A97"/>
    <w:rsid w:val="0076076F"/>
    <w:rsid w:val="00761BA4"/>
    <w:rsid w:val="00762824"/>
    <w:rsid w:val="00765B42"/>
    <w:rsid w:val="0077023E"/>
    <w:rsid w:val="00772292"/>
    <w:rsid w:val="0077451D"/>
    <w:rsid w:val="00776482"/>
    <w:rsid w:val="0078517A"/>
    <w:rsid w:val="007973F1"/>
    <w:rsid w:val="007A7E1B"/>
    <w:rsid w:val="007B0856"/>
    <w:rsid w:val="007B4FB1"/>
    <w:rsid w:val="007C2080"/>
    <w:rsid w:val="007D1DE0"/>
    <w:rsid w:val="007E0D1E"/>
    <w:rsid w:val="007E4C30"/>
    <w:rsid w:val="007E696A"/>
    <w:rsid w:val="007E6B4D"/>
    <w:rsid w:val="007F18DF"/>
    <w:rsid w:val="007F5FB7"/>
    <w:rsid w:val="00814C48"/>
    <w:rsid w:val="0083019E"/>
    <w:rsid w:val="008340BF"/>
    <w:rsid w:val="00843A85"/>
    <w:rsid w:val="008474A6"/>
    <w:rsid w:val="00865EC5"/>
    <w:rsid w:val="0086654B"/>
    <w:rsid w:val="00880CF5"/>
    <w:rsid w:val="0088576B"/>
    <w:rsid w:val="00893C5E"/>
    <w:rsid w:val="008944B2"/>
    <w:rsid w:val="00897764"/>
    <w:rsid w:val="008A21EA"/>
    <w:rsid w:val="008B09E4"/>
    <w:rsid w:val="008B17AD"/>
    <w:rsid w:val="008B6D23"/>
    <w:rsid w:val="008C39FB"/>
    <w:rsid w:val="008C4526"/>
    <w:rsid w:val="008E115F"/>
    <w:rsid w:val="008F20D1"/>
    <w:rsid w:val="009148E1"/>
    <w:rsid w:val="0093008A"/>
    <w:rsid w:val="00962801"/>
    <w:rsid w:val="00966580"/>
    <w:rsid w:val="00971E3F"/>
    <w:rsid w:val="0097431F"/>
    <w:rsid w:val="00977DCE"/>
    <w:rsid w:val="00990127"/>
    <w:rsid w:val="00992E8D"/>
    <w:rsid w:val="00993316"/>
    <w:rsid w:val="009A5EAE"/>
    <w:rsid w:val="009B2916"/>
    <w:rsid w:val="009B33D7"/>
    <w:rsid w:val="009C323A"/>
    <w:rsid w:val="009D2A2D"/>
    <w:rsid w:val="009E1529"/>
    <w:rsid w:val="009E5AF2"/>
    <w:rsid w:val="009F0B24"/>
    <w:rsid w:val="009F2397"/>
    <w:rsid w:val="00A0197E"/>
    <w:rsid w:val="00A05EC8"/>
    <w:rsid w:val="00A12ACF"/>
    <w:rsid w:val="00A14608"/>
    <w:rsid w:val="00A156AD"/>
    <w:rsid w:val="00A16896"/>
    <w:rsid w:val="00A16C25"/>
    <w:rsid w:val="00A22908"/>
    <w:rsid w:val="00A231D2"/>
    <w:rsid w:val="00A31CBA"/>
    <w:rsid w:val="00A35291"/>
    <w:rsid w:val="00A47406"/>
    <w:rsid w:val="00A4768A"/>
    <w:rsid w:val="00A51B76"/>
    <w:rsid w:val="00A73DE8"/>
    <w:rsid w:val="00A75A99"/>
    <w:rsid w:val="00A76DC7"/>
    <w:rsid w:val="00A80444"/>
    <w:rsid w:val="00A83618"/>
    <w:rsid w:val="00A917D4"/>
    <w:rsid w:val="00A9417B"/>
    <w:rsid w:val="00A9602E"/>
    <w:rsid w:val="00AB0495"/>
    <w:rsid w:val="00AD4B40"/>
    <w:rsid w:val="00AE3911"/>
    <w:rsid w:val="00AE68B4"/>
    <w:rsid w:val="00AF53D9"/>
    <w:rsid w:val="00AF6A29"/>
    <w:rsid w:val="00B00F8D"/>
    <w:rsid w:val="00B052B2"/>
    <w:rsid w:val="00B20443"/>
    <w:rsid w:val="00B22DE2"/>
    <w:rsid w:val="00B23AF1"/>
    <w:rsid w:val="00B27FE2"/>
    <w:rsid w:val="00B456F5"/>
    <w:rsid w:val="00B532A3"/>
    <w:rsid w:val="00B54BA8"/>
    <w:rsid w:val="00B62D22"/>
    <w:rsid w:val="00B71651"/>
    <w:rsid w:val="00B75F91"/>
    <w:rsid w:val="00B864C9"/>
    <w:rsid w:val="00B9546D"/>
    <w:rsid w:val="00B961C3"/>
    <w:rsid w:val="00B96277"/>
    <w:rsid w:val="00B975B1"/>
    <w:rsid w:val="00BA5537"/>
    <w:rsid w:val="00BB192F"/>
    <w:rsid w:val="00BC07E9"/>
    <w:rsid w:val="00BC2A47"/>
    <w:rsid w:val="00BD0105"/>
    <w:rsid w:val="00BD0FF1"/>
    <w:rsid w:val="00BD3BEF"/>
    <w:rsid w:val="00BF3787"/>
    <w:rsid w:val="00BF7C87"/>
    <w:rsid w:val="00C007FC"/>
    <w:rsid w:val="00C01E1D"/>
    <w:rsid w:val="00C065C4"/>
    <w:rsid w:val="00C067AE"/>
    <w:rsid w:val="00C16C84"/>
    <w:rsid w:val="00C201D1"/>
    <w:rsid w:val="00C232B7"/>
    <w:rsid w:val="00C25FD3"/>
    <w:rsid w:val="00C322DC"/>
    <w:rsid w:val="00C34904"/>
    <w:rsid w:val="00C36297"/>
    <w:rsid w:val="00C43D29"/>
    <w:rsid w:val="00C52D49"/>
    <w:rsid w:val="00C57609"/>
    <w:rsid w:val="00C601A4"/>
    <w:rsid w:val="00C71820"/>
    <w:rsid w:val="00C87275"/>
    <w:rsid w:val="00C92AE7"/>
    <w:rsid w:val="00C92B28"/>
    <w:rsid w:val="00CA20EF"/>
    <w:rsid w:val="00CA6BD3"/>
    <w:rsid w:val="00CB25AF"/>
    <w:rsid w:val="00CC1AF5"/>
    <w:rsid w:val="00CC27DF"/>
    <w:rsid w:val="00CC6C66"/>
    <w:rsid w:val="00CD19DC"/>
    <w:rsid w:val="00CE067A"/>
    <w:rsid w:val="00CE305C"/>
    <w:rsid w:val="00CE466E"/>
    <w:rsid w:val="00CF460D"/>
    <w:rsid w:val="00D01E26"/>
    <w:rsid w:val="00D02BEE"/>
    <w:rsid w:val="00D05BEC"/>
    <w:rsid w:val="00D07245"/>
    <w:rsid w:val="00D10AC6"/>
    <w:rsid w:val="00D279FD"/>
    <w:rsid w:val="00D36375"/>
    <w:rsid w:val="00D41546"/>
    <w:rsid w:val="00D426E6"/>
    <w:rsid w:val="00D50A00"/>
    <w:rsid w:val="00D52995"/>
    <w:rsid w:val="00D53440"/>
    <w:rsid w:val="00D54AC6"/>
    <w:rsid w:val="00D56AE0"/>
    <w:rsid w:val="00D5729A"/>
    <w:rsid w:val="00D6104B"/>
    <w:rsid w:val="00D61E87"/>
    <w:rsid w:val="00D65419"/>
    <w:rsid w:val="00D742D7"/>
    <w:rsid w:val="00D76C61"/>
    <w:rsid w:val="00D77248"/>
    <w:rsid w:val="00D927DA"/>
    <w:rsid w:val="00D973E5"/>
    <w:rsid w:val="00D97F10"/>
    <w:rsid w:val="00DA16E9"/>
    <w:rsid w:val="00DB0C4B"/>
    <w:rsid w:val="00DB2D54"/>
    <w:rsid w:val="00DC23A3"/>
    <w:rsid w:val="00DC3664"/>
    <w:rsid w:val="00DD459B"/>
    <w:rsid w:val="00DE2FC1"/>
    <w:rsid w:val="00DE351E"/>
    <w:rsid w:val="00DE3664"/>
    <w:rsid w:val="00DF028C"/>
    <w:rsid w:val="00DF11F3"/>
    <w:rsid w:val="00DF7232"/>
    <w:rsid w:val="00E16177"/>
    <w:rsid w:val="00E27CB7"/>
    <w:rsid w:val="00E33917"/>
    <w:rsid w:val="00E40600"/>
    <w:rsid w:val="00E44CBF"/>
    <w:rsid w:val="00E47FBE"/>
    <w:rsid w:val="00E52A26"/>
    <w:rsid w:val="00E530D0"/>
    <w:rsid w:val="00E6379C"/>
    <w:rsid w:val="00E653DE"/>
    <w:rsid w:val="00E7338E"/>
    <w:rsid w:val="00E836FF"/>
    <w:rsid w:val="00E845E5"/>
    <w:rsid w:val="00E87099"/>
    <w:rsid w:val="00EA6BC6"/>
    <w:rsid w:val="00EA7B3D"/>
    <w:rsid w:val="00EB5DC6"/>
    <w:rsid w:val="00EB66CF"/>
    <w:rsid w:val="00EC1DA9"/>
    <w:rsid w:val="00ED74A8"/>
    <w:rsid w:val="00ED7C0C"/>
    <w:rsid w:val="00EE23DE"/>
    <w:rsid w:val="00F230FD"/>
    <w:rsid w:val="00F24095"/>
    <w:rsid w:val="00F35471"/>
    <w:rsid w:val="00F50769"/>
    <w:rsid w:val="00F554A8"/>
    <w:rsid w:val="00F560CF"/>
    <w:rsid w:val="00F5739D"/>
    <w:rsid w:val="00F578F7"/>
    <w:rsid w:val="00F600EA"/>
    <w:rsid w:val="00F60461"/>
    <w:rsid w:val="00F62727"/>
    <w:rsid w:val="00F63156"/>
    <w:rsid w:val="00F65525"/>
    <w:rsid w:val="00F747A5"/>
    <w:rsid w:val="00F83306"/>
    <w:rsid w:val="00F86A6E"/>
    <w:rsid w:val="00F912CE"/>
    <w:rsid w:val="00F960A6"/>
    <w:rsid w:val="00FA0FF0"/>
    <w:rsid w:val="00FD21D3"/>
    <w:rsid w:val="00FD7BCA"/>
    <w:rsid w:val="00FE0902"/>
    <w:rsid w:val="00FE799E"/>
    <w:rsid w:val="00FF349F"/>
    <w:rsid w:val="00FF44E3"/>
    <w:rsid w:val="00FF5007"/>
    <w:rsid w:val="00FF57D3"/>
    <w:rsid w:val="00FF6516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B55C"/>
  <w15:chartTrackingRefBased/>
  <w15:docId w15:val="{85BB91DC-3A51-3143-8920-33BFED9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6818054952375267062msolistparagraph">
    <w:name w:val="gmail-m_6818054952375267062msolistparagraph"/>
    <w:basedOn w:val="Normalny"/>
    <w:rsid w:val="002B2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6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16E"/>
  </w:style>
  <w:style w:type="paragraph" w:styleId="Stopka">
    <w:name w:val="footer"/>
    <w:basedOn w:val="Normalny"/>
    <w:link w:val="Stopka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16E"/>
  </w:style>
  <w:style w:type="character" w:styleId="Hipercze">
    <w:name w:val="Hyperlink"/>
    <w:basedOn w:val="Domylnaczcionkaakapitu"/>
    <w:uiPriority w:val="99"/>
    <w:unhideWhenUsed/>
    <w:rsid w:val="008857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7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63E86"/>
    <w:pPr>
      <w:widowControl w:val="0"/>
      <w:autoSpaceDE w:val="0"/>
      <w:autoSpaceDN w:val="0"/>
    </w:pPr>
    <w:rPr>
      <w:rFonts w:ascii="Calibri" w:eastAsia="Calibri" w:hAnsi="Calibri" w:cs="Calibri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86"/>
    <w:rPr>
      <w:rFonts w:ascii="Calibri" w:eastAsia="Calibri" w:hAnsi="Calibri" w:cs="Calibri"/>
      <w:sz w:val="15"/>
      <w:szCs w:val="15"/>
    </w:rPr>
  </w:style>
  <w:style w:type="paragraph" w:styleId="Poprawka">
    <w:name w:val="Revision"/>
    <w:hidden/>
    <w:uiPriority w:val="99"/>
    <w:semiHidden/>
    <w:rsid w:val="0097431F"/>
  </w:style>
  <w:style w:type="paragraph" w:styleId="Akapitzlist">
    <w:name w:val="List Paragraph"/>
    <w:basedOn w:val="Normalny"/>
    <w:uiPriority w:val="34"/>
    <w:qFormat/>
    <w:rsid w:val="002C6210"/>
    <w:pPr>
      <w:ind w:left="720"/>
      <w:contextualSpacing/>
    </w:pPr>
  </w:style>
  <w:style w:type="paragraph" w:customStyle="1" w:styleId="bn">
    <w:name w:val="bn"/>
    <w:basedOn w:val="Normalny"/>
    <w:rsid w:val="002E39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ntry-lead">
    <w:name w:val="entry-lead"/>
    <w:basedOn w:val="Normalny"/>
    <w:rsid w:val="00DC36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p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9020-7FD7-49D9-9AEC-AF561A40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Serafim</dc:creator>
  <cp:keywords>, docId:219DB44CE48D430836ECBD804A642076</cp:keywords>
  <dc:description/>
  <cp:lastModifiedBy>Monika Sadowska</cp:lastModifiedBy>
  <cp:revision>8</cp:revision>
  <cp:lastPrinted>2022-11-04T10:54:00Z</cp:lastPrinted>
  <dcterms:created xsi:type="dcterms:W3CDTF">2023-02-28T15:07:00Z</dcterms:created>
  <dcterms:modified xsi:type="dcterms:W3CDTF">2023-03-07T08:17:00Z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63c282dd03b3c21159b4a86ad1cc96cb927bdc9ff9a4db30f866cd812d8f9984</vt:lpwstr>
  </property>
</Properties>
</file>