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5F83" w14:textId="77777777" w:rsidR="00A312BC" w:rsidRDefault="00D83298">
      <w:pPr>
        <w:pStyle w:val="Normalny1"/>
        <w:spacing w:after="0" w:line="276" w:lineRule="auto"/>
        <w:rPr>
          <w:rFonts w:ascii="Times New Roman" w:hAnsi="Times New Roman"/>
          <w:b/>
          <w:bCs/>
          <w:sz w:val="32"/>
          <w:szCs w:val="32"/>
        </w:rPr>
        <w:sectPr w:rsidR="00A312B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440E4030" wp14:editId="71C14940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7EC617AD" w14:textId="77777777" w:rsidR="00A312BC" w:rsidRDefault="00A312BC">
      <w:pPr>
        <w:pStyle w:val="Normalny1"/>
        <w:spacing w:after="0" w:line="276" w:lineRule="auto"/>
        <w:rPr>
          <w:b/>
          <w:bCs/>
          <w:sz w:val="32"/>
          <w:szCs w:val="32"/>
        </w:rPr>
      </w:pPr>
    </w:p>
    <w:p w14:paraId="1087480E" w14:textId="77777777" w:rsidR="00A312BC" w:rsidRPr="00F557F6" w:rsidRDefault="00D83298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F557F6">
        <w:rPr>
          <w:sz w:val="24"/>
          <w:szCs w:val="24"/>
          <w:lang w:val="pl-PL"/>
        </w:rPr>
        <w:t>Kontakt dla mediów:</w:t>
      </w:r>
    </w:p>
    <w:p w14:paraId="30E3EC78" w14:textId="0D8BFDD1" w:rsidR="00A312BC" w:rsidRPr="00F557F6" w:rsidRDefault="00D83298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F557F6">
        <w:rPr>
          <w:sz w:val="24"/>
          <w:szCs w:val="24"/>
          <w:lang w:val="pl-PL"/>
        </w:rPr>
        <w:t>Luiza Nowicka, PARP</w:t>
      </w:r>
      <w:r w:rsidR="00C34047">
        <w:rPr>
          <w:sz w:val="24"/>
          <w:szCs w:val="24"/>
          <w:lang w:val="pl-PL"/>
        </w:rPr>
        <w:t xml:space="preserve">                                                    </w:t>
      </w:r>
      <w:r w:rsidR="00A65E82">
        <w:rPr>
          <w:sz w:val="24"/>
          <w:szCs w:val="24"/>
          <w:lang w:val="pl-PL"/>
        </w:rPr>
        <w:tab/>
      </w:r>
      <w:r w:rsidR="00A65E82">
        <w:rPr>
          <w:sz w:val="24"/>
          <w:szCs w:val="24"/>
          <w:lang w:val="pl-PL"/>
        </w:rPr>
        <w:tab/>
      </w:r>
      <w:r w:rsidR="00A65E82">
        <w:rPr>
          <w:sz w:val="24"/>
          <w:szCs w:val="24"/>
          <w:lang w:val="pl-PL"/>
        </w:rPr>
        <w:tab/>
      </w:r>
      <w:r w:rsidR="00A65E82">
        <w:rPr>
          <w:sz w:val="24"/>
          <w:szCs w:val="24"/>
          <w:lang w:val="pl-PL"/>
        </w:rPr>
        <w:tab/>
      </w:r>
      <w:r w:rsidRPr="00F557F6">
        <w:rPr>
          <w:sz w:val="24"/>
          <w:szCs w:val="24"/>
          <w:lang w:val="pl-PL"/>
        </w:rPr>
        <w:t>Informacja prasowa</w:t>
      </w:r>
    </w:p>
    <w:p w14:paraId="32F397F4" w14:textId="411E80EF" w:rsidR="00A312BC" w:rsidRPr="00F557F6" w:rsidRDefault="00D83298">
      <w:pPr>
        <w:pStyle w:val="Normalny1"/>
        <w:spacing w:after="0" w:line="276" w:lineRule="auto"/>
        <w:rPr>
          <w:rStyle w:val="Hyperlink0"/>
          <w:lang w:val="pl-PL"/>
        </w:rPr>
      </w:pPr>
      <w:r w:rsidRPr="00F557F6">
        <w:rPr>
          <w:sz w:val="24"/>
          <w:szCs w:val="24"/>
          <w:lang w:val="pl-PL"/>
        </w:rPr>
        <w:t xml:space="preserve">e-mail: </w:t>
      </w:r>
      <w:hyperlink r:id="rId12" w:history="1">
        <w:r w:rsidRPr="00F557F6">
          <w:rPr>
            <w:rStyle w:val="Hyperlink0"/>
            <w:lang w:val="pl-PL"/>
          </w:rPr>
          <w:t>luiza_nowicka@parp.gov.pl</w:t>
        </w:r>
      </w:hyperlink>
      <w:r w:rsidR="00C34047">
        <w:rPr>
          <w:rStyle w:val="Hyperlink0"/>
          <w:lang w:val="pl-PL"/>
        </w:rPr>
        <w:t xml:space="preserve">                                   </w:t>
      </w:r>
      <w:r w:rsidR="00A65E82">
        <w:rPr>
          <w:rStyle w:val="Hyperlink0"/>
          <w:lang w:val="pl-PL"/>
        </w:rPr>
        <w:tab/>
      </w:r>
      <w:r w:rsidR="00A65E82">
        <w:rPr>
          <w:rStyle w:val="Hyperlink0"/>
          <w:lang w:val="pl-PL"/>
        </w:rPr>
        <w:tab/>
      </w:r>
      <w:r w:rsidR="00A65E82">
        <w:rPr>
          <w:rStyle w:val="Hyperlink0"/>
          <w:lang w:val="pl-PL"/>
        </w:rPr>
        <w:tab/>
      </w:r>
      <w:r w:rsidRPr="00F557F6">
        <w:rPr>
          <w:rStyle w:val="Hyperlink0"/>
          <w:lang w:val="pl-PL"/>
        </w:rPr>
        <w:t>Warszawa, 1</w:t>
      </w:r>
      <w:r w:rsidR="00F557F6">
        <w:rPr>
          <w:rStyle w:val="Hyperlink0"/>
          <w:lang w:val="pl-PL"/>
        </w:rPr>
        <w:t>6</w:t>
      </w:r>
      <w:r w:rsidRPr="00F557F6">
        <w:rPr>
          <w:rStyle w:val="Hyperlink0"/>
          <w:lang w:val="pl-PL"/>
        </w:rPr>
        <w:t>.03.2023 r.</w:t>
      </w:r>
    </w:p>
    <w:p w14:paraId="461935BF" w14:textId="77777777" w:rsidR="00A312BC" w:rsidRPr="00F557F6" w:rsidRDefault="00D83298">
      <w:pPr>
        <w:pStyle w:val="Normalny1"/>
        <w:spacing w:after="0" w:line="276" w:lineRule="auto"/>
        <w:rPr>
          <w:rStyle w:val="Brak"/>
          <w:lang w:val="pl-PL"/>
        </w:rPr>
      </w:pPr>
      <w:r w:rsidRPr="00F557F6">
        <w:rPr>
          <w:rStyle w:val="Hyperlink0"/>
          <w:lang w:val="pl-PL"/>
        </w:rPr>
        <w:t>tel.: 880 524 959</w:t>
      </w:r>
    </w:p>
    <w:p w14:paraId="502FAC83" w14:textId="77777777" w:rsidR="00A312BC" w:rsidRPr="00F557F6" w:rsidRDefault="00A312BC">
      <w:pPr>
        <w:pStyle w:val="Normalny1"/>
        <w:spacing w:after="0" w:line="276" w:lineRule="auto"/>
        <w:rPr>
          <w:rStyle w:val="Brak"/>
          <w:sz w:val="24"/>
          <w:szCs w:val="24"/>
          <w:lang w:val="pl-PL"/>
        </w:rPr>
      </w:pPr>
    </w:p>
    <w:p w14:paraId="4FFA0C68" w14:textId="77777777" w:rsidR="00A312BC" w:rsidRPr="00F557F6" w:rsidRDefault="00D83298" w:rsidP="00980052">
      <w:pPr>
        <w:pStyle w:val="Nagwek1"/>
        <w:rPr>
          <w:rStyle w:val="Brak"/>
          <w:lang w:val="pl-PL"/>
        </w:rPr>
      </w:pPr>
      <w:r w:rsidRPr="00F557F6">
        <w:rPr>
          <w:rStyle w:val="Brak"/>
          <w:lang w:val="pl-PL"/>
        </w:rPr>
        <w:t xml:space="preserve">Nieunikniona technologia </w:t>
      </w:r>
      <w:proofErr w:type="spellStart"/>
      <w:r w:rsidRPr="00F557F6">
        <w:rPr>
          <w:rStyle w:val="Brak"/>
          <w:lang w:val="pl-PL"/>
        </w:rPr>
        <w:t>blockchain</w:t>
      </w:r>
      <w:proofErr w:type="spellEnd"/>
      <w:r w:rsidRPr="00F557F6">
        <w:rPr>
          <w:rStyle w:val="Brak"/>
          <w:lang w:val="pl-PL"/>
        </w:rPr>
        <w:t>. Dowiedz się, jak odmieni Twój biznes</w:t>
      </w:r>
    </w:p>
    <w:p w14:paraId="46BAE46C" w14:textId="256975CA" w:rsidR="00A312BC" w:rsidRPr="00F557F6" w:rsidRDefault="00D83298" w:rsidP="00980052">
      <w:pPr>
        <w:pStyle w:val="Normalny1"/>
        <w:spacing w:before="120" w:after="120" w:line="276" w:lineRule="auto"/>
        <w:rPr>
          <w:rStyle w:val="Hyperlink0"/>
          <w:lang w:val="pl-PL"/>
        </w:rPr>
      </w:pPr>
      <w:r w:rsidRPr="00F557F6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Technologia </w:t>
      </w:r>
      <w:proofErr w:type="spellStart"/>
      <w:r w:rsidRPr="00F557F6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blockchain</w:t>
      </w:r>
      <w:proofErr w:type="spellEnd"/>
      <w:r w:rsidRPr="00F557F6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to termin, o którym od kilku lat jest coraz głośniej. Zagadkowa nazwa i definicja wciąż pozostają niejasne dla wielu z nas. Tymczasem </w:t>
      </w:r>
      <w:proofErr w:type="spellStart"/>
      <w:r w:rsidRPr="00F557F6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blockchain</w:t>
      </w:r>
      <w:proofErr w:type="spellEnd"/>
      <w:r w:rsidRPr="00F557F6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już teraz </w:t>
      </w:r>
      <w:r w:rsidR="005B230B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modyfikuje</w:t>
      </w:r>
      <w:r w:rsidR="00B43CC9" w:rsidRPr="00F557F6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Pr="00F557F6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sposób, w jaki funkcjonują poszczególne biznesy, </w:t>
      </w:r>
      <w:r w:rsidR="005B230B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również</w:t>
      </w:r>
      <w:r w:rsidR="005B230B" w:rsidRPr="00F557F6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Pr="00F557F6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w Polsce. Należy spodziewać się, że jego rosnąca popularność przyniesie zmiany także dla szerszego grona przedsiębiorców</w:t>
      </w:r>
      <w:r w:rsidRPr="00F557F6">
        <w:rPr>
          <w:rStyle w:val="Brak"/>
          <w:sz w:val="24"/>
          <w:szCs w:val="24"/>
          <w:lang w:val="pl-PL"/>
        </w:rPr>
        <w:t xml:space="preserve"> </w:t>
      </w:r>
      <w:r w:rsidRPr="00F557F6">
        <w:rPr>
          <w:rStyle w:val="Brak"/>
          <w:b/>
          <w:bCs/>
          <w:sz w:val="24"/>
          <w:szCs w:val="24"/>
          <w:lang w:val="pl-PL"/>
        </w:rPr>
        <w:t>–</w:t>
      </w:r>
      <w:r w:rsidRPr="00F557F6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i to w niedalekiej przyszłości. Na czym polega i jakie zastosowania ma ta przełomowa technologia?</w:t>
      </w:r>
    </w:p>
    <w:p w14:paraId="0AD9D9A1" w14:textId="45266023" w:rsidR="00A312BC" w:rsidRDefault="00D83298" w:rsidP="0098005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Technologia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, zwana też „łańcuchem bloków”, to w najprostszym tłumaczeniu rozproszona, internetowa baza danych. Definicja ta, choć jest dobrym punktem wyjścia, nie wyczerpuje zagadnienia.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 działa</w:t>
      </w:r>
      <w:r w:rsidR="005B230B">
        <w:rPr>
          <w:rStyle w:val="Brak"/>
          <w:rFonts w:ascii="Calibri" w:hAnsi="Calibri"/>
        </w:rPr>
        <w:t xml:space="preserve"> na bazie</w:t>
      </w:r>
      <w:r>
        <w:rPr>
          <w:rStyle w:val="Brak"/>
          <w:rFonts w:ascii="Calibri" w:hAnsi="Calibri"/>
        </w:rPr>
        <w:t xml:space="preserve"> sieci </w:t>
      </w:r>
      <w:proofErr w:type="spellStart"/>
      <w:r w:rsidRPr="00980052">
        <w:rPr>
          <w:rStyle w:val="Brak"/>
          <w:rFonts w:ascii="Calibri" w:hAnsi="Calibri"/>
          <w:i/>
        </w:rPr>
        <w:t>peer</w:t>
      </w:r>
      <w:proofErr w:type="spellEnd"/>
      <w:r w:rsidRPr="00980052">
        <w:rPr>
          <w:rStyle w:val="Brak"/>
          <w:rFonts w:ascii="Calibri" w:hAnsi="Calibri"/>
          <w:i/>
        </w:rPr>
        <w:t>-to-</w:t>
      </w:r>
      <w:proofErr w:type="spellStart"/>
      <w:r w:rsidRPr="00980052">
        <w:rPr>
          <w:rStyle w:val="Brak"/>
          <w:rFonts w:ascii="Calibri" w:hAnsi="Calibri"/>
          <w:i/>
        </w:rPr>
        <w:t>peer</w:t>
      </w:r>
      <w:proofErr w:type="spellEnd"/>
      <w:r>
        <w:rPr>
          <w:rStyle w:val="Brak"/>
          <w:rFonts w:ascii="Calibri" w:hAnsi="Calibri"/>
        </w:rPr>
        <w:t>, co oznacza, że dane nie znajdują się na jednym centralnym serwerze, a podzielone są na wiele różnych serwerów (komputerów). Razem stanowią logiczną całość. Rozproszona baza pozwala na lepsze przetwarzanie zgromadzonych danych, uznawana jest także za bezpieczn</w:t>
      </w:r>
      <w:r w:rsidR="005B230B">
        <w:rPr>
          <w:rStyle w:val="Brak"/>
          <w:rFonts w:ascii="Calibri" w:hAnsi="Calibri"/>
        </w:rPr>
        <w:t>iejszą</w:t>
      </w:r>
      <w:r>
        <w:rPr>
          <w:rStyle w:val="Brak"/>
          <w:rFonts w:ascii="Calibri" w:hAnsi="Calibri"/>
        </w:rPr>
        <w:t xml:space="preserve"> od tej scentralizowanej.</w:t>
      </w:r>
    </w:p>
    <w:p w14:paraId="627EB985" w14:textId="0A933AA1" w:rsidR="00A312BC" w:rsidRDefault="00D83298" w:rsidP="0098005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Jednak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 to nie tylko rozproszona baza danych. Czym są wspomniane bloki tworzące łańcuch? To nic innego jak forma zapisu tych danych, zwanych także rekordami. W </w:t>
      </w:r>
      <w:proofErr w:type="spellStart"/>
      <w:r>
        <w:rPr>
          <w:rStyle w:val="Brak"/>
          <w:rFonts w:ascii="Calibri" w:hAnsi="Calibri"/>
        </w:rPr>
        <w:t>skr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cie</w:t>
      </w:r>
      <w:proofErr w:type="spellEnd"/>
      <w:r>
        <w:rPr>
          <w:rStyle w:val="Brak"/>
          <w:rFonts w:ascii="Calibri" w:hAnsi="Calibri"/>
        </w:rPr>
        <w:t xml:space="preserve"> polega ona na tym, że wszystkie dane oraz ich modyfikacje zapisywane są w taki </w:t>
      </w:r>
      <w:proofErr w:type="spellStart"/>
      <w:r>
        <w:rPr>
          <w:rStyle w:val="Brak"/>
          <w:rFonts w:ascii="Calibri" w:hAnsi="Calibri"/>
        </w:rPr>
        <w:t>spos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b, że są dodawane do poprzedniego zapisu (bloku). Tym samym w </w:t>
      </w:r>
      <w:proofErr w:type="spellStart"/>
      <w:r>
        <w:rPr>
          <w:rStyle w:val="Brak"/>
          <w:rFonts w:ascii="Calibri" w:hAnsi="Calibri"/>
        </w:rPr>
        <w:t>blockchain</w:t>
      </w:r>
      <w:r w:rsidR="00C34047">
        <w:rPr>
          <w:rStyle w:val="Brak"/>
          <w:rFonts w:ascii="Calibri" w:hAnsi="Calibri"/>
        </w:rPr>
        <w:t>ie</w:t>
      </w:r>
      <w:proofErr w:type="spellEnd"/>
      <w:r w:rsidR="00327B00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nawet kiedy jakieś dane zostaną usunięte, nie są bezpowrotnie tracone, a w kodzie zostaje po nich ślad. Formowane zmiany tworzą jednokierunkowy łańcuch, a każda zmiana odnosi się do poprzedniego zapisu. Obrazując mechanizm działania tej technologii w prosty </w:t>
      </w:r>
      <w:proofErr w:type="spellStart"/>
      <w:r>
        <w:rPr>
          <w:rStyle w:val="Brak"/>
          <w:rFonts w:ascii="Calibri" w:hAnsi="Calibri"/>
        </w:rPr>
        <w:t>spos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  <w:lang w:val="fr-FR"/>
        </w:rPr>
        <w:t>b, blockchain</w:t>
      </w:r>
      <w:r w:rsidR="005B230B">
        <w:rPr>
          <w:rStyle w:val="Brak"/>
          <w:rFonts w:ascii="Calibri" w:hAnsi="Calibri"/>
          <w:lang w:val="fr-FR"/>
        </w:rPr>
        <w:t xml:space="preserve"> można</w:t>
      </w:r>
      <w:r>
        <w:rPr>
          <w:rStyle w:val="Brak"/>
          <w:rFonts w:ascii="Calibri" w:hAnsi="Calibri"/>
          <w:lang w:val="fr-FR"/>
        </w:rPr>
        <w:t xml:space="preserve"> por</w:t>
      </w:r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wnać</w:t>
      </w:r>
      <w:proofErr w:type="spellEnd"/>
      <w:r>
        <w:rPr>
          <w:rStyle w:val="Brak"/>
          <w:rFonts w:ascii="Calibri" w:hAnsi="Calibri"/>
        </w:rPr>
        <w:t xml:space="preserve"> w pewnym stopniu do tworzenia dokumentu w trybie śledzenia zmian, gdzie zawsze można podejrzeć</w:t>
      </w:r>
      <w:r w:rsidR="005B230B">
        <w:rPr>
          <w:rStyle w:val="Brak"/>
          <w:rFonts w:ascii="Calibri" w:hAnsi="Calibri"/>
        </w:rPr>
        <w:t>,</w:t>
      </w:r>
      <w:r w:rsidR="00980052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 xml:space="preserve">kto, kiedy i jakie </w:t>
      </w:r>
      <w:r w:rsidR="005B230B">
        <w:rPr>
          <w:rStyle w:val="Brak"/>
          <w:rFonts w:ascii="Calibri" w:hAnsi="Calibri"/>
        </w:rPr>
        <w:t xml:space="preserve">modyfikacje </w:t>
      </w:r>
      <w:r>
        <w:rPr>
          <w:rStyle w:val="Brak"/>
          <w:rFonts w:ascii="Calibri" w:hAnsi="Calibri"/>
        </w:rPr>
        <w:t>wprowadził.</w:t>
      </w:r>
    </w:p>
    <w:p w14:paraId="32A020D3" w14:textId="77777777" w:rsidR="00A312BC" w:rsidRPr="00F557F6" w:rsidRDefault="00D83298" w:rsidP="00980052">
      <w:pPr>
        <w:pStyle w:val="Nagwek2"/>
        <w:rPr>
          <w:rStyle w:val="Brak"/>
          <w:lang w:val="pl-PL"/>
        </w:rPr>
      </w:pPr>
      <w:r w:rsidRPr="00F557F6">
        <w:rPr>
          <w:rStyle w:val="Brak"/>
          <w:lang w:val="pl-PL"/>
        </w:rPr>
        <w:t xml:space="preserve">Technologia </w:t>
      </w:r>
      <w:proofErr w:type="spellStart"/>
      <w:r w:rsidRPr="00F557F6">
        <w:rPr>
          <w:rStyle w:val="Brak"/>
          <w:lang w:val="pl-PL"/>
        </w:rPr>
        <w:t>blockchain</w:t>
      </w:r>
      <w:proofErr w:type="spellEnd"/>
      <w:r w:rsidRPr="00F557F6">
        <w:rPr>
          <w:rStyle w:val="Brak"/>
          <w:lang w:val="pl-PL"/>
        </w:rPr>
        <w:t xml:space="preserve"> w praktyce</w:t>
      </w:r>
    </w:p>
    <w:p w14:paraId="4417FBA5" w14:textId="585AE004" w:rsidR="00A312BC" w:rsidRDefault="00D83298" w:rsidP="0098005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Zaszyfrowane dane</w:t>
      </w:r>
      <w:r w:rsidR="00980052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przechowywane w technologii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 w:rsidR="00980052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pozwalają na identyfikację </w:t>
      </w:r>
      <w:proofErr w:type="spellStart"/>
      <w:r>
        <w:rPr>
          <w:rStyle w:val="Brak"/>
          <w:rFonts w:ascii="Calibri" w:hAnsi="Calibri"/>
        </w:rPr>
        <w:t>nadawców</w:t>
      </w:r>
      <w:proofErr w:type="spellEnd"/>
      <w:r>
        <w:rPr>
          <w:rStyle w:val="Brak"/>
          <w:rFonts w:ascii="Calibri" w:hAnsi="Calibri"/>
        </w:rPr>
        <w:t xml:space="preserve"> i </w:t>
      </w:r>
      <w:proofErr w:type="spellStart"/>
      <w:r>
        <w:rPr>
          <w:rStyle w:val="Brak"/>
          <w:rFonts w:ascii="Calibri" w:hAnsi="Calibri"/>
        </w:rPr>
        <w:t>odbiorców</w:t>
      </w:r>
      <w:proofErr w:type="spellEnd"/>
      <w:r>
        <w:rPr>
          <w:rStyle w:val="Brak"/>
          <w:rFonts w:ascii="Calibri" w:hAnsi="Calibri"/>
        </w:rPr>
        <w:t xml:space="preserve">, </w:t>
      </w:r>
      <w:r w:rsidR="00CA027E">
        <w:rPr>
          <w:rStyle w:val="Brak"/>
          <w:rFonts w:ascii="Calibri" w:hAnsi="Calibri"/>
        </w:rPr>
        <w:t xml:space="preserve">a </w:t>
      </w:r>
      <w:r>
        <w:rPr>
          <w:rStyle w:val="Brak"/>
          <w:rFonts w:ascii="Calibri" w:hAnsi="Calibri"/>
        </w:rPr>
        <w:t xml:space="preserve">jednocześnie </w:t>
      </w:r>
      <w:proofErr w:type="spellStart"/>
      <w:r w:rsidR="00CA027E" w:rsidRPr="00CA027E">
        <w:rPr>
          <w:rFonts w:ascii="Calibri" w:hAnsi="Calibri"/>
          <w:lang w:val="en-US"/>
        </w:rPr>
        <w:t>zapewniają</w:t>
      </w:r>
      <w:proofErr w:type="spellEnd"/>
      <w:r w:rsidR="00CA027E" w:rsidRPr="00CA027E">
        <w:rPr>
          <w:rFonts w:ascii="Calibri" w:hAnsi="Calibri"/>
          <w:lang w:val="en-US"/>
        </w:rPr>
        <w:t xml:space="preserve"> </w:t>
      </w:r>
      <w:r>
        <w:rPr>
          <w:rStyle w:val="Brak"/>
          <w:rFonts w:ascii="Calibri" w:hAnsi="Calibri"/>
        </w:rPr>
        <w:t xml:space="preserve">anonimowość użytkowników sieci. Baza danych oparta </w:t>
      </w:r>
      <w:r w:rsidR="00CA027E">
        <w:rPr>
          <w:rStyle w:val="Brak"/>
          <w:rFonts w:ascii="Calibri" w:hAnsi="Calibri"/>
        </w:rPr>
        <w:t>na tym</w:t>
      </w:r>
      <w:r>
        <w:rPr>
          <w:rStyle w:val="Brak"/>
          <w:rFonts w:ascii="Calibri" w:hAnsi="Calibri"/>
        </w:rPr>
        <w:t xml:space="preserve"> rozwiązani</w:t>
      </w:r>
      <w:r w:rsidR="00CA027E">
        <w:rPr>
          <w:rStyle w:val="Brak"/>
          <w:rFonts w:ascii="Calibri" w:hAnsi="Calibri"/>
        </w:rPr>
        <w:t>u</w:t>
      </w:r>
      <w:r>
        <w:rPr>
          <w:rStyle w:val="Brak"/>
          <w:rFonts w:ascii="Calibri" w:hAnsi="Calibri"/>
        </w:rPr>
        <w:t xml:space="preserve"> jest także niezależna i działa bez kontroli </w:t>
      </w:r>
      <w:r w:rsidR="00F557F6">
        <w:rPr>
          <w:rStyle w:val="Brak"/>
          <w:rFonts w:ascii="Calibri" w:hAnsi="Calibri"/>
        </w:rPr>
        <w:t>pośrednika</w:t>
      </w:r>
      <w:r>
        <w:rPr>
          <w:rStyle w:val="Brak"/>
          <w:rFonts w:ascii="Calibri" w:hAnsi="Calibri"/>
        </w:rPr>
        <w:t>, któr</w:t>
      </w:r>
      <w:r w:rsidR="00F557F6">
        <w:rPr>
          <w:rStyle w:val="Brak"/>
          <w:rFonts w:ascii="Calibri" w:hAnsi="Calibri"/>
        </w:rPr>
        <w:t>y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lastRenderedPageBreak/>
        <w:t xml:space="preserve">dotychczas w tradycyjnych bazach danych musiał weryfikować np. realizowane przez </w:t>
      </w:r>
      <w:proofErr w:type="spellStart"/>
      <w:r>
        <w:rPr>
          <w:rStyle w:val="Brak"/>
          <w:rFonts w:ascii="Calibri" w:hAnsi="Calibri"/>
        </w:rPr>
        <w:t>internet</w:t>
      </w:r>
      <w:proofErr w:type="spellEnd"/>
      <w:r>
        <w:rPr>
          <w:rStyle w:val="Brak"/>
          <w:rFonts w:ascii="Calibri" w:hAnsi="Calibri"/>
        </w:rPr>
        <w:t xml:space="preserve"> transakcje lub kontrahentów. Baza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 jest także efektywn</w:t>
      </w:r>
      <w:r w:rsidR="00CA027E">
        <w:rPr>
          <w:rStyle w:val="Brak"/>
          <w:rFonts w:ascii="Calibri" w:hAnsi="Calibri"/>
        </w:rPr>
        <w:t>iejsza</w:t>
      </w:r>
      <w:r>
        <w:rPr>
          <w:rStyle w:val="Brak"/>
          <w:rFonts w:ascii="Calibri" w:hAnsi="Calibri"/>
        </w:rPr>
        <w:t xml:space="preserve"> w swoim działaniu i umożliwia sprawne przetwarzanie danych.</w:t>
      </w:r>
    </w:p>
    <w:p w14:paraId="671DBD3C" w14:textId="1515AA6E" w:rsidR="00A312BC" w:rsidRDefault="00D83298" w:rsidP="0098005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Wszystkie te czynniki sprawiają, że łańcuchy bloków świetnie sprawdzają się w branży </w:t>
      </w:r>
      <w:proofErr w:type="spellStart"/>
      <w:r>
        <w:rPr>
          <w:rStyle w:val="Brak"/>
          <w:rFonts w:ascii="Calibri" w:hAnsi="Calibri"/>
        </w:rPr>
        <w:t>fintech</w:t>
      </w:r>
      <w:proofErr w:type="spellEnd"/>
      <w:r>
        <w:rPr>
          <w:rStyle w:val="Brak"/>
          <w:rFonts w:ascii="Calibri" w:hAnsi="Calibri"/>
        </w:rPr>
        <w:t xml:space="preserve"> oraz w sektorze finansowym. W tym miejscu</w:t>
      </w:r>
      <w:r w:rsidR="00980052">
        <w:rPr>
          <w:rStyle w:val="Brak"/>
          <w:rFonts w:ascii="Calibri" w:hAnsi="Calibri"/>
        </w:rPr>
        <w:t xml:space="preserve"> – </w:t>
      </w:r>
      <w:r>
        <w:rPr>
          <w:rStyle w:val="Brak"/>
          <w:rFonts w:ascii="Calibri" w:hAnsi="Calibri"/>
        </w:rPr>
        <w:t xml:space="preserve">w związku z hasłem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 w:rsidR="00980052">
        <w:rPr>
          <w:rStyle w:val="Brak"/>
          <w:rFonts w:ascii="Calibri" w:hAnsi="Calibri"/>
        </w:rPr>
        <w:t xml:space="preserve"> – </w:t>
      </w:r>
      <w:r>
        <w:rPr>
          <w:rStyle w:val="Brak"/>
          <w:rFonts w:ascii="Calibri" w:hAnsi="Calibri"/>
        </w:rPr>
        <w:t xml:space="preserve">słusznie mogą pojawić się skojarzenia z </w:t>
      </w:r>
      <w:proofErr w:type="spellStart"/>
      <w:r>
        <w:rPr>
          <w:rStyle w:val="Brak"/>
          <w:rFonts w:ascii="Calibri" w:hAnsi="Calibri"/>
        </w:rPr>
        <w:t>kryptowalutami</w:t>
      </w:r>
      <w:proofErr w:type="spellEnd"/>
      <w:r>
        <w:rPr>
          <w:rStyle w:val="Brak"/>
          <w:rFonts w:ascii="Calibri" w:hAnsi="Calibri"/>
        </w:rPr>
        <w:t xml:space="preserve"> takimi jak </w:t>
      </w:r>
      <w:proofErr w:type="spellStart"/>
      <w:r>
        <w:rPr>
          <w:rStyle w:val="Brak"/>
          <w:rFonts w:ascii="Calibri" w:hAnsi="Calibri"/>
        </w:rPr>
        <w:t>bitcoin</w:t>
      </w:r>
      <w:proofErr w:type="spellEnd"/>
      <w:r>
        <w:rPr>
          <w:rStyle w:val="Brak"/>
          <w:rFonts w:ascii="Calibri" w:hAnsi="Calibri"/>
        </w:rPr>
        <w:t xml:space="preserve"> czy </w:t>
      </w:r>
      <w:proofErr w:type="spellStart"/>
      <w:r>
        <w:rPr>
          <w:rStyle w:val="Brak"/>
          <w:rFonts w:ascii="Calibri" w:hAnsi="Calibri"/>
        </w:rPr>
        <w:t>ethereum</w:t>
      </w:r>
      <w:proofErr w:type="spellEnd"/>
      <w:r>
        <w:rPr>
          <w:rStyle w:val="Brak"/>
          <w:rFonts w:ascii="Calibri" w:hAnsi="Calibri"/>
        </w:rPr>
        <w:t xml:space="preserve"> – one także opierają się </w:t>
      </w:r>
      <w:r w:rsidR="00CA027E">
        <w:rPr>
          <w:rStyle w:val="Brak"/>
          <w:rFonts w:ascii="Calibri" w:hAnsi="Calibri"/>
        </w:rPr>
        <w:t>na</w:t>
      </w:r>
      <w:r>
        <w:rPr>
          <w:rStyle w:val="Brak"/>
          <w:rFonts w:ascii="Calibri" w:hAnsi="Calibri"/>
        </w:rPr>
        <w:t xml:space="preserve"> technologi</w:t>
      </w:r>
      <w:r w:rsidR="00CA027E">
        <w:rPr>
          <w:rStyle w:val="Brak"/>
          <w:rFonts w:ascii="Calibri" w:hAnsi="Calibri"/>
        </w:rPr>
        <w:t>i</w:t>
      </w:r>
      <w:r>
        <w:rPr>
          <w:rStyle w:val="Brak"/>
          <w:rFonts w:ascii="Calibri" w:hAnsi="Calibri"/>
        </w:rPr>
        <w:t xml:space="preserve"> łańcucha bloków. Nie należy jednak </w:t>
      </w:r>
      <w:r w:rsidR="00980052">
        <w:rPr>
          <w:rStyle w:val="Brak"/>
          <w:rFonts w:ascii="Calibri" w:hAnsi="Calibri"/>
        </w:rPr>
        <w:t>dystansow</w:t>
      </w:r>
      <w:r w:rsidR="00327B00">
        <w:rPr>
          <w:rStyle w:val="Brak"/>
          <w:rFonts w:ascii="Calibri" w:hAnsi="Calibri"/>
        </w:rPr>
        <w:t>a</w:t>
      </w:r>
      <w:r w:rsidR="00980052">
        <w:rPr>
          <w:rStyle w:val="Brak"/>
          <w:rFonts w:ascii="Calibri" w:hAnsi="Calibri"/>
        </w:rPr>
        <w:t>ć się od tej technologii ze wskazanego powyżej powodu. W</w:t>
      </w:r>
      <w:r>
        <w:rPr>
          <w:rStyle w:val="Brak"/>
          <w:rFonts w:ascii="Calibri" w:hAnsi="Calibri"/>
        </w:rPr>
        <w:t>ydaje się ona przyszłością całej branży bankowej. Potencjał</w:t>
      </w:r>
      <w:r w:rsidR="00CA027E">
        <w:rPr>
          <w:rStyle w:val="Brak"/>
          <w:rFonts w:ascii="Calibri" w:hAnsi="Calibri"/>
        </w:rPr>
        <w:t xml:space="preserve"> technologii</w:t>
      </w:r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 na zrewolucjonizowanie </w:t>
      </w:r>
      <w:proofErr w:type="spellStart"/>
      <w:r>
        <w:rPr>
          <w:rStyle w:val="Brak"/>
          <w:rFonts w:ascii="Calibri" w:hAnsi="Calibri"/>
        </w:rPr>
        <w:t>współczesnej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bankowości</w:t>
      </w:r>
      <w:proofErr w:type="spellEnd"/>
      <w:r>
        <w:rPr>
          <w:rStyle w:val="Brak"/>
          <w:rFonts w:ascii="Calibri" w:hAnsi="Calibri"/>
        </w:rPr>
        <w:t xml:space="preserve"> wynika z </w:t>
      </w:r>
      <w:proofErr w:type="spellStart"/>
      <w:r>
        <w:rPr>
          <w:rStyle w:val="Brak"/>
          <w:rFonts w:ascii="Calibri" w:hAnsi="Calibri"/>
        </w:rPr>
        <w:t>dwóch</w:t>
      </w:r>
      <w:proofErr w:type="spellEnd"/>
      <w:r>
        <w:rPr>
          <w:rStyle w:val="Brak"/>
          <w:rFonts w:ascii="Calibri" w:hAnsi="Calibri"/>
        </w:rPr>
        <w:t xml:space="preserve"> podstawowych </w:t>
      </w:r>
      <w:proofErr w:type="spellStart"/>
      <w:r>
        <w:rPr>
          <w:rStyle w:val="Brak"/>
          <w:rFonts w:ascii="Calibri" w:hAnsi="Calibri"/>
        </w:rPr>
        <w:t>czynników</w:t>
      </w:r>
      <w:proofErr w:type="spellEnd"/>
      <w:r>
        <w:rPr>
          <w:rStyle w:val="Brak"/>
          <w:rFonts w:ascii="Calibri" w:hAnsi="Calibri"/>
        </w:rPr>
        <w:t xml:space="preserve">: po pierwsze z powstającej w niej historii zapisu danych, a po drugie ze </w:t>
      </w:r>
      <w:proofErr w:type="spellStart"/>
      <w:r>
        <w:rPr>
          <w:rStyle w:val="Brak"/>
          <w:rFonts w:ascii="Calibri" w:hAnsi="Calibri"/>
        </w:rPr>
        <w:t>wzrastającego</w:t>
      </w:r>
      <w:proofErr w:type="spellEnd"/>
      <w:r>
        <w:rPr>
          <w:rStyle w:val="Brak"/>
          <w:rFonts w:ascii="Calibri" w:hAnsi="Calibri"/>
        </w:rPr>
        <w:t xml:space="preserve"> popytu na </w:t>
      </w:r>
      <w:proofErr w:type="spellStart"/>
      <w:r>
        <w:rPr>
          <w:rStyle w:val="Brak"/>
          <w:rFonts w:ascii="Calibri" w:hAnsi="Calibri"/>
        </w:rPr>
        <w:t>infrastrukture</w:t>
      </w:r>
      <w:proofErr w:type="spellEnd"/>
      <w:r>
        <w:rPr>
          <w:rStyle w:val="Brak"/>
          <w:rFonts w:ascii="Calibri" w:hAnsi="Calibri"/>
        </w:rPr>
        <w:t>̨</w:t>
      </w:r>
      <w:r w:rsidR="00980052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umożliwiająca</w:t>
      </w:r>
      <w:proofErr w:type="spellEnd"/>
      <w:r>
        <w:rPr>
          <w:rStyle w:val="Brak"/>
          <w:rFonts w:ascii="Calibri" w:hAnsi="Calibri"/>
        </w:rPr>
        <w:t xml:space="preserve">̨ swobodny przepływ kapitału </w:t>
      </w:r>
      <w:proofErr w:type="spellStart"/>
      <w:r>
        <w:rPr>
          <w:rStyle w:val="Brak"/>
          <w:rFonts w:ascii="Calibri" w:hAnsi="Calibri"/>
        </w:rPr>
        <w:t>pomiędzy</w:t>
      </w:r>
      <w:proofErr w:type="spellEnd"/>
      <w:r>
        <w:rPr>
          <w:rStyle w:val="Brak"/>
          <w:rFonts w:ascii="Calibri" w:hAnsi="Calibri"/>
        </w:rPr>
        <w:t xml:space="preserve"> instytucjami </w:t>
      </w:r>
      <w:proofErr w:type="spellStart"/>
      <w:r>
        <w:rPr>
          <w:rStyle w:val="Brak"/>
          <w:rFonts w:ascii="Calibri" w:hAnsi="Calibri"/>
        </w:rPr>
        <w:t>międzynarodowych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rynków</w:t>
      </w:r>
      <w:proofErr w:type="spellEnd"/>
      <w:r>
        <w:rPr>
          <w:rStyle w:val="Brak"/>
          <w:rFonts w:ascii="Calibri" w:hAnsi="Calibri"/>
        </w:rPr>
        <w:t xml:space="preserve"> finansowych. Technologia ta </w:t>
      </w:r>
      <w:proofErr w:type="spellStart"/>
      <w:r>
        <w:rPr>
          <w:rStyle w:val="Brak"/>
          <w:rFonts w:ascii="Calibri" w:hAnsi="Calibri"/>
        </w:rPr>
        <w:t>obniża</w:t>
      </w:r>
      <w:proofErr w:type="spellEnd"/>
      <w:r>
        <w:rPr>
          <w:rStyle w:val="Brak"/>
          <w:rFonts w:ascii="Calibri" w:hAnsi="Calibri"/>
        </w:rPr>
        <w:t xml:space="preserve"> koszty i </w:t>
      </w:r>
      <w:proofErr w:type="spellStart"/>
      <w:r>
        <w:rPr>
          <w:rStyle w:val="Brak"/>
          <w:rFonts w:ascii="Calibri" w:hAnsi="Calibri"/>
        </w:rPr>
        <w:t>zwiększa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bezpieczeństwo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międzynarodowych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transferów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pieniężnych</w:t>
      </w:r>
      <w:proofErr w:type="spellEnd"/>
      <w:r>
        <w:rPr>
          <w:rStyle w:val="Brak"/>
          <w:rFonts w:ascii="Calibri" w:hAnsi="Calibri"/>
        </w:rPr>
        <w:t xml:space="preserve"> czy też innych </w:t>
      </w:r>
      <w:proofErr w:type="spellStart"/>
      <w:r>
        <w:rPr>
          <w:rStyle w:val="Brak"/>
          <w:rFonts w:ascii="Calibri" w:hAnsi="Calibri"/>
        </w:rPr>
        <w:t>produktów</w:t>
      </w:r>
      <w:proofErr w:type="spellEnd"/>
      <w:r>
        <w:rPr>
          <w:rStyle w:val="Brak"/>
          <w:rFonts w:ascii="Calibri" w:hAnsi="Calibri"/>
        </w:rPr>
        <w:t xml:space="preserve"> bankowych.</w:t>
      </w:r>
    </w:p>
    <w:p w14:paraId="7AF18DE5" w14:textId="7B37E8F7" w:rsidR="00A312BC" w:rsidRDefault="00D83298" w:rsidP="0098005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Na dziedzinie finansów zastosowanie </w:t>
      </w:r>
      <w:proofErr w:type="spellStart"/>
      <w:r>
        <w:rPr>
          <w:rStyle w:val="Brak"/>
          <w:rFonts w:ascii="Calibri" w:hAnsi="Calibri"/>
        </w:rPr>
        <w:t>blockchain</w:t>
      </w:r>
      <w:r w:rsidR="00C34047">
        <w:rPr>
          <w:rStyle w:val="Brak"/>
          <w:rFonts w:ascii="Calibri" w:hAnsi="Calibri"/>
        </w:rPr>
        <w:t>a</w:t>
      </w:r>
      <w:proofErr w:type="spellEnd"/>
      <w:r w:rsidR="00C34047">
        <w:rPr>
          <w:rStyle w:val="Brak"/>
          <w:rFonts w:ascii="Calibri" w:hAnsi="Calibri"/>
        </w:rPr>
        <w:t xml:space="preserve"> się</w:t>
      </w:r>
      <w:r>
        <w:rPr>
          <w:rStyle w:val="Brak"/>
          <w:rFonts w:ascii="Calibri" w:hAnsi="Calibri"/>
        </w:rPr>
        <w:t xml:space="preserve"> nie kończy. Horyzonty technologii są szerokie, a możliwości jej wykorzystania – na tę chwilę – wręcz nieograniczone.</w:t>
      </w:r>
    </w:p>
    <w:p w14:paraId="1FDD8800" w14:textId="0A1CA21A" w:rsidR="00A312BC" w:rsidRDefault="00D83298" w:rsidP="0098005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Jedną z istotnych cech łańcucha bloków jest to, że </w:t>
      </w:r>
      <w:r w:rsidR="007C0051">
        <w:rPr>
          <w:rStyle w:val="Brak"/>
          <w:rFonts w:ascii="Calibri" w:hAnsi="Calibri"/>
        </w:rPr>
        <w:t xml:space="preserve">omija udział </w:t>
      </w:r>
      <w:proofErr w:type="spellStart"/>
      <w:r>
        <w:rPr>
          <w:rStyle w:val="Brak"/>
          <w:rFonts w:ascii="Calibri" w:hAnsi="Calibri"/>
        </w:rPr>
        <w:t>pośredników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łącząc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bezpośrednio</w:t>
      </w:r>
      <w:proofErr w:type="spellEnd"/>
      <w:r>
        <w:rPr>
          <w:rStyle w:val="Brak"/>
          <w:rFonts w:ascii="Calibri" w:hAnsi="Calibri"/>
        </w:rPr>
        <w:t xml:space="preserve"> strony transakcji. Technologię tę </w:t>
      </w:r>
      <w:proofErr w:type="spellStart"/>
      <w:r>
        <w:rPr>
          <w:rStyle w:val="Brak"/>
          <w:rFonts w:ascii="Calibri" w:hAnsi="Calibri"/>
        </w:rPr>
        <w:t>zaczęto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wykorzystywac</w:t>
      </w:r>
      <w:proofErr w:type="spellEnd"/>
      <w:r>
        <w:rPr>
          <w:rStyle w:val="Brak"/>
          <w:rFonts w:ascii="Calibri" w:hAnsi="Calibri"/>
        </w:rPr>
        <w:t xml:space="preserve">́ także do zawierania </w:t>
      </w:r>
      <w:proofErr w:type="spellStart"/>
      <w:r>
        <w:rPr>
          <w:rStyle w:val="Brak"/>
          <w:rFonts w:ascii="Calibri" w:hAnsi="Calibri"/>
        </w:rPr>
        <w:t>umów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które</w:t>
      </w:r>
      <w:proofErr w:type="spellEnd"/>
      <w:r>
        <w:rPr>
          <w:rStyle w:val="Brak"/>
          <w:rFonts w:ascii="Calibri" w:hAnsi="Calibri"/>
        </w:rPr>
        <w:t xml:space="preserve"> nie wymagałyby ingerencji lub potwierdzenia przez </w:t>
      </w:r>
      <w:r w:rsidR="004F5F8A">
        <w:rPr>
          <w:rStyle w:val="Brak"/>
          <w:rFonts w:ascii="Calibri" w:hAnsi="Calibri"/>
        </w:rPr>
        <w:t>żadną</w:t>
      </w:r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strone</w:t>
      </w:r>
      <w:proofErr w:type="spellEnd"/>
      <w:r>
        <w:rPr>
          <w:rStyle w:val="Brak"/>
          <w:rFonts w:ascii="Calibri" w:hAnsi="Calibri"/>
        </w:rPr>
        <w:t xml:space="preserve">̨, ale </w:t>
      </w:r>
      <w:proofErr w:type="spellStart"/>
      <w:r>
        <w:rPr>
          <w:rStyle w:val="Brak"/>
          <w:rFonts w:ascii="Calibri" w:hAnsi="Calibri"/>
        </w:rPr>
        <w:t>które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 w:rsidR="004F5F8A" w:rsidRPr="004F5F8A">
        <w:rPr>
          <w:rFonts w:ascii="Calibri" w:hAnsi="Calibri"/>
          <w:lang w:val="en-US"/>
        </w:rPr>
        <w:t>byłyby</w:t>
      </w:r>
      <w:proofErr w:type="spellEnd"/>
      <w:r w:rsidR="004F5F8A" w:rsidRPr="004F5F8A">
        <w:rPr>
          <w:rFonts w:ascii="Calibri" w:hAnsi="Calibri"/>
          <w:lang w:val="en-US"/>
        </w:rPr>
        <w:t xml:space="preserve"> </w:t>
      </w:r>
      <w:r>
        <w:rPr>
          <w:rStyle w:val="Brak"/>
          <w:rFonts w:ascii="Calibri" w:hAnsi="Calibri"/>
        </w:rPr>
        <w:t xml:space="preserve">zawierane automatycznie po spełnieniu </w:t>
      </w:r>
      <w:proofErr w:type="spellStart"/>
      <w:r>
        <w:rPr>
          <w:rStyle w:val="Brak"/>
          <w:rFonts w:ascii="Calibri" w:hAnsi="Calibri"/>
        </w:rPr>
        <w:t>warunków</w:t>
      </w:r>
      <w:proofErr w:type="spellEnd"/>
      <w:r>
        <w:rPr>
          <w:rStyle w:val="Brak"/>
          <w:rFonts w:ascii="Calibri" w:hAnsi="Calibri"/>
        </w:rPr>
        <w:t xml:space="preserve"> umowy. Tym samym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 staje się obiektem zainteresowania handlowców, branży medycznej, transportowej, a także wszystkich podmiotów, które </w:t>
      </w:r>
      <w:r w:rsidR="004F5F8A">
        <w:rPr>
          <w:rStyle w:val="Brak"/>
          <w:rFonts w:ascii="Calibri" w:hAnsi="Calibri"/>
        </w:rPr>
        <w:t xml:space="preserve">potrzebują </w:t>
      </w:r>
      <w:r>
        <w:rPr>
          <w:rStyle w:val="Brak"/>
          <w:rFonts w:ascii="Calibri" w:hAnsi="Calibri"/>
        </w:rPr>
        <w:t xml:space="preserve">identyfikacji i weryfikacji różnorodnych danych. Jej przyszłość leży </w:t>
      </w:r>
      <w:r w:rsidR="007C0051">
        <w:rPr>
          <w:rStyle w:val="Brak"/>
          <w:rFonts w:ascii="Calibri" w:hAnsi="Calibri"/>
        </w:rPr>
        <w:t xml:space="preserve">również </w:t>
      </w:r>
      <w:r>
        <w:rPr>
          <w:rStyle w:val="Brak"/>
          <w:rFonts w:ascii="Calibri" w:hAnsi="Calibri"/>
        </w:rPr>
        <w:t xml:space="preserve">w przepływie informacji </w:t>
      </w:r>
      <w:proofErr w:type="spellStart"/>
      <w:r>
        <w:rPr>
          <w:rStyle w:val="Brak"/>
          <w:rFonts w:ascii="Calibri" w:hAnsi="Calibri"/>
        </w:rPr>
        <w:t>pomiędzy</w:t>
      </w:r>
      <w:proofErr w:type="spellEnd"/>
      <w:r>
        <w:rPr>
          <w:rStyle w:val="Brak"/>
          <w:rFonts w:ascii="Calibri" w:hAnsi="Calibri"/>
        </w:rPr>
        <w:t xml:space="preserve"> instytucjami publicznymi a obywatelami, w </w:t>
      </w:r>
      <w:proofErr w:type="spellStart"/>
      <w:r>
        <w:rPr>
          <w:rStyle w:val="Brak"/>
          <w:rFonts w:ascii="Calibri" w:hAnsi="Calibri"/>
        </w:rPr>
        <w:t>zarządzaniu</w:t>
      </w:r>
      <w:proofErr w:type="spellEnd"/>
      <w:r>
        <w:rPr>
          <w:rStyle w:val="Brak"/>
          <w:rFonts w:ascii="Calibri" w:hAnsi="Calibri"/>
        </w:rPr>
        <w:t xml:space="preserve"> procesami urbanistycznymi oraz administracyjnymi, a może nawet w systemach wyborczych i referendach.</w:t>
      </w:r>
    </w:p>
    <w:p w14:paraId="10B71A94" w14:textId="77777777" w:rsidR="00A312BC" w:rsidRPr="00F557F6" w:rsidRDefault="00D83298" w:rsidP="00980052">
      <w:pPr>
        <w:pStyle w:val="Nagwek2"/>
        <w:rPr>
          <w:rStyle w:val="Brak"/>
          <w:lang w:val="pl-PL"/>
        </w:rPr>
      </w:pPr>
      <w:r w:rsidRPr="00F557F6">
        <w:rPr>
          <w:rStyle w:val="Brak"/>
          <w:lang w:val="pl-PL"/>
        </w:rPr>
        <w:t xml:space="preserve">Rynek </w:t>
      </w:r>
      <w:proofErr w:type="spellStart"/>
      <w:r w:rsidRPr="00F557F6">
        <w:rPr>
          <w:rStyle w:val="Brak"/>
          <w:lang w:val="pl-PL"/>
        </w:rPr>
        <w:t>blockchain</w:t>
      </w:r>
      <w:proofErr w:type="spellEnd"/>
    </w:p>
    <w:p w14:paraId="5B836A8B" w14:textId="519A036A" w:rsidR="00A312BC" w:rsidRDefault="00D83298" w:rsidP="0098005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Wynalezienie</w:t>
      </w:r>
      <w:r w:rsidR="007C0051"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blockchain</w:t>
      </w:r>
      <w:r w:rsidR="00C34047">
        <w:rPr>
          <w:rStyle w:val="Brak"/>
          <w:rFonts w:ascii="Calibri" w:hAnsi="Calibri"/>
        </w:rPr>
        <w:t>a</w:t>
      </w:r>
      <w:proofErr w:type="spellEnd"/>
      <w:r>
        <w:rPr>
          <w:rStyle w:val="Brak"/>
          <w:rFonts w:ascii="Calibri" w:hAnsi="Calibri"/>
        </w:rPr>
        <w:t xml:space="preserve"> w latach 90. i spopularyzowanie </w:t>
      </w:r>
      <w:r w:rsidR="007C0051">
        <w:rPr>
          <w:rStyle w:val="Brak"/>
          <w:rFonts w:ascii="Calibri" w:hAnsi="Calibri"/>
        </w:rPr>
        <w:t xml:space="preserve">jej </w:t>
      </w:r>
      <w:r>
        <w:rPr>
          <w:rStyle w:val="Brak"/>
          <w:rFonts w:ascii="Calibri" w:hAnsi="Calibri"/>
        </w:rPr>
        <w:t xml:space="preserve">przez </w:t>
      </w:r>
      <w:proofErr w:type="spellStart"/>
      <w:r>
        <w:rPr>
          <w:rStyle w:val="Brak"/>
          <w:rFonts w:ascii="Calibri" w:hAnsi="Calibri"/>
        </w:rPr>
        <w:t>bitcoina</w:t>
      </w:r>
      <w:proofErr w:type="spellEnd"/>
      <w:r>
        <w:rPr>
          <w:rStyle w:val="Brak"/>
          <w:rFonts w:ascii="Calibri" w:hAnsi="Calibri"/>
        </w:rPr>
        <w:t xml:space="preserve"> w 2008 r. określa się mianem rewolucji podobnej do powstania </w:t>
      </w:r>
      <w:proofErr w:type="spellStart"/>
      <w:r>
        <w:rPr>
          <w:rStyle w:val="Brak"/>
          <w:rFonts w:ascii="Calibri" w:hAnsi="Calibri"/>
        </w:rPr>
        <w:t>internetu</w:t>
      </w:r>
      <w:proofErr w:type="spellEnd"/>
      <w:r>
        <w:rPr>
          <w:rStyle w:val="Brak"/>
          <w:rFonts w:ascii="Calibri" w:hAnsi="Calibri"/>
        </w:rPr>
        <w:t xml:space="preserve">. Jak podaje Polska Agencja Rozwoju Przedsiębiorczości (PARP) w raporcie </w:t>
      </w:r>
      <w:hyperlink r:id="rId13" w:history="1">
        <w:r>
          <w:rPr>
            <w:rStyle w:val="Hyperlink1"/>
          </w:rPr>
          <w:t xml:space="preserve">„Monitoring </w:t>
        </w:r>
        <w:proofErr w:type="spellStart"/>
        <w:r>
          <w:rPr>
            <w:rStyle w:val="Hyperlink1"/>
          </w:rPr>
          <w:t>trendów</w:t>
        </w:r>
        <w:proofErr w:type="spellEnd"/>
        <w:r>
          <w:rPr>
            <w:rStyle w:val="Hyperlink1"/>
          </w:rPr>
          <w:t xml:space="preserve"> krajowych i </w:t>
        </w:r>
        <w:proofErr w:type="spellStart"/>
        <w:r>
          <w:rPr>
            <w:rStyle w:val="Hyperlink1"/>
          </w:rPr>
          <w:t>światowych</w:t>
        </w:r>
        <w:proofErr w:type="spellEnd"/>
        <w:r>
          <w:rPr>
            <w:rStyle w:val="Hyperlink1"/>
          </w:rPr>
          <w:t>” z 2018 roku</w:t>
        </w:r>
      </w:hyperlink>
      <w:r>
        <w:rPr>
          <w:rStyle w:val="Brak"/>
          <w:rFonts w:ascii="Calibri" w:hAnsi="Calibri"/>
        </w:rPr>
        <w:t xml:space="preserve">, rynek </w:t>
      </w:r>
      <w:proofErr w:type="spellStart"/>
      <w:r>
        <w:rPr>
          <w:rStyle w:val="Brak"/>
          <w:rFonts w:ascii="Calibri" w:hAnsi="Calibri"/>
        </w:rPr>
        <w:t>rozwiązan</w:t>
      </w:r>
      <w:proofErr w:type="spellEnd"/>
      <w:r>
        <w:rPr>
          <w:rStyle w:val="Brak"/>
          <w:rFonts w:ascii="Calibri" w:hAnsi="Calibri"/>
        </w:rPr>
        <w:t xml:space="preserve">́ opartych na </w:t>
      </w:r>
      <w:r w:rsidR="00053E51">
        <w:rPr>
          <w:rStyle w:val="Brak"/>
          <w:rFonts w:ascii="Calibri" w:hAnsi="Calibri"/>
        </w:rPr>
        <w:t xml:space="preserve">technologii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 już kilka lat temu </w:t>
      </w:r>
      <w:r w:rsidRPr="00F557F6">
        <w:rPr>
          <w:rStyle w:val="Brak"/>
          <w:rFonts w:ascii="Calibri" w:hAnsi="Calibri"/>
        </w:rPr>
        <w:t>not</w:t>
      </w:r>
      <w:r>
        <w:rPr>
          <w:rStyle w:val="Brak"/>
          <w:rFonts w:ascii="Calibri" w:hAnsi="Calibri"/>
        </w:rPr>
        <w:t>ował wysoki wzrost. W 2017 r. wart był</w:t>
      </w:r>
      <w:r w:rsidR="00980052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 xml:space="preserve">ponad 410 mln dolarów, a w 2022 r. miał </w:t>
      </w:r>
      <w:r w:rsidR="00476B09">
        <w:rPr>
          <w:rStyle w:val="Brak"/>
          <w:rFonts w:ascii="Calibri" w:hAnsi="Calibri"/>
        </w:rPr>
        <w:t xml:space="preserve">osiągnąć poziom </w:t>
      </w:r>
      <w:r>
        <w:rPr>
          <w:rStyle w:val="Brak"/>
          <w:rFonts w:ascii="Calibri" w:hAnsi="Calibri"/>
        </w:rPr>
        <w:t xml:space="preserve">8 mld dolarów. Zgodnie z danymi </w:t>
      </w:r>
      <w:proofErr w:type="spellStart"/>
      <w:r>
        <w:rPr>
          <w:rStyle w:val="Brak"/>
          <w:rFonts w:ascii="Calibri" w:hAnsi="Calibri"/>
        </w:rPr>
        <w:t>MarketsandMarkets</w:t>
      </w:r>
      <w:proofErr w:type="spellEnd"/>
      <w:r>
        <w:rPr>
          <w:rStyle w:val="Brak"/>
          <w:rFonts w:ascii="Calibri" w:hAnsi="Calibri"/>
        </w:rPr>
        <w:t xml:space="preserve"> z marca 2023 r.</w:t>
      </w:r>
      <w:r>
        <w:rPr>
          <w:rStyle w:val="Brak"/>
          <w:rFonts w:ascii="Calibri" w:eastAsia="Calibri" w:hAnsi="Calibri" w:cs="Calibri"/>
          <w:vertAlign w:val="superscript"/>
        </w:rPr>
        <w:footnoteReference w:id="2"/>
      </w:r>
      <w:r>
        <w:rPr>
          <w:rStyle w:val="Brak"/>
          <w:rFonts w:ascii="Calibri" w:hAnsi="Calibri"/>
        </w:rPr>
        <w:t xml:space="preserve"> przewidywania te sprawdziły się, bowiem w minionym roku wartość rynku </w:t>
      </w:r>
      <w:proofErr w:type="spellStart"/>
      <w:r>
        <w:rPr>
          <w:rStyle w:val="Brak"/>
          <w:rFonts w:ascii="Calibri" w:hAnsi="Calibri"/>
        </w:rPr>
        <w:t>blockchain</w:t>
      </w:r>
      <w:r w:rsidR="00C34047">
        <w:rPr>
          <w:rStyle w:val="Brak"/>
          <w:rFonts w:ascii="Calibri" w:hAnsi="Calibri"/>
        </w:rPr>
        <w:t>a</w:t>
      </w:r>
      <w:proofErr w:type="spellEnd"/>
      <w:r>
        <w:rPr>
          <w:rStyle w:val="Brak"/>
          <w:rFonts w:ascii="Calibri" w:hAnsi="Calibri"/>
        </w:rPr>
        <w:t xml:space="preserve"> przekroczyła 7,4 mld dolarów. To samo źródło szacuje, że do 2027 r. kwota ta ma sięgnąć aż 94 mld dolarów.</w:t>
      </w:r>
    </w:p>
    <w:p w14:paraId="5B9B3AF9" w14:textId="3FDF433C" w:rsidR="00A312BC" w:rsidRDefault="00D83298" w:rsidP="0098005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Największymi wyzwaniami dla rozwoju rynku </w:t>
      </w:r>
      <w:proofErr w:type="spellStart"/>
      <w:r>
        <w:rPr>
          <w:rStyle w:val="Brak"/>
          <w:rFonts w:ascii="Calibri" w:hAnsi="Calibri"/>
        </w:rPr>
        <w:t>blockchain</w:t>
      </w:r>
      <w:r w:rsidR="00C34047">
        <w:rPr>
          <w:rStyle w:val="Brak"/>
          <w:rFonts w:ascii="Calibri" w:hAnsi="Calibri"/>
        </w:rPr>
        <w:t>a</w:t>
      </w:r>
      <w:proofErr w:type="spellEnd"/>
      <w:r>
        <w:rPr>
          <w:rStyle w:val="Brak"/>
          <w:rFonts w:ascii="Calibri" w:hAnsi="Calibri"/>
        </w:rPr>
        <w:t xml:space="preserve"> wciąż są, jak podawał</w:t>
      </w:r>
      <w:r w:rsidR="00327B00">
        <w:rPr>
          <w:rStyle w:val="Brak"/>
          <w:rFonts w:ascii="Calibri" w:hAnsi="Calibri"/>
        </w:rPr>
        <w:t>a</w:t>
      </w:r>
      <w:r>
        <w:rPr>
          <w:rStyle w:val="Brak"/>
          <w:rFonts w:ascii="Calibri" w:hAnsi="Calibri"/>
        </w:rPr>
        <w:t xml:space="preserve"> PARP, kwestie prawne oraz </w:t>
      </w:r>
      <w:r w:rsidR="00476B09">
        <w:rPr>
          <w:rStyle w:val="Brak"/>
          <w:rFonts w:ascii="Calibri" w:hAnsi="Calibri"/>
        </w:rPr>
        <w:t xml:space="preserve">mniejsza </w:t>
      </w:r>
      <w:proofErr w:type="spellStart"/>
      <w:r>
        <w:rPr>
          <w:rStyle w:val="Brak"/>
          <w:rFonts w:ascii="Calibri" w:hAnsi="Calibri"/>
        </w:rPr>
        <w:t>skalowalnośc</w:t>
      </w:r>
      <w:proofErr w:type="spellEnd"/>
      <w:r>
        <w:rPr>
          <w:rStyle w:val="Brak"/>
          <w:rFonts w:ascii="Calibri" w:hAnsi="Calibri"/>
        </w:rPr>
        <w:t xml:space="preserve">́. Technologia pozwala </w:t>
      </w:r>
      <w:proofErr w:type="spellStart"/>
      <w:r>
        <w:rPr>
          <w:rStyle w:val="Brak"/>
          <w:rFonts w:ascii="Calibri" w:hAnsi="Calibri"/>
        </w:rPr>
        <w:t>przeprowadzic</w:t>
      </w:r>
      <w:proofErr w:type="spellEnd"/>
      <w:r>
        <w:rPr>
          <w:rStyle w:val="Brak"/>
          <w:rFonts w:ascii="Calibri" w:hAnsi="Calibri"/>
        </w:rPr>
        <w:t xml:space="preserve">́ ograniczoną </w:t>
      </w:r>
      <w:proofErr w:type="spellStart"/>
      <w:r>
        <w:rPr>
          <w:rStyle w:val="Brak"/>
          <w:rFonts w:ascii="Calibri" w:hAnsi="Calibri"/>
        </w:rPr>
        <w:t>liczbe</w:t>
      </w:r>
      <w:proofErr w:type="spellEnd"/>
      <w:r>
        <w:rPr>
          <w:rStyle w:val="Brak"/>
          <w:rFonts w:ascii="Calibri" w:hAnsi="Calibri"/>
        </w:rPr>
        <w:t xml:space="preserve">̨ transakcji na </w:t>
      </w:r>
      <w:proofErr w:type="spellStart"/>
      <w:r>
        <w:rPr>
          <w:rStyle w:val="Brak"/>
          <w:rFonts w:ascii="Calibri" w:hAnsi="Calibri"/>
        </w:rPr>
        <w:t>sekunde</w:t>
      </w:r>
      <w:proofErr w:type="spellEnd"/>
      <w:r>
        <w:rPr>
          <w:rStyle w:val="Brak"/>
          <w:rFonts w:ascii="Calibri" w:hAnsi="Calibri"/>
        </w:rPr>
        <w:t xml:space="preserve">̨, co obecnie </w:t>
      </w:r>
      <w:proofErr w:type="spellStart"/>
      <w:r>
        <w:rPr>
          <w:rStyle w:val="Brak"/>
          <w:rFonts w:ascii="Calibri" w:hAnsi="Calibri"/>
        </w:rPr>
        <w:t>uniemożliwia</w:t>
      </w:r>
      <w:proofErr w:type="spellEnd"/>
      <w:r>
        <w:rPr>
          <w:rStyle w:val="Brak"/>
          <w:rFonts w:ascii="Calibri" w:hAnsi="Calibri"/>
        </w:rPr>
        <w:t xml:space="preserve"> masowe zastosowanie.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może</w:t>
      </w:r>
      <w:proofErr w:type="spellEnd"/>
      <w:r>
        <w:rPr>
          <w:rStyle w:val="Brak"/>
          <w:rFonts w:ascii="Calibri" w:hAnsi="Calibri"/>
        </w:rPr>
        <w:t xml:space="preserve"> jednak </w:t>
      </w:r>
      <w:proofErr w:type="spellStart"/>
      <w:r>
        <w:rPr>
          <w:rStyle w:val="Brak"/>
          <w:rFonts w:ascii="Calibri" w:hAnsi="Calibri"/>
        </w:rPr>
        <w:t>przekształ</w:t>
      </w:r>
      <w:proofErr w:type="spellEnd"/>
      <w:r>
        <w:rPr>
          <w:rStyle w:val="Brak"/>
          <w:rFonts w:ascii="Calibri" w:hAnsi="Calibri"/>
          <w:lang w:val="it-IT"/>
        </w:rPr>
        <w:t>cic</w:t>
      </w:r>
      <w:r>
        <w:rPr>
          <w:rStyle w:val="Brak"/>
          <w:rFonts w:ascii="Calibri" w:hAnsi="Calibri"/>
        </w:rPr>
        <w:t xml:space="preserve">́ funkcjonowanie </w:t>
      </w:r>
      <w:r w:rsidR="00EB29E9">
        <w:rPr>
          <w:rStyle w:val="Brak"/>
          <w:rFonts w:ascii="Calibri" w:hAnsi="Calibri"/>
        </w:rPr>
        <w:t>wielu</w:t>
      </w:r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branz</w:t>
      </w:r>
      <w:proofErr w:type="spellEnd"/>
      <w:r>
        <w:rPr>
          <w:rStyle w:val="Brak"/>
          <w:rFonts w:ascii="Calibri" w:hAnsi="Calibri"/>
        </w:rPr>
        <w:t xml:space="preserve">̇. Jego cechy </w:t>
      </w:r>
      <w:proofErr w:type="spellStart"/>
      <w:r>
        <w:rPr>
          <w:rStyle w:val="Brak"/>
          <w:rFonts w:ascii="Calibri" w:hAnsi="Calibri"/>
        </w:rPr>
        <w:t>moga</w:t>
      </w:r>
      <w:proofErr w:type="spellEnd"/>
      <w:r>
        <w:rPr>
          <w:rStyle w:val="Brak"/>
          <w:rFonts w:ascii="Calibri" w:hAnsi="Calibri"/>
        </w:rPr>
        <w:t xml:space="preserve">̨ </w:t>
      </w:r>
      <w:proofErr w:type="spellStart"/>
      <w:r>
        <w:rPr>
          <w:rStyle w:val="Brak"/>
          <w:rFonts w:ascii="Calibri" w:hAnsi="Calibri"/>
        </w:rPr>
        <w:t>zwiększac</w:t>
      </w:r>
      <w:proofErr w:type="spellEnd"/>
      <w:r>
        <w:rPr>
          <w:rStyle w:val="Brak"/>
          <w:rFonts w:ascii="Calibri" w:hAnsi="Calibri"/>
        </w:rPr>
        <w:t xml:space="preserve">́ </w:t>
      </w:r>
      <w:proofErr w:type="spellStart"/>
      <w:r>
        <w:rPr>
          <w:rStyle w:val="Brak"/>
          <w:rFonts w:ascii="Calibri" w:hAnsi="Calibri"/>
        </w:rPr>
        <w:t>przejrzystośc</w:t>
      </w:r>
      <w:proofErr w:type="spellEnd"/>
      <w:r>
        <w:rPr>
          <w:rStyle w:val="Brak"/>
          <w:rFonts w:ascii="Calibri" w:hAnsi="Calibri"/>
        </w:rPr>
        <w:t xml:space="preserve">́ i </w:t>
      </w:r>
      <w:proofErr w:type="spellStart"/>
      <w:r>
        <w:rPr>
          <w:rStyle w:val="Brak"/>
          <w:rFonts w:ascii="Calibri" w:hAnsi="Calibri"/>
        </w:rPr>
        <w:lastRenderedPageBreak/>
        <w:t>identyfikowalnośc</w:t>
      </w:r>
      <w:proofErr w:type="spellEnd"/>
      <w:r>
        <w:rPr>
          <w:rStyle w:val="Brak"/>
          <w:rFonts w:ascii="Calibri" w:hAnsi="Calibri"/>
        </w:rPr>
        <w:t xml:space="preserve">́, </w:t>
      </w:r>
      <w:proofErr w:type="spellStart"/>
      <w:r>
        <w:rPr>
          <w:rStyle w:val="Brak"/>
          <w:rFonts w:ascii="Calibri" w:hAnsi="Calibri"/>
        </w:rPr>
        <w:t>ułatwiac</w:t>
      </w:r>
      <w:proofErr w:type="spellEnd"/>
      <w:r>
        <w:rPr>
          <w:rStyle w:val="Brak"/>
          <w:rFonts w:ascii="Calibri" w:hAnsi="Calibri"/>
        </w:rPr>
        <w:t xml:space="preserve">́ </w:t>
      </w:r>
      <w:proofErr w:type="spellStart"/>
      <w:r>
        <w:rPr>
          <w:rStyle w:val="Brak"/>
          <w:rFonts w:ascii="Calibri" w:hAnsi="Calibri"/>
        </w:rPr>
        <w:t>dostęp</w:t>
      </w:r>
      <w:proofErr w:type="spellEnd"/>
      <w:r>
        <w:rPr>
          <w:rStyle w:val="Brak"/>
          <w:rFonts w:ascii="Calibri" w:hAnsi="Calibri"/>
        </w:rPr>
        <w:t xml:space="preserve"> do rynku i </w:t>
      </w:r>
      <w:proofErr w:type="spellStart"/>
      <w:r>
        <w:rPr>
          <w:rStyle w:val="Brak"/>
          <w:rFonts w:ascii="Calibri" w:hAnsi="Calibri"/>
        </w:rPr>
        <w:t>poprawiac</w:t>
      </w:r>
      <w:proofErr w:type="spellEnd"/>
      <w:r>
        <w:rPr>
          <w:rStyle w:val="Brak"/>
          <w:rFonts w:ascii="Calibri" w:hAnsi="Calibri"/>
        </w:rPr>
        <w:t xml:space="preserve">́ </w:t>
      </w:r>
      <w:r w:rsidR="00EB29E9">
        <w:rPr>
          <w:rStyle w:val="Brak"/>
          <w:rFonts w:ascii="Calibri" w:hAnsi="Calibri"/>
        </w:rPr>
        <w:t>efektywność</w:t>
      </w:r>
      <w:r>
        <w:rPr>
          <w:rStyle w:val="Brak"/>
          <w:rFonts w:ascii="Calibri" w:hAnsi="Calibri"/>
        </w:rPr>
        <w:t>́ transakcji. Wykorzystanie potencjał</w:t>
      </w:r>
      <w:r>
        <w:rPr>
          <w:rStyle w:val="Brak"/>
          <w:rFonts w:ascii="Calibri" w:hAnsi="Calibri"/>
          <w:lang w:val="nl-NL"/>
        </w:rPr>
        <w:t>u</w:t>
      </w:r>
      <w:r w:rsidR="00EB29E9">
        <w:rPr>
          <w:rStyle w:val="Brak"/>
          <w:rFonts w:ascii="Calibri" w:hAnsi="Calibri"/>
          <w:lang w:val="nl-NL"/>
        </w:rPr>
        <w:t xml:space="preserve"> technologii</w:t>
      </w:r>
      <w:r>
        <w:rPr>
          <w:rStyle w:val="Brak"/>
          <w:rFonts w:ascii="Calibri" w:hAnsi="Calibri"/>
          <w:lang w:val="nl-NL"/>
        </w:rPr>
        <w:t xml:space="preserve"> blockchain zalez</w:t>
      </w:r>
      <w:r>
        <w:rPr>
          <w:rStyle w:val="Brak"/>
          <w:rFonts w:ascii="Calibri" w:hAnsi="Calibri"/>
        </w:rPr>
        <w:t xml:space="preserve">̇y od </w:t>
      </w:r>
      <w:proofErr w:type="spellStart"/>
      <w:r>
        <w:rPr>
          <w:rStyle w:val="Brak"/>
          <w:rFonts w:ascii="Calibri" w:hAnsi="Calibri"/>
        </w:rPr>
        <w:t>integralności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procesów</w:t>
      </w:r>
      <w:proofErr w:type="spellEnd"/>
      <w:r>
        <w:rPr>
          <w:rStyle w:val="Brak"/>
          <w:rFonts w:ascii="Calibri" w:hAnsi="Calibri"/>
        </w:rPr>
        <w:t xml:space="preserve"> i wymaga odpowiedni</w:t>
      </w:r>
      <w:r w:rsidR="00EB29E9">
        <w:rPr>
          <w:rStyle w:val="Brak"/>
          <w:rFonts w:ascii="Calibri" w:hAnsi="Calibri"/>
        </w:rPr>
        <w:t>ej</w:t>
      </w:r>
      <w:r>
        <w:rPr>
          <w:rStyle w:val="Brak"/>
          <w:rFonts w:ascii="Calibri" w:hAnsi="Calibri"/>
        </w:rPr>
        <w:t xml:space="preserve"> polityk</w:t>
      </w:r>
      <w:r w:rsidR="00EB29E9">
        <w:rPr>
          <w:rStyle w:val="Brak"/>
          <w:rFonts w:ascii="Calibri" w:hAnsi="Calibri"/>
        </w:rPr>
        <w:t>i</w:t>
      </w:r>
      <w:r>
        <w:rPr>
          <w:rStyle w:val="Brak"/>
          <w:rFonts w:ascii="Calibri" w:hAnsi="Calibri"/>
        </w:rPr>
        <w:t xml:space="preserve"> i </w:t>
      </w:r>
      <w:r w:rsidR="00EB29E9">
        <w:rPr>
          <w:rStyle w:val="Brak"/>
          <w:rFonts w:ascii="Calibri" w:hAnsi="Calibri"/>
        </w:rPr>
        <w:t>środków</w:t>
      </w:r>
      <w:r>
        <w:rPr>
          <w:rStyle w:val="Brak"/>
          <w:rFonts w:ascii="Calibri" w:hAnsi="Calibri"/>
        </w:rPr>
        <w:t xml:space="preserve">, aby </w:t>
      </w:r>
      <w:r w:rsidR="00EB29E9">
        <w:rPr>
          <w:rStyle w:val="Brak"/>
          <w:rFonts w:ascii="Calibri" w:hAnsi="Calibri"/>
        </w:rPr>
        <w:t>uwolnić</w:t>
      </w:r>
      <w:r>
        <w:rPr>
          <w:rStyle w:val="Brak"/>
          <w:rFonts w:ascii="Calibri" w:hAnsi="Calibri"/>
        </w:rPr>
        <w:t>́ ten potencjał.</w:t>
      </w:r>
    </w:p>
    <w:p w14:paraId="6D32528C" w14:textId="7323359B" w:rsidR="00A312BC" w:rsidRPr="00F557F6" w:rsidRDefault="00D83298" w:rsidP="00674DFC">
      <w:pPr>
        <w:pStyle w:val="Nagwek2"/>
        <w:rPr>
          <w:rStyle w:val="Brak"/>
          <w:lang w:val="pl-PL"/>
        </w:rPr>
      </w:pPr>
      <w:r w:rsidRPr="00F557F6">
        <w:rPr>
          <w:rStyle w:val="Brak"/>
          <w:lang w:val="pl-PL"/>
        </w:rPr>
        <w:t xml:space="preserve">PARP wspiera rozwiązania oparte </w:t>
      </w:r>
      <w:r w:rsidR="00EB29E9">
        <w:rPr>
          <w:rStyle w:val="Brak"/>
          <w:lang w:val="pl-PL"/>
        </w:rPr>
        <w:t>na</w:t>
      </w:r>
      <w:r w:rsidRPr="00F557F6">
        <w:rPr>
          <w:rStyle w:val="Brak"/>
          <w:lang w:val="pl-PL"/>
        </w:rPr>
        <w:t xml:space="preserve"> </w:t>
      </w:r>
      <w:proofErr w:type="spellStart"/>
      <w:r w:rsidRPr="00F557F6">
        <w:rPr>
          <w:rStyle w:val="Brak"/>
          <w:lang w:val="pl-PL"/>
        </w:rPr>
        <w:t>blockchain</w:t>
      </w:r>
      <w:r w:rsidR="00EB29E9">
        <w:rPr>
          <w:rStyle w:val="Brak"/>
          <w:lang w:val="pl-PL"/>
        </w:rPr>
        <w:t>ie</w:t>
      </w:r>
      <w:proofErr w:type="spellEnd"/>
    </w:p>
    <w:p w14:paraId="3E95BADF" w14:textId="43867222" w:rsidR="00A312BC" w:rsidRDefault="00D83298" w:rsidP="0098005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Technologia łańcucha bloków coraz częściej wykorzystywana jest przez polskich przedsiębiorców. Duży biznes z powodzeniem potrafi stosować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 do rozwiązywania istniejących problemów. Jak czytamy w raporcie „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Compass</w:t>
      </w:r>
      <w:proofErr w:type="spellEnd"/>
      <w:r>
        <w:rPr>
          <w:rStyle w:val="Brak"/>
          <w:rFonts w:ascii="Calibri" w:hAnsi="Calibri"/>
        </w:rPr>
        <w:t xml:space="preserve"> 2018” Fundacji Startup Poland</w:t>
      </w:r>
      <w:r>
        <w:rPr>
          <w:rStyle w:val="Brak"/>
          <w:rFonts w:ascii="Calibri" w:eastAsia="Calibri" w:hAnsi="Calibri" w:cs="Calibri"/>
          <w:vertAlign w:val="superscript"/>
        </w:rPr>
        <w:footnoteReference w:id="3"/>
      </w:r>
      <w:r>
        <w:rPr>
          <w:rStyle w:val="Brak"/>
          <w:rFonts w:ascii="Calibri" w:hAnsi="Calibri"/>
        </w:rPr>
        <w:t>, już 5 lat temu dzięki temu rozwiązaniu swoje przełomowe wizje realizowały związane z Polską start</w:t>
      </w:r>
      <w:r w:rsidR="00EB29E9">
        <w:rPr>
          <w:rStyle w:val="Brak"/>
          <w:rFonts w:ascii="Calibri" w:hAnsi="Calibri"/>
        </w:rPr>
        <w:t>-</w:t>
      </w:r>
      <w:proofErr w:type="spellStart"/>
      <w:r>
        <w:rPr>
          <w:rStyle w:val="Brak"/>
          <w:rFonts w:ascii="Calibri" w:hAnsi="Calibri"/>
        </w:rPr>
        <w:t>upy</w:t>
      </w:r>
      <w:proofErr w:type="spellEnd"/>
      <w:r>
        <w:rPr>
          <w:rStyle w:val="Brak"/>
          <w:rFonts w:ascii="Calibri" w:hAnsi="Calibri"/>
        </w:rPr>
        <w:t>, działające m.in. w Niemczech, Dubaju czy na Malcie. To właśnie start</w:t>
      </w:r>
      <w:r w:rsidR="00EB29E9">
        <w:rPr>
          <w:rStyle w:val="Brak"/>
          <w:rFonts w:ascii="Calibri" w:hAnsi="Calibri"/>
        </w:rPr>
        <w:t>-</w:t>
      </w:r>
      <w:proofErr w:type="spellStart"/>
      <w:r>
        <w:rPr>
          <w:rStyle w:val="Brak"/>
          <w:rFonts w:ascii="Calibri" w:hAnsi="Calibri"/>
        </w:rPr>
        <w:t>upy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blockchainowe</w:t>
      </w:r>
      <w:proofErr w:type="spellEnd"/>
      <w:r>
        <w:rPr>
          <w:rStyle w:val="Brak"/>
          <w:rFonts w:ascii="Calibri" w:hAnsi="Calibri"/>
        </w:rPr>
        <w:t xml:space="preserve"> należały wówczas do najbardziej transgranicznych i międzynarodowych pod względem składu zespołów. Dzisiaj krajowy rynek dysponuje licznym gronem ekspertów, mających wiedzę i doświadczenie w tym zakresie.</w:t>
      </w:r>
    </w:p>
    <w:p w14:paraId="112EDA27" w14:textId="4DE4FBD6" w:rsidR="00A312BC" w:rsidRDefault="00D83298" w:rsidP="00980052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Zmieniające się wyzwania rynku powodują, że technologia </w:t>
      </w:r>
      <w:proofErr w:type="spellStart"/>
      <w:r>
        <w:rPr>
          <w:rStyle w:val="Brak"/>
          <w:rFonts w:ascii="Calibri" w:hAnsi="Calibri"/>
        </w:rPr>
        <w:t>blockchain</w:t>
      </w:r>
      <w:proofErr w:type="spellEnd"/>
      <w:r>
        <w:rPr>
          <w:rStyle w:val="Brak"/>
          <w:rFonts w:ascii="Calibri" w:hAnsi="Calibri"/>
        </w:rPr>
        <w:t xml:space="preserve"> wspierana jest coraz częściej przez unijne programy </w:t>
      </w:r>
      <w:r w:rsidR="0028508C">
        <w:rPr>
          <w:rStyle w:val="Brak"/>
          <w:rFonts w:ascii="Calibri" w:hAnsi="Calibri"/>
        </w:rPr>
        <w:t>skierowane do</w:t>
      </w:r>
      <w:r>
        <w:rPr>
          <w:rStyle w:val="Brak"/>
          <w:rFonts w:ascii="Calibri" w:hAnsi="Calibri"/>
        </w:rPr>
        <w:t xml:space="preserve"> polskich przedsiębiorców. Z ramienia PARP</w:t>
      </w:r>
      <w:r w:rsidR="0028508C">
        <w:rPr>
          <w:rStyle w:val="Brak"/>
          <w:rFonts w:ascii="Calibri" w:hAnsi="Calibri"/>
        </w:rPr>
        <w:t>-u,</w:t>
      </w:r>
      <w:r w:rsidR="00674DFC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 xml:space="preserve">w ramach </w:t>
      </w:r>
      <w:r w:rsidR="00674DFC">
        <w:rPr>
          <w:rStyle w:val="Brak"/>
          <w:rFonts w:ascii="Calibri" w:hAnsi="Calibri"/>
        </w:rPr>
        <w:t>p</w:t>
      </w:r>
      <w:r>
        <w:rPr>
          <w:rStyle w:val="Brak"/>
          <w:rFonts w:ascii="Calibri" w:hAnsi="Calibri"/>
        </w:rPr>
        <w:t>rogramu Fundusze Europejskie dla Nowoczesnej Gospodarki (FENG)</w:t>
      </w:r>
      <w:r w:rsidR="0028508C">
        <w:rPr>
          <w:rStyle w:val="Brak"/>
          <w:rFonts w:ascii="Calibri" w:hAnsi="Calibri"/>
        </w:rPr>
        <w:t>,</w:t>
      </w:r>
      <w:r w:rsidR="00674DFC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dostępnych jest kilka konkursów</w:t>
      </w:r>
      <w:r w:rsidR="0028508C">
        <w:rPr>
          <w:rStyle w:val="Brak"/>
          <w:rFonts w:ascii="Calibri" w:hAnsi="Calibri"/>
        </w:rPr>
        <w:t xml:space="preserve"> dla</w:t>
      </w:r>
      <w:r>
        <w:rPr>
          <w:rStyle w:val="Brak"/>
          <w:rFonts w:ascii="Calibri" w:hAnsi="Calibri"/>
        </w:rPr>
        <w:t xml:space="preserve"> firm rozwijających innowacyjne technologie.</w:t>
      </w:r>
    </w:p>
    <w:p w14:paraId="4D73B52D" w14:textId="500A98A0" w:rsidR="00A312BC" w:rsidRDefault="00D83298" w:rsidP="00980052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>Ścieżka SMART</w:t>
      </w:r>
    </w:p>
    <w:p w14:paraId="6AFA633A" w14:textId="02034DAE" w:rsidR="00A312BC" w:rsidRDefault="00F557F6" w:rsidP="00980052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To p</w:t>
      </w:r>
      <w:r w:rsidR="00D83298">
        <w:rPr>
          <w:rStyle w:val="Brak"/>
          <w:rFonts w:ascii="Calibri" w:hAnsi="Calibri"/>
        </w:rPr>
        <w:t>ierwsz</w:t>
      </w:r>
      <w:r>
        <w:rPr>
          <w:rStyle w:val="Brak"/>
          <w:rFonts w:ascii="Calibri" w:hAnsi="Calibri"/>
        </w:rPr>
        <w:t>e</w:t>
      </w:r>
      <w:r w:rsidR="00D83298">
        <w:rPr>
          <w:rStyle w:val="Brak"/>
          <w:rFonts w:ascii="Calibri" w:hAnsi="Calibri"/>
        </w:rPr>
        <w:t xml:space="preserve"> </w:t>
      </w:r>
      <w:r w:rsidR="000C5ABC">
        <w:rPr>
          <w:rStyle w:val="Brak"/>
          <w:rFonts w:ascii="Calibri" w:hAnsi="Calibri"/>
        </w:rPr>
        <w:t>działanie</w:t>
      </w:r>
      <w:r w:rsidR="00D83298">
        <w:rPr>
          <w:rStyle w:val="Brak"/>
          <w:rFonts w:ascii="Calibri" w:hAnsi="Calibri"/>
        </w:rPr>
        <w:t xml:space="preserve"> realizowan</w:t>
      </w:r>
      <w:r>
        <w:rPr>
          <w:rStyle w:val="Brak"/>
          <w:rFonts w:ascii="Calibri" w:hAnsi="Calibri"/>
        </w:rPr>
        <w:t>e</w:t>
      </w:r>
      <w:r w:rsidR="00D83298">
        <w:rPr>
          <w:rStyle w:val="Brak"/>
          <w:rFonts w:ascii="Calibri" w:hAnsi="Calibri"/>
        </w:rPr>
        <w:t xml:space="preserve"> w ramach nowego programu FENG, skierowan</w:t>
      </w:r>
      <w:r>
        <w:rPr>
          <w:rStyle w:val="Brak"/>
          <w:rFonts w:ascii="Calibri" w:hAnsi="Calibri"/>
        </w:rPr>
        <w:t>e</w:t>
      </w:r>
      <w:r w:rsidR="00D83298">
        <w:rPr>
          <w:rStyle w:val="Brak"/>
          <w:rFonts w:ascii="Calibri" w:hAnsi="Calibri"/>
        </w:rPr>
        <w:t xml:space="preserve"> do MŚ</w:t>
      </w:r>
      <w:r w:rsidR="00D83298">
        <w:rPr>
          <w:rStyle w:val="Brak"/>
          <w:rFonts w:ascii="Calibri" w:hAnsi="Calibri"/>
          <w:lang w:val="fr-FR"/>
        </w:rPr>
        <w:t>P, du</w:t>
      </w:r>
      <w:proofErr w:type="spellStart"/>
      <w:r w:rsidR="00D83298">
        <w:rPr>
          <w:rStyle w:val="Brak"/>
          <w:rFonts w:ascii="Calibri" w:hAnsi="Calibri"/>
        </w:rPr>
        <w:t>żych</w:t>
      </w:r>
      <w:proofErr w:type="spellEnd"/>
      <w:r w:rsidR="00D83298">
        <w:rPr>
          <w:rStyle w:val="Brak"/>
          <w:rFonts w:ascii="Calibri" w:hAnsi="Calibri"/>
        </w:rPr>
        <w:t xml:space="preserve"> przedsiębiorstw oraz </w:t>
      </w:r>
      <w:proofErr w:type="spellStart"/>
      <w:r w:rsidR="00D83298">
        <w:rPr>
          <w:rStyle w:val="Brak"/>
          <w:rFonts w:ascii="Calibri" w:hAnsi="Calibri"/>
        </w:rPr>
        <w:t>konsorcj</w:t>
      </w:r>
      <w:proofErr w:type="spellEnd"/>
      <w:r w:rsidR="00D83298">
        <w:rPr>
          <w:rStyle w:val="Brak"/>
          <w:rFonts w:ascii="Calibri" w:hAnsi="Calibri"/>
          <w:lang w:val="es-ES_tradnl"/>
        </w:rPr>
        <w:t>ó</w:t>
      </w:r>
      <w:r w:rsidR="00D83298">
        <w:rPr>
          <w:rStyle w:val="Brak"/>
          <w:rFonts w:ascii="Calibri" w:hAnsi="Calibri"/>
        </w:rPr>
        <w:t>w naukowo-przemysłowych (organizacje i instytuty badawcze, organizacje pozarządowe, uczelnie i inne podmioty systemu szkolnictwa wyższego i nauki). Łączny budżet</w:t>
      </w:r>
      <w:r w:rsidR="00447DFF">
        <w:rPr>
          <w:rStyle w:val="Brak"/>
          <w:rFonts w:ascii="Calibri" w:hAnsi="Calibri"/>
        </w:rPr>
        <w:t xml:space="preserve">, którym PARP zarządza w ramach Ścieżki SMART </w:t>
      </w:r>
      <w:r w:rsidR="00D83298">
        <w:rPr>
          <w:rStyle w:val="Brak"/>
          <w:rFonts w:ascii="Calibri" w:hAnsi="Calibri"/>
        </w:rPr>
        <w:t>w 2023 r.</w:t>
      </w:r>
      <w:r w:rsidR="002F7A3F">
        <w:rPr>
          <w:rStyle w:val="Brak"/>
          <w:rFonts w:ascii="Calibri" w:hAnsi="Calibri"/>
        </w:rPr>
        <w:t>,</w:t>
      </w:r>
      <w:r w:rsidR="00D83298">
        <w:rPr>
          <w:rStyle w:val="Brak"/>
          <w:rFonts w:ascii="Calibri" w:hAnsi="Calibri"/>
        </w:rPr>
        <w:t xml:space="preserve"> to 6,67 mld zł</w:t>
      </w:r>
      <w:r w:rsidR="00447DFF">
        <w:rPr>
          <w:rStyle w:val="Brak"/>
          <w:rFonts w:ascii="Calibri" w:hAnsi="Calibri"/>
        </w:rPr>
        <w:t xml:space="preserve"> – to część przewidziana na projekty MŚP</w:t>
      </w:r>
      <w:r w:rsidR="00D83298">
        <w:rPr>
          <w:rStyle w:val="Brak"/>
          <w:rFonts w:ascii="Calibri" w:hAnsi="Calibri"/>
        </w:rPr>
        <w:t>.</w:t>
      </w:r>
      <w:r w:rsidR="00674DFC" w:rsidRPr="00674DFC">
        <w:rPr>
          <w:rStyle w:val="Brak"/>
          <w:rFonts w:ascii="Calibri" w:hAnsi="Calibri"/>
          <w:b/>
          <w:bCs/>
        </w:rPr>
        <w:t xml:space="preserve"> </w:t>
      </w:r>
      <w:r w:rsidR="00D83298">
        <w:rPr>
          <w:rStyle w:val="Brak"/>
          <w:rFonts w:ascii="Calibri" w:hAnsi="Calibri"/>
        </w:rPr>
        <w:t xml:space="preserve">Celem konkursu jest </w:t>
      </w:r>
      <w:proofErr w:type="spellStart"/>
      <w:r w:rsidR="00D83298">
        <w:rPr>
          <w:rStyle w:val="Brak"/>
          <w:rFonts w:ascii="Calibri" w:hAnsi="Calibri"/>
        </w:rPr>
        <w:t>rozw</w:t>
      </w:r>
      <w:proofErr w:type="spellEnd"/>
      <w:r w:rsidR="00D83298">
        <w:rPr>
          <w:rStyle w:val="Brak"/>
          <w:rFonts w:ascii="Calibri" w:hAnsi="Calibri"/>
          <w:lang w:val="es-ES_tradnl"/>
        </w:rPr>
        <w:t>ó</w:t>
      </w:r>
      <w:r w:rsidR="00D83298">
        <w:rPr>
          <w:rStyle w:val="Brak"/>
          <w:rFonts w:ascii="Calibri" w:hAnsi="Calibri"/>
        </w:rPr>
        <w:t>j działań badawczych i innowacyjnych, wzmocnienie współpracy między biznesem a podmiotami naukowymi</w:t>
      </w:r>
      <w:r w:rsidR="0028508C">
        <w:rPr>
          <w:rStyle w:val="Brak"/>
          <w:rFonts w:ascii="Calibri" w:hAnsi="Calibri"/>
        </w:rPr>
        <w:t>,</w:t>
      </w:r>
      <w:r w:rsidR="00D83298">
        <w:rPr>
          <w:rStyle w:val="Brak"/>
          <w:rFonts w:ascii="Calibri" w:hAnsi="Calibri"/>
        </w:rPr>
        <w:t xml:space="preserve"> skupiającej się m.in. na gospodarce niskoemisyjnej, zmianach klimatu oraz gospodarce o obiegu zamkniętym (GOZ). W ramach</w:t>
      </w:r>
      <w:r w:rsidR="0028508C">
        <w:rPr>
          <w:rStyle w:val="Brak"/>
          <w:rFonts w:ascii="Calibri" w:hAnsi="Calibri"/>
        </w:rPr>
        <w:t xml:space="preserve"> tej inicjatywy</w:t>
      </w:r>
      <w:r w:rsidR="00D83298">
        <w:rPr>
          <w:rStyle w:val="Brak"/>
          <w:rFonts w:ascii="Calibri" w:hAnsi="Calibri"/>
        </w:rPr>
        <w:t xml:space="preserve"> przewidziano kompleksowe wsparcie projekt</w:t>
      </w:r>
      <w:r w:rsidR="00D83298">
        <w:rPr>
          <w:rStyle w:val="Brak"/>
          <w:rFonts w:ascii="Calibri" w:hAnsi="Calibri"/>
          <w:lang w:val="es-ES_tradnl"/>
        </w:rPr>
        <w:t>ó</w:t>
      </w:r>
      <w:r w:rsidR="00D83298">
        <w:rPr>
          <w:rStyle w:val="Brak"/>
          <w:rFonts w:ascii="Calibri" w:hAnsi="Calibri"/>
        </w:rPr>
        <w:t>w obejmujących m</w:t>
      </w:r>
      <w:bookmarkStart w:id="1" w:name="_GoBack"/>
      <w:bookmarkEnd w:id="1"/>
      <w:r w:rsidR="00D83298">
        <w:rPr>
          <w:rStyle w:val="Brak"/>
          <w:rFonts w:ascii="Calibri" w:hAnsi="Calibri"/>
        </w:rPr>
        <w:t xml:space="preserve">.in. działalność badawczo-rozwojową, wdrażanie innowacji, cyfryzację, zazielenienie przedsiębiorstw, internacjonalizację oraz podwyższanie kompetencji. Maksymalny poziom dofinansowania ze </w:t>
      </w:r>
      <w:proofErr w:type="spellStart"/>
      <w:r w:rsidR="00D83298">
        <w:rPr>
          <w:rStyle w:val="Brak"/>
          <w:rFonts w:ascii="Calibri" w:hAnsi="Calibri"/>
        </w:rPr>
        <w:t>środk</w:t>
      </w:r>
      <w:proofErr w:type="spellEnd"/>
      <w:r w:rsidR="00D83298">
        <w:rPr>
          <w:rStyle w:val="Brak"/>
          <w:rFonts w:ascii="Calibri" w:hAnsi="Calibri"/>
          <w:lang w:val="es-ES_tradnl"/>
        </w:rPr>
        <w:t>ó</w:t>
      </w:r>
      <w:r w:rsidR="00D83298">
        <w:rPr>
          <w:rStyle w:val="Brak"/>
          <w:rFonts w:ascii="Calibri" w:hAnsi="Calibri"/>
        </w:rPr>
        <w:t xml:space="preserve">w unijnych w projekcie to 80%. </w:t>
      </w:r>
    </w:p>
    <w:p w14:paraId="22BD86C8" w14:textId="01659B34" w:rsidR="00A312BC" w:rsidRPr="00F557F6" w:rsidRDefault="00D83298" w:rsidP="00980052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20" w:after="120" w:line="276" w:lineRule="auto"/>
        <w:rPr>
          <w:rStyle w:val="Brak"/>
          <w:rFonts w:eastAsia="Calibri" w:cs="Calibri"/>
          <w:sz w:val="24"/>
          <w:szCs w:val="24"/>
          <w:lang w:val="pl-PL"/>
        </w:rPr>
      </w:pPr>
      <w:r w:rsidRPr="00F557F6">
        <w:rPr>
          <w:rStyle w:val="Brak"/>
          <w:sz w:val="24"/>
          <w:szCs w:val="24"/>
          <w:lang w:val="pl-PL"/>
        </w:rPr>
        <w:t>Pierwszy z pięciu nabór wniosków,</w:t>
      </w:r>
      <w:r w:rsidR="00A65E82">
        <w:rPr>
          <w:rStyle w:val="Brak"/>
          <w:sz w:val="24"/>
          <w:szCs w:val="24"/>
          <w:lang w:val="pl-PL"/>
        </w:rPr>
        <w:t xml:space="preserve"> w ramach działania,</w:t>
      </w:r>
      <w:r w:rsidRPr="00F557F6">
        <w:rPr>
          <w:rStyle w:val="Brak"/>
          <w:sz w:val="24"/>
          <w:szCs w:val="24"/>
          <w:lang w:val="pl-PL"/>
        </w:rPr>
        <w:t xml:space="preserve"> skierowany na realizację projektów indywidualnych MŚP, już trwa. Czas na składanie dokumentów upływa 12 kwietnia 2023 r.</w:t>
      </w:r>
    </w:p>
    <w:p w14:paraId="5BE870E9" w14:textId="77777777" w:rsidR="00A312BC" w:rsidRDefault="00AD2B1E" w:rsidP="00980052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hyperlink r:id="rId14" w:history="1">
        <w:r w:rsidR="00D83298">
          <w:rPr>
            <w:rStyle w:val="cze"/>
            <w:rFonts w:ascii="Calibri" w:hAnsi="Calibri"/>
          </w:rPr>
          <w:t>Szczegółowe informacje dotyczące konkursu znajdują się na stronie PARP.</w:t>
        </w:r>
      </w:hyperlink>
    </w:p>
    <w:p w14:paraId="7F4074B4" w14:textId="3361B9F9" w:rsidR="00A312BC" w:rsidRDefault="00D83298" w:rsidP="00980052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>Start</w:t>
      </w:r>
      <w:r w:rsidR="0028508C">
        <w:rPr>
          <w:rStyle w:val="Brak"/>
          <w:rFonts w:ascii="Calibri" w:hAnsi="Calibri"/>
          <w:b/>
          <w:bCs/>
        </w:rPr>
        <w:t>-</w:t>
      </w:r>
      <w:proofErr w:type="spellStart"/>
      <w:r>
        <w:rPr>
          <w:rStyle w:val="Brak"/>
          <w:rFonts w:ascii="Calibri" w:hAnsi="Calibri"/>
          <w:b/>
          <w:bCs/>
        </w:rPr>
        <w:t>up</w:t>
      </w:r>
      <w:proofErr w:type="spellEnd"/>
      <w:r>
        <w:rPr>
          <w:rStyle w:val="Brak"/>
          <w:rFonts w:ascii="Calibri" w:hAnsi="Calibri"/>
          <w:b/>
          <w:bCs/>
        </w:rPr>
        <w:t xml:space="preserve"> Booster Poland</w:t>
      </w:r>
    </w:p>
    <w:p w14:paraId="66CA2A54" w14:textId="7A18A688" w:rsidR="00A312BC" w:rsidRDefault="00D83298" w:rsidP="00980052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 w:rsidRPr="00F557F6">
        <w:rPr>
          <w:rStyle w:val="Brak"/>
          <w:rFonts w:ascii="Calibri" w:hAnsi="Calibri"/>
        </w:rPr>
        <w:t>Start</w:t>
      </w:r>
      <w:r w:rsidR="0028508C">
        <w:rPr>
          <w:rStyle w:val="Brak"/>
          <w:rFonts w:ascii="Calibri" w:hAnsi="Calibri"/>
        </w:rPr>
        <w:t>-</w:t>
      </w:r>
      <w:proofErr w:type="spellStart"/>
      <w:r w:rsidRPr="00F557F6">
        <w:rPr>
          <w:rStyle w:val="Brak"/>
          <w:rFonts w:ascii="Calibri" w:hAnsi="Calibri"/>
        </w:rPr>
        <w:t>up</w:t>
      </w:r>
      <w:proofErr w:type="spellEnd"/>
      <w:r w:rsidRPr="00F557F6">
        <w:rPr>
          <w:rStyle w:val="Brak"/>
          <w:rFonts w:ascii="Calibri" w:hAnsi="Calibri"/>
        </w:rPr>
        <w:t xml:space="preserve"> Booster Poland</w:t>
      </w:r>
      <w:r>
        <w:rPr>
          <w:rStyle w:val="Brak"/>
          <w:rFonts w:ascii="Calibri" w:hAnsi="Calibri"/>
        </w:rPr>
        <w:t xml:space="preserve"> to konkurs o tegorocznym budżecie na poziomie 91 mln zł, który ma na celu przyspieszenie rozwoju przedsiębiorstw w Polsce. Dofinansowanie objąć może takie działania</w:t>
      </w:r>
      <w:r w:rsidR="0028508C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jak: programy rozwojowe o charakterze akceleracyjnym i </w:t>
      </w:r>
      <w:proofErr w:type="spellStart"/>
      <w:r>
        <w:rPr>
          <w:rStyle w:val="Brak"/>
          <w:rFonts w:ascii="Calibri" w:hAnsi="Calibri"/>
        </w:rPr>
        <w:t>postakceleracyjnym</w:t>
      </w:r>
      <w:proofErr w:type="spellEnd"/>
      <w:r>
        <w:rPr>
          <w:rStyle w:val="Brak"/>
          <w:rFonts w:ascii="Calibri" w:hAnsi="Calibri"/>
        </w:rPr>
        <w:t xml:space="preserve"> dla innowacyjnych </w:t>
      </w:r>
      <w:r>
        <w:rPr>
          <w:rStyle w:val="Brak"/>
          <w:rFonts w:ascii="Calibri" w:hAnsi="Calibri"/>
        </w:rPr>
        <w:lastRenderedPageBreak/>
        <w:t>przedsiębiorstw na wczesnym etapie rozwoju (start</w:t>
      </w:r>
      <w:r w:rsidR="0028508C">
        <w:rPr>
          <w:rStyle w:val="Brak"/>
          <w:rFonts w:ascii="Calibri" w:hAnsi="Calibri"/>
        </w:rPr>
        <w:t>-</w:t>
      </w:r>
      <w:proofErr w:type="spellStart"/>
      <w:r>
        <w:rPr>
          <w:rStyle w:val="Brak"/>
          <w:rFonts w:ascii="Calibri" w:hAnsi="Calibri"/>
        </w:rPr>
        <w:t>up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w), realizowane przez wyspecjalizowane podmioty (w </w:t>
      </w:r>
      <w:proofErr w:type="spellStart"/>
      <w:r>
        <w:rPr>
          <w:rStyle w:val="Brak"/>
          <w:rFonts w:ascii="Calibri" w:hAnsi="Calibri"/>
        </w:rPr>
        <w:t>szczeg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lności</w:t>
      </w:r>
      <w:proofErr w:type="spellEnd"/>
      <w:r>
        <w:rPr>
          <w:rStyle w:val="Brak"/>
          <w:rFonts w:ascii="Calibri" w:hAnsi="Calibri"/>
        </w:rPr>
        <w:t xml:space="preserve"> akceleratory i inne ośrodki innowacyjności). Programy realizowane będą przy zaangażowaniu operator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– akcelerator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</w:t>
      </w:r>
      <w:r w:rsidR="0028508C">
        <w:rPr>
          <w:rStyle w:val="Brak"/>
          <w:rFonts w:ascii="Calibri" w:hAnsi="Calibri"/>
        </w:rPr>
        <w:t>. W</w:t>
      </w:r>
      <w:r>
        <w:rPr>
          <w:rStyle w:val="Brak"/>
          <w:rFonts w:ascii="Calibri" w:hAnsi="Calibri"/>
        </w:rPr>
        <w:t xml:space="preserve"> zależności od rodzaju programu akceleracyjnego przewiduje się finansowanie w formie grantu dla start</w:t>
      </w:r>
      <w:r w:rsidR="00CD17DD">
        <w:rPr>
          <w:rStyle w:val="Brak"/>
          <w:rFonts w:ascii="Calibri" w:hAnsi="Calibri"/>
        </w:rPr>
        <w:t>-</w:t>
      </w:r>
      <w:proofErr w:type="spellStart"/>
      <w:r>
        <w:rPr>
          <w:rStyle w:val="Brak"/>
          <w:rFonts w:ascii="Calibri" w:hAnsi="Calibri"/>
        </w:rPr>
        <w:t>up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z przeznaczeniem na m.in. mentoringi specjalistyczne, </w:t>
      </w:r>
      <w:proofErr w:type="spellStart"/>
      <w:r w:rsidRPr="007470CB">
        <w:rPr>
          <w:rStyle w:val="Brak"/>
          <w:rFonts w:ascii="Calibri" w:hAnsi="Calibri"/>
          <w:i/>
          <w:iCs/>
        </w:rPr>
        <w:t>match-making</w:t>
      </w:r>
      <w:proofErr w:type="spellEnd"/>
      <w:r>
        <w:rPr>
          <w:rStyle w:val="Brak"/>
          <w:rFonts w:ascii="Calibri" w:hAnsi="Calibri"/>
        </w:rPr>
        <w:t xml:space="preserve"> z korporacjami, </w:t>
      </w:r>
      <w:r w:rsidR="00CD17DD">
        <w:rPr>
          <w:rStyle w:val="Brak"/>
          <w:rFonts w:ascii="Calibri" w:hAnsi="Calibri"/>
        </w:rPr>
        <w:t xml:space="preserve">pomoc </w:t>
      </w:r>
      <w:r>
        <w:rPr>
          <w:rStyle w:val="Brak"/>
          <w:rFonts w:ascii="Calibri" w:hAnsi="Calibri"/>
        </w:rPr>
        <w:t xml:space="preserve">w skalowaniu działalności na arenie międzynarodowej, wsparcie </w:t>
      </w:r>
      <w:proofErr w:type="spellStart"/>
      <w:r>
        <w:rPr>
          <w:rStyle w:val="Brak"/>
          <w:rFonts w:ascii="Calibri" w:hAnsi="Calibri"/>
        </w:rPr>
        <w:t>soft-landingowe</w:t>
      </w:r>
      <w:proofErr w:type="spellEnd"/>
      <w:r>
        <w:rPr>
          <w:rStyle w:val="Brak"/>
          <w:rFonts w:ascii="Calibri" w:hAnsi="Calibri"/>
        </w:rPr>
        <w:t xml:space="preserve"> dla start</w:t>
      </w:r>
      <w:r w:rsidR="00CD17DD">
        <w:rPr>
          <w:rStyle w:val="Brak"/>
          <w:rFonts w:ascii="Calibri" w:hAnsi="Calibri"/>
        </w:rPr>
        <w:t>-</w:t>
      </w:r>
      <w:proofErr w:type="spellStart"/>
      <w:r>
        <w:rPr>
          <w:rStyle w:val="Brak"/>
          <w:rFonts w:ascii="Calibri" w:hAnsi="Calibri"/>
        </w:rPr>
        <w:t>up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spoza Polski oraz budowanie gotowości inwestycyjnej (zaangażowanie podmiot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VC). Wnioski mogą </w:t>
      </w:r>
      <w:proofErr w:type="spellStart"/>
      <w:r>
        <w:rPr>
          <w:rStyle w:val="Brak"/>
          <w:rFonts w:ascii="Calibri" w:hAnsi="Calibri"/>
        </w:rPr>
        <w:t>skł</w:t>
      </w:r>
      <w:proofErr w:type="spellEnd"/>
      <w:r>
        <w:rPr>
          <w:rStyle w:val="Brak"/>
          <w:rFonts w:ascii="Calibri" w:hAnsi="Calibri"/>
          <w:lang w:val="es-ES_tradnl"/>
        </w:rPr>
        <w:t>ada</w:t>
      </w:r>
      <w:r>
        <w:rPr>
          <w:rStyle w:val="Brak"/>
          <w:rFonts w:ascii="Calibri" w:hAnsi="Calibri"/>
        </w:rPr>
        <w:t>ć instytucje otoczenia biznesu</w:t>
      </w:r>
      <w:r w:rsidR="00327B00">
        <w:rPr>
          <w:rStyle w:val="Brak"/>
          <w:rFonts w:ascii="Calibri" w:hAnsi="Calibri"/>
        </w:rPr>
        <w:t>,</w:t>
      </w:r>
      <w:r w:rsidR="006345B7">
        <w:rPr>
          <w:rStyle w:val="Brak"/>
          <w:rFonts w:ascii="Calibri" w:hAnsi="Calibri"/>
        </w:rPr>
        <w:t xml:space="preserve"> a grupą docelową ich działań będą MŚP</w:t>
      </w:r>
      <w:r>
        <w:rPr>
          <w:rStyle w:val="Brak"/>
          <w:rFonts w:ascii="Calibri" w:hAnsi="Calibri"/>
        </w:rPr>
        <w:t>. Maksymalny poziom dofinansowania wynosi 100%.</w:t>
      </w:r>
    </w:p>
    <w:p w14:paraId="74C6CBFA" w14:textId="513A2BF5" w:rsidR="00A312BC" w:rsidRDefault="00D83298" w:rsidP="00980052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Ogłoszenie naboru </w:t>
      </w:r>
      <w:r w:rsidR="00447DFF">
        <w:rPr>
          <w:rStyle w:val="Brak"/>
          <w:rFonts w:ascii="Calibri" w:hAnsi="Calibri"/>
        </w:rPr>
        <w:t xml:space="preserve">planowane jest na początek </w:t>
      </w:r>
      <w:r>
        <w:rPr>
          <w:rStyle w:val="Brak"/>
          <w:rFonts w:ascii="Calibri" w:hAnsi="Calibri"/>
        </w:rPr>
        <w:t>maja 2023 r. Wnioski będzie można</w:t>
      </w:r>
      <w:r w:rsidR="00CD17DD" w:rsidRPr="00CD17DD">
        <w:rPr>
          <w:rFonts w:ascii="Calibri" w:hAnsi="Calibri" w:cs="Times New Roman"/>
          <w:color w:val="auto"/>
          <w:lang w:val="en-US" w:eastAsia="en-US"/>
        </w:rPr>
        <w:t xml:space="preserve"> </w:t>
      </w:r>
      <w:proofErr w:type="spellStart"/>
      <w:r w:rsidR="00CD17DD" w:rsidRPr="00CD17DD">
        <w:rPr>
          <w:rFonts w:ascii="Calibri" w:hAnsi="Calibri"/>
          <w:lang w:val="en-US"/>
        </w:rPr>
        <w:t>składać</w:t>
      </w:r>
      <w:proofErr w:type="spellEnd"/>
      <w:r>
        <w:rPr>
          <w:rStyle w:val="Brak"/>
          <w:rFonts w:ascii="Calibri" w:hAnsi="Calibri"/>
        </w:rPr>
        <w:t xml:space="preserve"> od 13 czerwca do 1 sierpnia 2023 r.</w:t>
      </w:r>
    </w:p>
    <w:p w14:paraId="098C3281" w14:textId="2604971D" w:rsidR="00A312BC" w:rsidRDefault="00D83298" w:rsidP="00980052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b/>
          <w:bCs/>
        </w:rPr>
        <w:t>Laboratorium Innowatora</w:t>
      </w:r>
    </w:p>
    <w:p w14:paraId="627A3BEE" w14:textId="18EE835C" w:rsidR="00A312BC" w:rsidRDefault="00D83298" w:rsidP="00980052">
      <w:pPr>
        <w:pStyle w:val="NormalnyWeb"/>
        <w:shd w:val="clear" w:color="auto" w:fill="FFFFFF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Celem konkursu jest wzmacnianie trwałego wzrostu i konkurencyjności </w:t>
      </w:r>
      <w:r w:rsidR="00674DFC">
        <w:rPr>
          <w:rStyle w:val="Brak"/>
          <w:rFonts w:ascii="Calibri" w:hAnsi="Calibri"/>
        </w:rPr>
        <w:t>mikro</w:t>
      </w:r>
      <w:r w:rsidR="00CD17DD">
        <w:rPr>
          <w:rStyle w:val="Brak"/>
          <w:rFonts w:ascii="Calibri" w:hAnsi="Calibri"/>
        </w:rPr>
        <w:t>-</w:t>
      </w:r>
      <w:r w:rsidR="00674DFC">
        <w:rPr>
          <w:rStyle w:val="Brak"/>
          <w:rFonts w:ascii="Calibri" w:hAnsi="Calibri"/>
        </w:rPr>
        <w:t>, małych i średnich przedsiębiorstw</w:t>
      </w:r>
      <w:r>
        <w:rPr>
          <w:rStyle w:val="Brak"/>
          <w:rFonts w:ascii="Calibri" w:hAnsi="Calibri"/>
        </w:rPr>
        <w:t xml:space="preserve"> oraz tworzenie miejsc pracy w MŚP, w tym poprzez inwestycje produkcyjne. Tylko w 2023 roku budżet konkursu wynosi 11 mln zł. Dzięki Laboratorium </w:t>
      </w:r>
      <w:r w:rsidR="00CD17DD">
        <w:rPr>
          <w:rStyle w:val="Brak"/>
          <w:rFonts w:ascii="Calibri" w:hAnsi="Calibri"/>
        </w:rPr>
        <w:t>I</w:t>
      </w:r>
      <w:r>
        <w:rPr>
          <w:rStyle w:val="Brak"/>
          <w:rFonts w:ascii="Calibri" w:hAnsi="Calibri"/>
        </w:rPr>
        <w:t>nnowatora możliwe jest wsparcie samozatrudnienia i zakładania działalności gospodarczej typu start</w:t>
      </w:r>
      <w:r w:rsidR="00CD17DD">
        <w:rPr>
          <w:rStyle w:val="Brak"/>
          <w:rFonts w:ascii="Calibri" w:hAnsi="Calibri"/>
        </w:rPr>
        <w:t>-</w:t>
      </w:r>
      <w:r>
        <w:rPr>
          <w:rStyle w:val="Brak"/>
          <w:rFonts w:ascii="Calibri" w:hAnsi="Calibri"/>
        </w:rPr>
        <w:t xml:space="preserve">up. Działaniami objętymi dofinansowaniem są programy </w:t>
      </w:r>
      <w:proofErr w:type="spellStart"/>
      <w:r>
        <w:rPr>
          <w:rStyle w:val="Brak"/>
          <w:rFonts w:ascii="Calibri" w:hAnsi="Calibri"/>
        </w:rPr>
        <w:t>mentoringowe</w:t>
      </w:r>
      <w:proofErr w:type="spellEnd"/>
      <w:r>
        <w:rPr>
          <w:rStyle w:val="Brak"/>
          <w:rFonts w:ascii="Calibri" w:hAnsi="Calibri"/>
        </w:rPr>
        <w:t xml:space="preserve">, pozwalające zweryfikować założenia biznesowe </w:t>
      </w:r>
      <w:proofErr w:type="spellStart"/>
      <w:r>
        <w:rPr>
          <w:rStyle w:val="Brak"/>
          <w:rFonts w:ascii="Calibri" w:hAnsi="Calibri"/>
        </w:rPr>
        <w:t>pomysłodawc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w, oferujące dostęp do przestrzeni do pracy (typu co-</w:t>
      </w:r>
      <w:proofErr w:type="spellStart"/>
      <w:r>
        <w:rPr>
          <w:rStyle w:val="Brak"/>
          <w:rFonts w:ascii="Calibri" w:hAnsi="Calibri"/>
        </w:rPr>
        <w:t>work</w:t>
      </w:r>
      <w:proofErr w:type="spellEnd"/>
      <w:r>
        <w:rPr>
          <w:rStyle w:val="Brak"/>
          <w:rFonts w:ascii="Calibri" w:hAnsi="Calibri"/>
        </w:rPr>
        <w:t xml:space="preserve">) oraz dostęp do prototypowni, laboratorium itd. Dodatkowo środki unijne można otrzymać </w:t>
      </w:r>
      <w:r w:rsidR="00382D68">
        <w:rPr>
          <w:rStyle w:val="Brak"/>
          <w:rFonts w:ascii="Calibri" w:hAnsi="Calibri"/>
        </w:rPr>
        <w:t xml:space="preserve">na </w:t>
      </w:r>
      <w:r>
        <w:rPr>
          <w:rStyle w:val="Brak"/>
          <w:rFonts w:ascii="Calibri" w:hAnsi="Calibri"/>
        </w:rPr>
        <w:t xml:space="preserve">zakup materiałów i </w:t>
      </w:r>
      <w:proofErr w:type="spellStart"/>
      <w:r>
        <w:rPr>
          <w:rStyle w:val="Brak"/>
          <w:rFonts w:ascii="Calibri" w:hAnsi="Calibri"/>
        </w:rPr>
        <w:t>surowc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niezbędnych do weryfikacji podstawowych założeń biznesowych</w:t>
      </w:r>
      <w:r w:rsidR="00382D68">
        <w:rPr>
          <w:rStyle w:val="Brak"/>
          <w:rFonts w:ascii="Calibri" w:hAnsi="Calibri"/>
        </w:rPr>
        <w:t xml:space="preserve"> oraz na </w:t>
      </w:r>
      <w:r>
        <w:rPr>
          <w:rStyle w:val="Brak"/>
          <w:rFonts w:ascii="Calibri" w:hAnsi="Calibri"/>
        </w:rPr>
        <w:t>usługi wspomagające nawiązanie niezbędnych relacji biznesowych. Wsparcie przeznaczone jest także na granty na rozpoczęcie działalności dla start</w:t>
      </w:r>
      <w:r w:rsidR="00CD17DD">
        <w:rPr>
          <w:rStyle w:val="Brak"/>
          <w:rFonts w:ascii="Calibri" w:hAnsi="Calibri"/>
        </w:rPr>
        <w:t>-</w:t>
      </w:r>
      <w:proofErr w:type="spellStart"/>
      <w:r>
        <w:rPr>
          <w:rStyle w:val="Brak"/>
          <w:rFonts w:ascii="Calibri" w:hAnsi="Calibri"/>
        </w:rPr>
        <w:t>up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zakładanych w Polsce. Beneficjentami konkursu mogą zostać instytucje otoczenia biznesu. Maksymalny poziom dofinansowania unijnego w projekcie to 100%.</w:t>
      </w:r>
    </w:p>
    <w:p w14:paraId="0659F4BA" w14:textId="4D2602B4" w:rsidR="00A312BC" w:rsidRDefault="00D83298" w:rsidP="00980052">
      <w:pPr>
        <w:pStyle w:val="NormalnyWeb"/>
        <w:shd w:val="clear" w:color="auto" w:fill="FFFFFF"/>
        <w:spacing w:before="120" w:after="120"/>
      </w:pPr>
      <w:r>
        <w:rPr>
          <w:rStyle w:val="Brak"/>
          <w:rFonts w:ascii="Calibri" w:hAnsi="Calibri"/>
        </w:rPr>
        <w:t xml:space="preserve">Ogłoszenie naboru zgłoszeń </w:t>
      </w:r>
      <w:r w:rsidR="00447DFF">
        <w:rPr>
          <w:rStyle w:val="Brak"/>
          <w:rFonts w:ascii="Calibri" w:hAnsi="Calibri"/>
        </w:rPr>
        <w:t xml:space="preserve">jest przewidziane na wrzesień </w:t>
      </w:r>
      <w:r>
        <w:rPr>
          <w:rStyle w:val="Brak"/>
          <w:rFonts w:ascii="Calibri" w:hAnsi="Calibri"/>
        </w:rPr>
        <w:t xml:space="preserve">2023 r. Wnioski składać będzie można od </w:t>
      </w:r>
      <w:r>
        <w:rPr>
          <w:rStyle w:val="Brak"/>
          <w:rFonts w:ascii="Calibri" w:hAnsi="Calibri"/>
          <w:lang w:val="it-IT"/>
        </w:rPr>
        <w:t>24 paz</w:t>
      </w:r>
      <w:r>
        <w:rPr>
          <w:rStyle w:val="Brak"/>
          <w:rFonts w:ascii="Calibri" w:hAnsi="Calibri"/>
        </w:rPr>
        <w:t>́</w:t>
      </w:r>
      <w:proofErr w:type="spellStart"/>
      <w:r>
        <w:rPr>
          <w:rStyle w:val="Brak"/>
          <w:rFonts w:ascii="Calibri" w:hAnsi="Calibri"/>
        </w:rPr>
        <w:t>dziernika</w:t>
      </w:r>
      <w:proofErr w:type="spellEnd"/>
      <w:r>
        <w:rPr>
          <w:rStyle w:val="Brak"/>
          <w:rFonts w:ascii="Calibri" w:hAnsi="Calibri"/>
        </w:rPr>
        <w:t xml:space="preserve"> do 19 grudnia 2023 r.</w:t>
      </w:r>
      <w:r>
        <w:rPr>
          <w:rStyle w:val="Brak"/>
          <w:rFonts w:ascii="Calibri" w:eastAsia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 wp14:anchorId="1F2417F5" wp14:editId="46B7E7A6">
            <wp:simplePos x="0" y="0"/>
            <wp:positionH relativeFrom="margin">
              <wp:posOffset>-338740</wp:posOffset>
            </wp:positionH>
            <wp:positionV relativeFrom="line">
              <wp:posOffset>345901</wp:posOffset>
            </wp:positionV>
            <wp:extent cx="6785551" cy="90842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43"/>
                <wp:lineTo x="0" y="21743"/>
                <wp:lineTo x="0" y="0"/>
              </wp:wrapPolygon>
            </wp:wrapThrough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5551" cy="9084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312BC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37D1" w14:textId="77777777" w:rsidR="00AD2B1E" w:rsidRDefault="00AD2B1E">
      <w:r>
        <w:separator/>
      </w:r>
    </w:p>
  </w:endnote>
  <w:endnote w:type="continuationSeparator" w:id="0">
    <w:p w14:paraId="493AF487" w14:textId="77777777" w:rsidR="00AD2B1E" w:rsidRDefault="00AD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28F7" w14:textId="77777777" w:rsidR="00A312BC" w:rsidRDefault="00A312BC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7CDF" w14:textId="77777777" w:rsidR="00A312BC" w:rsidRDefault="00A312B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1041" w14:textId="77777777" w:rsidR="00AD2B1E" w:rsidRDefault="00AD2B1E">
      <w:r>
        <w:separator/>
      </w:r>
    </w:p>
  </w:footnote>
  <w:footnote w:type="continuationSeparator" w:id="0">
    <w:p w14:paraId="2F995444" w14:textId="77777777" w:rsidR="00AD2B1E" w:rsidRDefault="00AD2B1E">
      <w:r>
        <w:continuationSeparator/>
      </w:r>
    </w:p>
  </w:footnote>
  <w:footnote w:type="continuationNotice" w:id="1">
    <w:p w14:paraId="1A5DD373" w14:textId="77777777" w:rsidR="00AD2B1E" w:rsidRDefault="00AD2B1E"/>
  </w:footnote>
  <w:footnote w:id="2">
    <w:p w14:paraId="3A43C2B5" w14:textId="77777777" w:rsidR="00A312BC" w:rsidRDefault="00D83298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https://www.marketsandmarkets.com/Market-Reports/blockchain-technology-market-90100890.html</w:t>
      </w:r>
    </w:p>
  </w:footnote>
  <w:footnote w:id="3">
    <w:p w14:paraId="54917265" w14:textId="77777777" w:rsidR="00A312BC" w:rsidRDefault="00D83298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Style w:val="Brak"/>
          <w:rFonts w:ascii="Calibri" w:eastAsia="Calibri" w:hAnsi="Calibri" w:cs="Calibri"/>
          <w:sz w:val="20"/>
          <w:szCs w:val="20"/>
          <w:vertAlign w:val="superscript"/>
        </w:rPr>
        <w:footnoteRef/>
      </w:r>
      <w:r w:rsidRPr="00F557F6">
        <w:rPr>
          <w:rFonts w:ascii="Calibri" w:hAnsi="Calibri"/>
          <w:sz w:val="20"/>
          <w:szCs w:val="20"/>
        </w:rPr>
        <w:t xml:space="preserve"> https://startuppoland.org/wp-content/uploads/2021/06/Blockchain-Compass-2018.pdf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9678" w14:textId="77777777" w:rsidR="00A312BC" w:rsidRDefault="00D83298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60646B5D" wp14:editId="0777B2F8">
          <wp:simplePos x="0" y="0"/>
          <wp:positionH relativeFrom="page">
            <wp:posOffset>-435608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BEDE" w14:textId="77777777" w:rsidR="00A312BC" w:rsidRDefault="00D83298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61981F4" wp14:editId="6B9B2768">
          <wp:simplePos x="0" y="0"/>
          <wp:positionH relativeFrom="page">
            <wp:posOffset>6350</wp:posOffset>
          </wp:positionH>
          <wp:positionV relativeFrom="page">
            <wp:posOffset>4442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BC"/>
    <w:rsid w:val="00053E51"/>
    <w:rsid w:val="000C5ABC"/>
    <w:rsid w:val="0028508C"/>
    <w:rsid w:val="002F7A3F"/>
    <w:rsid w:val="00327B00"/>
    <w:rsid w:val="00382D68"/>
    <w:rsid w:val="003D339C"/>
    <w:rsid w:val="00447DFF"/>
    <w:rsid w:val="00476B09"/>
    <w:rsid w:val="004F5F8A"/>
    <w:rsid w:val="005B230B"/>
    <w:rsid w:val="006345B7"/>
    <w:rsid w:val="00674DFC"/>
    <w:rsid w:val="007470CB"/>
    <w:rsid w:val="00770F71"/>
    <w:rsid w:val="007C0051"/>
    <w:rsid w:val="00813F19"/>
    <w:rsid w:val="00980052"/>
    <w:rsid w:val="00A312BC"/>
    <w:rsid w:val="00A65E82"/>
    <w:rsid w:val="00AD2B1E"/>
    <w:rsid w:val="00B26057"/>
    <w:rsid w:val="00B43CC9"/>
    <w:rsid w:val="00B740AB"/>
    <w:rsid w:val="00C34047"/>
    <w:rsid w:val="00C67838"/>
    <w:rsid w:val="00C70E33"/>
    <w:rsid w:val="00C7797B"/>
    <w:rsid w:val="00CA027E"/>
    <w:rsid w:val="00CD17DD"/>
    <w:rsid w:val="00D77F57"/>
    <w:rsid w:val="00D83298"/>
    <w:rsid w:val="00DE0FD3"/>
    <w:rsid w:val="00EB29E9"/>
    <w:rsid w:val="00F1514F"/>
    <w:rsid w:val="00F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3A66"/>
  <w15:docId w15:val="{E69F3173-A368-40AA-955D-913779D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uiPriority w:val="9"/>
    <w:unhideWhenUsed/>
    <w:qFormat/>
    <w:pPr>
      <w:keepNext/>
      <w:keepLines/>
      <w:spacing w:before="40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paragraph" w:customStyle="1" w:styleId="DomylneA">
    <w:name w:val="Domyślne A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1">
    <w:name w:val="Hyperlink.1"/>
    <w:basedOn w:val="cze"/>
    <w:rPr>
      <w:rFonts w:ascii="Calibri" w:eastAsia="Calibri" w:hAnsi="Calibri" w:cs="Calibri"/>
      <w:outline w:val="0"/>
      <w:color w:val="0000FF"/>
      <w:u w:val="single" w:color="0000FF"/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line="276" w:lineRule="auto"/>
    </w:pPr>
    <w:rPr>
      <w:rFonts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E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E3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E33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33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C779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arp.gov.pl/storage/publications/pdf/2018_monitoring_trendow_05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uiza_nowicka@parp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parp.gov.pl/component/grants/grants/sciezka-sm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3807-3675-4A1F-8190-DE292102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Luiza</dc:creator>
  <cp:lastModifiedBy>Nowicka Luiza</cp:lastModifiedBy>
  <cp:revision>2</cp:revision>
  <dcterms:created xsi:type="dcterms:W3CDTF">2023-03-15T15:21:00Z</dcterms:created>
  <dcterms:modified xsi:type="dcterms:W3CDTF">2023-03-15T15:21:00Z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36011545dcb307041638164d1ffb7544d4eeda6d9c07a1076ec021a1b9f2569f</vt:lpwstr>
  </property>
</Properties>
</file>