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91" w:rsidRDefault="009D5791" w:rsidP="0009145E">
      <w:pPr>
        <w:rPr>
          <w:b/>
        </w:r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67C71FFC" wp14:editId="5D22E388">
            <wp:extent cx="5760720" cy="575594"/>
            <wp:effectExtent l="0" t="0" r="0" b="0"/>
            <wp:docPr id="1073741827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5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9D5791" w:rsidRDefault="009D5791" w:rsidP="009D5791">
      <w:pPr>
        <w:pStyle w:val="Normalny1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mediów</w:t>
      </w:r>
      <w:proofErr w:type="spellEnd"/>
      <w:r>
        <w:rPr>
          <w:sz w:val="24"/>
          <w:szCs w:val="24"/>
        </w:rPr>
        <w:t>:</w:t>
      </w:r>
    </w:p>
    <w:p w:rsidR="009D5791" w:rsidRDefault="009D5791" w:rsidP="009D5791">
      <w:pPr>
        <w:pStyle w:val="Normalny1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Luiza Nowicka, PARP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Informacja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prasowa</w:t>
      </w:r>
      <w:proofErr w:type="spellEnd"/>
    </w:p>
    <w:p w:rsidR="009D5791" w:rsidRDefault="009D5791" w:rsidP="009D5791">
      <w:pPr>
        <w:pStyle w:val="Normalny1"/>
        <w:spacing w:after="0" w:line="276" w:lineRule="auto"/>
        <w:rPr>
          <w:rStyle w:val="Hyperlink0"/>
        </w:rPr>
      </w:pPr>
      <w:r>
        <w:rPr>
          <w:sz w:val="24"/>
          <w:szCs w:val="24"/>
        </w:rPr>
        <w:t xml:space="preserve">e-mail: </w:t>
      </w:r>
      <w:hyperlink r:id="rId7" w:history="1">
        <w:r>
          <w:rPr>
            <w:rStyle w:val="Hyperlink0"/>
          </w:rPr>
          <w:t>luiza_nowicka@parp.gov.pl</w:t>
        </w:r>
      </w:hyperlink>
      <w:r>
        <w:rPr>
          <w:rStyle w:val="Hyperlink0"/>
        </w:rPr>
        <w:t xml:space="preserve">                                                           Warszawa, 17.03.2023 r.</w:t>
      </w:r>
    </w:p>
    <w:p w:rsidR="009D5791" w:rsidRDefault="009D5791" w:rsidP="009D5791">
      <w:pPr>
        <w:pStyle w:val="Normalny1"/>
        <w:spacing w:after="0" w:line="276" w:lineRule="auto"/>
        <w:rPr>
          <w:rStyle w:val="Brak"/>
        </w:rPr>
      </w:pPr>
      <w:r>
        <w:rPr>
          <w:rStyle w:val="Hyperlink0"/>
        </w:rPr>
        <w:t>tel.: 880 524</w:t>
      </w:r>
      <w:r>
        <w:rPr>
          <w:rStyle w:val="Hyperlink0"/>
        </w:rPr>
        <w:t> </w:t>
      </w:r>
      <w:r>
        <w:rPr>
          <w:rStyle w:val="Hyperlink0"/>
        </w:rPr>
        <w:t>959</w:t>
      </w:r>
    </w:p>
    <w:p w:rsidR="009D5791" w:rsidRDefault="009D5791" w:rsidP="0009145E">
      <w:pPr>
        <w:rPr>
          <w:b/>
        </w:rPr>
      </w:pPr>
    </w:p>
    <w:p w:rsidR="00FB299E" w:rsidRPr="00FE64C9" w:rsidRDefault="00FB299E" w:rsidP="009D5791">
      <w:pPr>
        <w:pStyle w:val="Nagwek1"/>
        <w:rPr>
          <w:b w:val="0"/>
        </w:rPr>
      </w:pPr>
      <w:r w:rsidRPr="00FE64C9">
        <w:t>Cztery pokolenia na polskim rynku pracy</w:t>
      </w:r>
    </w:p>
    <w:p w:rsidR="00E965B4" w:rsidRPr="009D5791" w:rsidRDefault="00E965B4" w:rsidP="009D5791">
      <w:pPr>
        <w:spacing w:before="120" w:after="120" w:line="276" w:lineRule="auto"/>
        <w:rPr>
          <w:rFonts w:ascii="Calibri" w:hAnsi="Calibri" w:cs="Calibri"/>
          <w:b/>
          <w:sz w:val="24"/>
          <w:szCs w:val="24"/>
        </w:rPr>
      </w:pPr>
      <w:r w:rsidRPr="009D5791">
        <w:rPr>
          <w:rFonts w:ascii="Calibri" w:hAnsi="Calibri" w:cs="Calibri"/>
          <w:b/>
          <w:sz w:val="24"/>
          <w:szCs w:val="24"/>
        </w:rPr>
        <w:t xml:space="preserve">Polski rynek pracy znalazł się w ciekawym punkcie. Obecne są na nim cztery pokolenia – </w:t>
      </w:r>
      <w:r w:rsidR="00BF2EDF" w:rsidRPr="009D5791">
        <w:rPr>
          <w:rFonts w:ascii="Calibri" w:hAnsi="Calibri" w:cs="Calibri"/>
          <w:b/>
          <w:sz w:val="24"/>
          <w:szCs w:val="24"/>
        </w:rPr>
        <w:t>b</w:t>
      </w:r>
      <w:r w:rsidRPr="009D5791">
        <w:rPr>
          <w:rFonts w:ascii="Calibri" w:hAnsi="Calibri" w:cs="Calibri"/>
          <w:b/>
          <w:sz w:val="24"/>
          <w:szCs w:val="24"/>
        </w:rPr>
        <w:t xml:space="preserve">aby </w:t>
      </w:r>
      <w:proofErr w:type="spellStart"/>
      <w:r w:rsidRPr="009D5791">
        <w:rPr>
          <w:rFonts w:ascii="Calibri" w:hAnsi="Calibri" w:cs="Calibri"/>
          <w:b/>
          <w:sz w:val="24"/>
          <w:szCs w:val="24"/>
        </w:rPr>
        <w:t>boomers</w:t>
      </w:r>
      <w:proofErr w:type="spellEnd"/>
      <w:r w:rsidRPr="009D5791">
        <w:rPr>
          <w:rFonts w:ascii="Calibri" w:hAnsi="Calibri" w:cs="Calibri"/>
          <w:b/>
          <w:sz w:val="24"/>
          <w:szCs w:val="24"/>
        </w:rPr>
        <w:t xml:space="preserve"> oraz </w:t>
      </w:r>
      <w:r w:rsidR="00221F28" w:rsidRPr="009D5791">
        <w:rPr>
          <w:rFonts w:ascii="Calibri" w:hAnsi="Calibri" w:cs="Calibri"/>
          <w:b/>
          <w:sz w:val="24"/>
          <w:szCs w:val="24"/>
        </w:rPr>
        <w:t xml:space="preserve">generacja </w:t>
      </w:r>
      <w:r w:rsidRPr="009D5791">
        <w:rPr>
          <w:rFonts w:ascii="Calibri" w:hAnsi="Calibri" w:cs="Calibri"/>
          <w:b/>
          <w:sz w:val="24"/>
          <w:szCs w:val="24"/>
        </w:rPr>
        <w:t>X, Y i Z. Postęp technologiczny i społeczny nieustannie przyczynia się do</w:t>
      </w:r>
      <w:r w:rsidR="00E30FEC" w:rsidRPr="009D5791">
        <w:rPr>
          <w:rFonts w:ascii="Calibri" w:hAnsi="Calibri" w:cs="Calibri"/>
          <w:b/>
          <w:sz w:val="24"/>
          <w:szCs w:val="24"/>
        </w:rPr>
        <w:t xml:space="preserve"> dynamicznego</w:t>
      </w:r>
      <w:r w:rsidRPr="009D5791">
        <w:rPr>
          <w:rFonts w:ascii="Calibri" w:hAnsi="Calibri" w:cs="Calibri"/>
          <w:b/>
          <w:sz w:val="24"/>
          <w:szCs w:val="24"/>
        </w:rPr>
        <w:t xml:space="preserve"> rozwoju gospodarki opartej na nowych technologiach, które do tej pory były obce, zwłaszcza dla przedstawicieli najstarszego pokolenia. </w:t>
      </w:r>
      <w:r w:rsidR="00E30FEC" w:rsidRPr="009D5791">
        <w:rPr>
          <w:rFonts w:ascii="Calibri" w:hAnsi="Calibri" w:cs="Calibri"/>
          <w:b/>
          <w:sz w:val="24"/>
          <w:szCs w:val="24"/>
        </w:rPr>
        <w:t>Co wyróżnia każdą z grup? Jakie mają motywacje do pracy? Czy różnorodność pokoleniowa w pracy to przepis na udany zespół?</w:t>
      </w:r>
    </w:p>
    <w:p w:rsidR="00280FE3" w:rsidRPr="009D5791" w:rsidRDefault="00280FE3" w:rsidP="009D5791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D5791">
        <w:rPr>
          <w:rFonts w:ascii="Calibri" w:hAnsi="Calibri" w:cs="Calibri"/>
          <w:sz w:val="24"/>
          <w:szCs w:val="24"/>
        </w:rPr>
        <w:t xml:space="preserve">Pandemia spowodowała </w:t>
      </w:r>
      <w:r w:rsidR="009D5791">
        <w:rPr>
          <w:rFonts w:ascii="Calibri" w:hAnsi="Calibri" w:cs="Calibri"/>
          <w:sz w:val="24"/>
          <w:szCs w:val="24"/>
        </w:rPr>
        <w:t>zmiany</w:t>
      </w:r>
      <w:r w:rsidRPr="009D5791">
        <w:rPr>
          <w:rFonts w:ascii="Calibri" w:hAnsi="Calibri" w:cs="Calibri"/>
          <w:sz w:val="24"/>
          <w:szCs w:val="24"/>
        </w:rPr>
        <w:t xml:space="preserve"> na rynku pracy. Firmy zaczęły utrwalać nowe sposoby funkcjonowania i organizacji pracy. Eksperci z </w:t>
      </w:r>
      <w:proofErr w:type="spellStart"/>
      <w:r w:rsidRPr="009D5791">
        <w:rPr>
          <w:rFonts w:ascii="Calibri" w:hAnsi="Calibri" w:cs="Calibri"/>
          <w:sz w:val="24"/>
          <w:szCs w:val="24"/>
        </w:rPr>
        <w:t>McKinsey</w:t>
      </w:r>
      <w:proofErr w:type="spellEnd"/>
      <w:r w:rsidRPr="009D5791">
        <w:rPr>
          <w:rFonts w:ascii="Calibri" w:hAnsi="Calibri" w:cs="Calibri"/>
          <w:sz w:val="24"/>
          <w:szCs w:val="24"/>
        </w:rPr>
        <w:t xml:space="preserve"> &amp; Co. </w:t>
      </w:r>
      <w:r w:rsidR="00221F28" w:rsidRPr="009D5791">
        <w:rPr>
          <w:rFonts w:ascii="Calibri" w:hAnsi="Calibri" w:cs="Calibri"/>
          <w:sz w:val="24"/>
          <w:szCs w:val="24"/>
        </w:rPr>
        <w:t>obliczyli</w:t>
      </w:r>
      <w:r w:rsidRPr="009D5791">
        <w:rPr>
          <w:rFonts w:ascii="Calibri" w:hAnsi="Calibri" w:cs="Calibri"/>
          <w:sz w:val="24"/>
          <w:szCs w:val="24"/>
        </w:rPr>
        <w:t xml:space="preserve">, że pandemia skróciła aż 43-krotnie czas potrzebny do wdrożenia zmian, związanych ze zdalną pracą i współpracą. Zmiany te spowodowały zapotrzebowanie na nowe kompetencje wśród pracowników. </w:t>
      </w:r>
      <w:r w:rsidR="00F57D9B" w:rsidRPr="009D5791">
        <w:rPr>
          <w:rFonts w:ascii="Calibri" w:hAnsi="Calibri" w:cs="Calibri"/>
          <w:sz w:val="24"/>
          <w:szCs w:val="24"/>
        </w:rPr>
        <w:t>Jak wynika z raportu Polskiej Agencji Rozwoju Przedsiębiorczości „Bilans Kapitału Ludzkiego 2022/2021. Raport z badania ludzkości w wieku 18-69 lat”, sytuacja na rynku pracy doprowadziła do wyraźnego zmniejszenia oczekiwań pracodawców co do doświadczenia zawodowego kandydatów do pracy. Pożądanymi kompetencjami potencjalnych pracowników stały się przede wszystkim: terminowość, własna organizacja pracy, umiejętność pracy w stresie oraz odpowiedzialność. Pracodawcy szukają również osób, które cechuje łatwość uczenia się, pomysłowość, umiejętność analizy i wyciągania wniosków.</w:t>
      </w:r>
      <w:r w:rsidR="001D380B" w:rsidRPr="009D5791">
        <w:rPr>
          <w:rFonts w:ascii="Calibri" w:hAnsi="Calibri" w:cs="Calibri"/>
          <w:sz w:val="24"/>
          <w:szCs w:val="24"/>
        </w:rPr>
        <w:t xml:space="preserve"> Która z grup odnajdzie się </w:t>
      </w:r>
      <w:r w:rsidR="00322957" w:rsidRPr="009D5791">
        <w:rPr>
          <w:rFonts w:ascii="Calibri" w:hAnsi="Calibri" w:cs="Calibri"/>
          <w:sz w:val="24"/>
          <w:szCs w:val="24"/>
        </w:rPr>
        <w:t>na tak dynamicznie zmieniającym się rynku pracy?</w:t>
      </w:r>
    </w:p>
    <w:p w:rsidR="00E30FEC" w:rsidRPr="009D5791" w:rsidRDefault="00802338" w:rsidP="009D5791">
      <w:pPr>
        <w:pStyle w:val="Nagwek2"/>
      </w:pPr>
      <w:r w:rsidRPr="009D5791">
        <w:t xml:space="preserve">Baby </w:t>
      </w:r>
      <w:proofErr w:type="spellStart"/>
      <w:r w:rsidRPr="009D5791">
        <w:t>boomers</w:t>
      </w:r>
      <w:proofErr w:type="spellEnd"/>
      <w:r w:rsidRPr="009D5791">
        <w:t xml:space="preserve"> </w:t>
      </w:r>
      <w:r w:rsidR="00280FE3" w:rsidRPr="009D5791">
        <w:t>nie chcą nic zmieniać, pokolenie Z podąża za trendami</w:t>
      </w:r>
    </w:p>
    <w:p w:rsidR="00032D6C" w:rsidRPr="009D5791" w:rsidRDefault="00E30FEC" w:rsidP="009D5791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D5791">
        <w:rPr>
          <w:rFonts w:ascii="Calibri" w:hAnsi="Calibri" w:cs="Calibri"/>
          <w:sz w:val="24"/>
          <w:szCs w:val="24"/>
        </w:rPr>
        <w:t xml:space="preserve">Baby </w:t>
      </w:r>
      <w:proofErr w:type="spellStart"/>
      <w:r w:rsidRPr="009D5791">
        <w:rPr>
          <w:rFonts w:ascii="Calibri" w:hAnsi="Calibri" w:cs="Calibri"/>
          <w:sz w:val="24"/>
          <w:szCs w:val="24"/>
        </w:rPr>
        <w:t>boomers</w:t>
      </w:r>
      <w:proofErr w:type="spellEnd"/>
      <w:r w:rsidRPr="009D5791">
        <w:rPr>
          <w:rFonts w:ascii="Calibri" w:hAnsi="Calibri" w:cs="Calibri"/>
          <w:sz w:val="24"/>
          <w:szCs w:val="24"/>
        </w:rPr>
        <w:t xml:space="preserve"> to najstarsza </w:t>
      </w:r>
      <w:r w:rsidR="00905235" w:rsidRPr="009D5791">
        <w:rPr>
          <w:rFonts w:ascii="Calibri" w:hAnsi="Calibri" w:cs="Calibri"/>
          <w:sz w:val="24"/>
          <w:szCs w:val="24"/>
        </w:rPr>
        <w:t xml:space="preserve">grupa obecna na rynku pracy. Są to przedstawiciele wyżu demograficznego, urodzeni w latach 1946-1964. Mają największe doświadczenie, osiągnęli pozycję zawodową, </w:t>
      </w:r>
      <w:r w:rsidR="006D5F74" w:rsidRPr="009D5791">
        <w:rPr>
          <w:rFonts w:ascii="Calibri" w:hAnsi="Calibri" w:cs="Calibri"/>
          <w:sz w:val="24"/>
          <w:szCs w:val="24"/>
        </w:rPr>
        <w:t xml:space="preserve">cenią sobie stabilizację </w:t>
      </w:r>
      <w:r w:rsidR="001D64C6" w:rsidRPr="009D5791">
        <w:rPr>
          <w:rFonts w:ascii="Calibri" w:hAnsi="Calibri" w:cs="Calibri"/>
          <w:sz w:val="24"/>
          <w:szCs w:val="24"/>
        </w:rPr>
        <w:t>i lojalność. Zbliżają się do wieku emerytalnego</w:t>
      </w:r>
      <w:r w:rsidR="00032D6C" w:rsidRPr="009D5791">
        <w:rPr>
          <w:rFonts w:ascii="Calibri" w:hAnsi="Calibri" w:cs="Calibri"/>
          <w:sz w:val="24"/>
          <w:szCs w:val="24"/>
        </w:rPr>
        <w:t xml:space="preserve">, są skłonni raczej do przekwalifikowania się niż zmiany pracodawcy. Jak wynika z raportu „Generacja dobrej kariery. Pokolenia o pracy w Polsce” grupy </w:t>
      </w:r>
      <w:r w:rsidR="009D5791">
        <w:rPr>
          <w:rFonts w:ascii="Calibri" w:hAnsi="Calibri" w:cs="Calibri"/>
          <w:sz w:val="24"/>
          <w:szCs w:val="24"/>
        </w:rPr>
        <w:t>P</w:t>
      </w:r>
      <w:r w:rsidR="00032D6C" w:rsidRPr="009D5791">
        <w:rPr>
          <w:rFonts w:ascii="Calibri" w:hAnsi="Calibri" w:cs="Calibri"/>
          <w:sz w:val="24"/>
          <w:szCs w:val="24"/>
        </w:rPr>
        <w:t>racuj.pl, są świadomi jak postępująca cyfryzacja wpływa na pracę. Co ciekawe, jako jedyni z czterech grup obecnych na rynku pracy, bardziej niż dobre zarobki cenią atmosferę wśród współpracowników.</w:t>
      </w:r>
    </w:p>
    <w:p w:rsidR="00032D6C" w:rsidRPr="009D5791" w:rsidRDefault="00032D6C" w:rsidP="009D5791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D5791">
        <w:rPr>
          <w:rFonts w:ascii="Calibri" w:hAnsi="Calibri" w:cs="Calibri"/>
          <w:sz w:val="24"/>
          <w:szCs w:val="24"/>
        </w:rPr>
        <w:t xml:space="preserve">Ludzie z generacji X urodzili się pomiędzy 1965 a 1980 rokiem. Ich kariery rozpoczynały się w trudnym </w:t>
      </w:r>
      <w:r w:rsidR="0083246D" w:rsidRPr="009D5791">
        <w:rPr>
          <w:rFonts w:ascii="Calibri" w:hAnsi="Calibri" w:cs="Calibri"/>
          <w:sz w:val="24"/>
          <w:szCs w:val="24"/>
        </w:rPr>
        <w:t>okresie niestabilności gospodarczej i politycznej Polsk</w:t>
      </w:r>
      <w:r w:rsidR="00BF2EDF" w:rsidRPr="009D5791">
        <w:rPr>
          <w:rFonts w:ascii="Calibri" w:hAnsi="Calibri" w:cs="Calibri"/>
          <w:sz w:val="24"/>
          <w:szCs w:val="24"/>
        </w:rPr>
        <w:t>i, dlatego w pracy cenią</w:t>
      </w:r>
      <w:r w:rsidR="009D5791">
        <w:rPr>
          <w:rFonts w:ascii="Calibri" w:hAnsi="Calibri" w:cs="Calibri"/>
          <w:sz w:val="24"/>
          <w:szCs w:val="24"/>
        </w:rPr>
        <w:t xml:space="preserve"> </w:t>
      </w:r>
      <w:r w:rsidR="00BF2EDF" w:rsidRPr="009D5791">
        <w:rPr>
          <w:rFonts w:ascii="Calibri" w:hAnsi="Calibri" w:cs="Calibri"/>
          <w:sz w:val="24"/>
          <w:szCs w:val="24"/>
        </w:rPr>
        <w:t>przede wszystkim stabilizację i bezpieczeństwo.</w:t>
      </w:r>
      <w:r w:rsidR="0083246D" w:rsidRPr="009D5791">
        <w:rPr>
          <w:rFonts w:ascii="Calibri" w:hAnsi="Calibri" w:cs="Calibri"/>
          <w:sz w:val="24"/>
          <w:szCs w:val="24"/>
        </w:rPr>
        <w:t xml:space="preserve"> </w:t>
      </w:r>
      <w:r w:rsidR="00BF2EDF" w:rsidRPr="009D5791">
        <w:rPr>
          <w:rFonts w:ascii="Calibri" w:hAnsi="Calibri" w:cs="Calibri"/>
          <w:sz w:val="24"/>
          <w:szCs w:val="24"/>
        </w:rPr>
        <w:t xml:space="preserve">Podobnie jak baby </w:t>
      </w:r>
      <w:proofErr w:type="spellStart"/>
      <w:r w:rsidR="00BF2EDF" w:rsidRPr="009D5791">
        <w:rPr>
          <w:rFonts w:ascii="Calibri" w:hAnsi="Calibri" w:cs="Calibri"/>
          <w:sz w:val="24"/>
          <w:szCs w:val="24"/>
        </w:rPr>
        <w:t>boomersi</w:t>
      </w:r>
      <w:proofErr w:type="spellEnd"/>
      <w:r w:rsidR="00BF2EDF" w:rsidRPr="009D5791">
        <w:rPr>
          <w:rFonts w:ascii="Calibri" w:hAnsi="Calibri" w:cs="Calibri"/>
          <w:sz w:val="24"/>
          <w:szCs w:val="24"/>
        </w:rPr>
        <w:t xml:space="preserve">, mają ogromne </w:t>
      </w:r>
      <w:r w:rsidR="00BF2EDF" w:rsidRPr="009D5791">
        <w:rPr>
          <w:rFonts w:ascii="Calibri" w:hAnsi="Calibri" w:cs="Calibri"/>
          <w:sz w:val="24"/>
          <w:szCs w:val="24"/>
        </w:rPr>
        <w:lastRenderedPageBreak/>
        <w:t xml:space="preserve">doświadczenie zawodowe, jednak bardziej niż oni są skłonni do zmiany pracodawcy. </w:t>
      </w:r>
      <w:r w:rsidR="0098173E" w:rsidRPr="009D5791">
        <w:rPr>
          <w:rFonts w:ascii="Calibri" w:hAnsi="Calibri" w:cs="Calibri"/>
          <w:sz w:val="24"/>
          <w:szCs w:val="24"/>
        </w:rPr>
        <w:t>Najczęściej pracują w usługach, najrzadziej w handlu.</w:t>
      </w:r>
    </w:p>
    <w:p w:rsidR="00BF2EDF" w:rsidRPr="009D5791" w:rsidRDefault="00BF2EDF" w:rsidP="009D5791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D5791">
        <w:rPr>
          <w:rFonts w:ascii="Calibri" w:hAnsi="Calibri" w:cs="Calibri"/>
          <w:sz w:val="24"/>
          <w:szCs w:val="24"/>
        </w:rPr>
        <w:t>Generacja Y</w:t>
      </w:r>
      <w:r w:rsidR="00140F32" w:rsidRPr="009D5791">
        <w:rPr>
          <w:rFonts w:ascii="Calibri" w:hAnsi="Calibri" w:cs="Calibri"/>
          <w:sz w:val="24"/>
          <w:szCs w:val="24"/>
        </w:rPr>
        <w:t xml:space="preserve">, zwana również </w:t>
      </w:r>
      <w:proofErr w:type="spellStart"/>
      <w:r w:rsidR="009D5791">
        <w:rPr>
          <w:rFonts w:ascii="Calibri" w:hAnsi="Calibri" w:cs="Calibri"/>
          <w:sz w:val="24"/>
          <w:szCs w:val="24"/>
        </w:rPr>
        <w:t>m</w:t>
      </w:r>
      <w:r w:rsidR="00140F32" w:rsidRPr="009D5791">
        <w:rPr>
          <w:rFonts w:ascii="Calibri" w:hAnsi="Calibri" w:cs="Calibri"/>
          <w:sz w:val="24"/>
          <w:szCs w:val="24"/>
        </w:rPr>
        <w:t>ilenialsami</w:t>
      </w:r>
      <w:proofErr w:type="spellEnd"/>
      <w:r w:rsidR="00140F32" w:rsidRPr="009D5791">
        <w:rPr>
          <w:rFonts w:ascii="Calibri" w:hAnsi="Calibri" w:cs="Calibri"/>
          <w:sz w:val="24"/>
          <w:szCs w:val="24"/>
        </w:rPr>
        <w:t>,</w:t>
      </w:r>
      <w:r w:rsidRPr="009D5791">
        <w:rPr>
          <w:rFonts w:ascii="Calibri" w:hAnsi="Calibri" w:cs="Calibri"/>
          <w:sz w:val="24"/>
          <w:szCs w:val="24"/>
        </w:rPr>
        <w:t xml:space="preserve"> to pracownicy młodzi, ale posiadający już </w:t>
      </w:r>
      <w:r w:rsidR="00B12335" w:rsidRPr="009D5791">
        <w:rPr>
          <w:rFonts w:ascii="Calibri" w:hAnsi="Calibri" w:cs="Calibri"/>
          <w:sz w:val="24"/>
          <w:szCs w:val="24"/>
        </w:rPr>
        <w:t>spore doświadczenie</w:t>
      </w:r>
      <w:r w:rsidRPr="009D5791">
        <w:rPr>
          <w:rFonts w:ascii="Calibri" w:hAnsi="Calibri" w:cs="Calibri"/>
          <w:sz w:val="24"/>
          <w:szCs w:val="24"/>
        </w:rPr>
        <w:t xml:space="preserve">. Urodzeni pomiędzy rokiem 1981 a 1990, ich młodość i </w:t>
      </w:r>
      <w:r w:rsidR="002A69E5" w:rsidRPr="009D5791">
        <w:rPr>
          <w:rFonts w:ascii="Calibri" w:hAnsi="Calibri" w:cs="Calibri"/>
          <w:sz w:val="24"/>
          <w:szCs w:val="24"/>
        </w:rPr>
        <w:t>pierwsze kroki w karierze to czas wolności i rozwoju gospodarczego Polski. Są ciekawi świata, stawiają na wykształcenie i zdobywanie nowych doświadczeń. Potrafią posługiwać się nowoczesnymi narzędziami</w:t>
      </w:r>
      <w:r w:rsidR="009D5791">
        <w:rPr>
          <w:rFonts w:ascii="Calibri" w:hAnsi="Calibri" w:cs="Calibri"/>
          <w:sz w:val="24"/>
          <w:szCs w:val="24"/>
        </w:rPr>
        <w:t>,</w:t>
      </w:r>
      <w:r w:rsidR="002A69E5" w:rsidRPr="009D5791">
        <w:rPr>
          <w:rFonts w:ascii="Calibri" w:hAnsi="Calibri" w:cs="Calibri"/>
          <w:sz w:val="24"/>
          <w:szCs w:val="24"/>
        </w:rPr>
        <w:t xml:space="preserve"> rozumiejąc, że poszerzanie umiejętności przyczynia się do samorozwoju. Według badań </w:t>
      </w:r>
      <w:r w:rsidR="009D5791">
        <w:rPr>
          <w:rFonts w:ascii="Calibri" w:hAnsi="Calibri" w:cs="Calibri"/>
          <w:sz w:val="24"/>
          <w:szCs w:val="24"/>
        </w:rPr>
        <w:t>P</w:t>
      </w:r>
      <w:r w:rsidR="002A69E5" w:rsidRPr="009D5791">
        <w:rPr>
          <w:rFonts w:ascii="Calibri" w:hAnsi="Calibri" w:cs="Calibri"/>
          <w:sz w:val="24"/>
          <w:szCs w:val="24"/>
        </w:rPr>
        <w:t xml:space="preserve">racuj.pl, nie mają oporów do zmian specjalizacji, a życie prywatne stawiają nad zawodowe. </w:t>
      </w:r>
      <w:r w:rsidR="009D5791">
        <w:rPr>
          <w:rFonts w:ascii="Calibri" w:hAnsi="Calibri" w:cs="Calibri"/>
          <w:sz w:val="24"/>
          <w:szCs w:val="24"/>
        </w:rPr>
        <w:t>To</w:t>
      </w:r>
      <w:r w:rsidR="002A69E5" w:rsidRPr="009D5791">
        <w:rPr>
          <w:rFonts w:ascii="Calibri" w:hAnsi="Calibri" w:cs="Calibri"/>
          <w:sz w:val="24"/>
          <w:szCs w:val="24"/>
        </w:rPr>
        <w:t xml:space="preserve"> grup</w:t>
      </w:r>
      <w:r w:rsidR="009D5791">
        <w:rPr>
          <w:rFonts w:ascii="Calibri" w:hAnsi="Calibri" w:cs="Calibri"/>
          <w:sz w:val="24"/>
          <w:szCs w:val="24"/>
        </w:rPr>
        <w:t>a</w:t>
      </w:r>
      <w:r w:rsidR="002A69E5" w:rsidRPr="009D5791">
        <w:rPr>
          <w:rFonts w:ascii="Calibri" w:hAnsi="Calibri" w:cs="Calibri"/>
          <w:sz w:val="24"/>
          <w:szCs w:val="24"/>
        </w:rPr>
        <w:t xml:space="preserve">, która przykłada najmniejszą uwagę do relacji z przełożonymi. </w:t>
      </w:r>
      <w:r w:rsidR="0098173E" w:rsidRPr="009D5791">
        <w:rPr>
          <w:rFonts w:ascii="Calibri" w:hAnsi="Calibri" w:cs="Calibri"/>
          <w:sz w:val="24"/>
          <w:szCs w:val="24"/>
        </w:rPr>
        <w:t>Są najliczniejszą grupą pracowników w sektorze IT, a najmni</w:t>
      </w:r>
      <w:r w:rsidR="00BA4AC3">
        <w:rPr>
          <w:rFonts w:ascii="Calibri" w:hAnsi="Calibri" w:cs="Calibri"/>
          <w:sz w:val="24"/>
          <w:szCs w:val="24"/>
        </w:rPr>
        <w:t>ej liczną</w:t>
      </w:r>
      <w:r w:rsidR="0098173E" w:rsidRPr="009D5791">
        <w:rPr>
          <w:rFonts w:ascii="Calibri" w:hAnsi="Calibri" w:cs="Calibri"/>
          <w:sz w:val="24"/>
          <w:szCs w:val="24"/>
        </w:rPr>
        <w:t xml:space="preserve"> w handlu.</w:t>
      </w:r>
    </w:p>
    <w:p w:rsidR="002A69E5" w:rsidRPr="009D5791" w:rsidRDefault="002A69E5" w:rsidP="009D5791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D5791">
        <w:rPr>
          <w:rFonts w:ascii="Calibri" w:hAnsi="Calibri" w:cs="Calibri"/>
          <w:sz w:val="24"/>
          <w:szCs w:val="24"/>
        </w:rPr>
        <w:t xml:space="preserve">Najmłodszym pokoleniem na rynku pracy jest generacja Z – urodzona po 1990 roku. </w:t>
      </w:r>
      <w:r w:rsidR="00BA4AC3">
        <w:rPr>
          <w:rFonts w:ascii="Calibri" w:hAnsi="Calibri" w:cs="Calibri"/>
          <w:sz w:val="24"/>
          <w:szCs w:val="24"/>
        </w:rPr>
        <w:t>To grupa, która d</w:t>
      </w:r>
      <w:r w:rsidRPr="009D5791">
        <w:rPr>
          <w:rFonts w:ascii="Calibri" w:hAnsi="Calibri" w:cs="Calibri"/>
          <w:sz w:val="24"/>
          <w:szCs w:val="24"/>
        </w:rPr>
        <w:t>opiero zdobywa pierwsze doświadczenia zawodowe. Ponieważ dorastali w świecie nowych technologii, te nie mają dla nich tajemnic. Cechuje ich ambicja i otwartość na świat. Zauważalna jest ich postawa roszczeniowa</w:t>
      </w:r>
      <w:r w:rsidR="0098173E" w:rsidRPr="009D5791">
        <w:rPr>
          <w:rFonts w:ascii="Calibri" w:hAnsi="Calibri" w:cs="Calibri"/>
          <w:sz w:val="24"/>
          <w:szCs w:val="24"/>
        </w:rPr>
        <w:t xml:space="preserve"> i świadomość rosnącego tempa zmian na rynku pracy</w:t>
      </w:r>
      <w:r w:rsidRPr="009D5791">
        <w:rPr>
          <w:rFonts w:ascii="Calibri" w:hAnsi="Calibri" w:cs="Calibri"/>
          <w:sz w:val="24"/>
          <w:szCs w:val="24"/>
        </w:rPr>
        <w:t>, przez co skłonni są do częstych zmian pracodaw</w:t>
      </w:r>
      <w:r w:rsidR="0098173E" w:rsidRPr="009D5791">
        <w:rPr>
          <w:rFonts w:ascii="Calibri" w:hAnsi="Calibri" w:cs="Calibri"/>
          <w:sz w:val="24"/>
          <w:szCs w:val="24"/>
        </w:rPr>
        <w:t xml:space="preserve">cy, jednak nie z powodu braku podwyżki. Potrafią poświęcić czas prywatny dla pracy, a uznanie ze strony pracodawcy i współpracowników jest dla nich bardzo ważne. Pracownicy z pokolenia Z są najliczniejszą grupą w sektorze handlu, pracują także w IT i usługach. Najrzadziej można ich spotkać w zawodach </w:t>
      </w:r>
      <w:r w:rsidR="00BA4AC3">
        <w:rPr>
          <w:rFonts w:ascii="Calibri" w:hAnsi="Calibri" w:cs="Calibri"/>
          <w:sz w:val="24"/>
          <w:szCs w:val="24"/>
        </w:rPr>
        <w:t>związanych</w:t>
      </w:r>
      <w:r w:rsidR="0098173E" w:rsidRPr="009D5791">
        <w:rPr>
          <w:rFonts w:ascii="Calibri" w:hAnsi="Calibri" w:cs="Calibri"/>
          <w:sz w:val="24"/>
          <w:szCs w:val="24"/>
        </w:rPr>
        <w:t xml:space="preserve"> z produkcją.</w:t>
      </w:r>
    </w:p>
    <w:p w:rsidR="00685F72" w:rsidRPr="009D5791" w:rsidRDefault="00322957" w:rsidP="00BA4AC3">
      <w:pPr>
        <w:pStyle w:val="Nagwek2"/>
      </w:pPr>
      <w:r w:rsidRPr="009D5791">
        <w:t>Zmiany na</w:t>
      </w:r>
      <w:r w:rsidR="00685F72" w:rsidRPr="009D5791">
        <w:t xml:space="preserve"> ryn</w:t>
      </w:r>
      <w:r w:rsidRPr="009D5791">
        <w:t>ku</w:t>
      </w:r>
      <w:r w:rsidR="00685F72" w:rsidRPr="009D5791">
        <w:t xml:space="preserve"> pracy</w:t>
      </w:r>
    </w:p>
    <w:p w:rsidR="00685F72" w:rsidRPr="009D5791" w:rsidRDefault="00685F72" w:rsidP="009D5791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D5791">
        <w:rPr>
          <w:rFonts w:ascii="Calibri" w:hAnsi="Calibri" w:cs="Calibri"/>
          <w:sz w:val="24"/>
          <w:szCs w:val="24"/>
        </w:rPr>
        <w:t>Eksperci w raporcie PARP zauważyli, że rynek pracy ew</w:t>
      </w:r>
      <w:r w:rsidR="00BA4AC3">
        <w:rPr>
          <w:rFonts w:ascii="Calibri" w:hAnsi="Calibri" w:cs="Calibri"/>
          <w:sz w:val="24"/>
          <w:szCs w:val="24"/>
        </w:rPr>
        <w:t>o</w:t>
      </w:r>
      <w:r w:rsidRPr="009D5791">
        <w:rPr>
          <w:rFonts w:ascii="Calibri" w:hAnsi="Calibri" w:cs="Calibri"/>
          <w:sz w:val="24"/>
          <w:szCs w:val="24"/>
        </w:rPr>
        <w:t>luuje – obecnie umacnia się rola pracownika. Wydaje się to szczególnie istotne dla najmłodszych pokoleń, które są skłonne do szukania idealnego pracodawcy.</w:t>
      </w:r>
      <w:r w:rsidR="00125E42" w:rsidRPr="009D5791">
        <w:rPr>
          <w:rFonts w:ascii="Calibri" w:hAnsi="Calibri" w:cs="Calibri"/>
          <w:sz w:val="24"/>
          <w:szCs w:val="24"/>
        </w:rPr>
        <w:t xml:space="preserve"> Są oni najliczniejszą grupą pracującą na umowie na czas określony.</w:t>
      </w:r>
      <w:r w:rsidRPr="009D5791">
        <w:rPr>
          <w:rFonts w:ascii="Calibri" w:hAnsi="Calibri" w:cs="Calibri"/>
          <w:sz w:val="24"/>
          <w:szCs w:val="24"/>
        </w:rPr>
        <w:t xml:space="preserve"> </w:t>
      </w:r>
      <w:r w:rsidR="00322957" w:rsidRPr="009D5791">
        <w:rPr>
          <w:rFonts w:ascii="Calibri" w:hAnsi="Calibri" w:cs="Calibri"/>
          <w:sz w:val="24"/>
          <w:szCs w:val="24"/>
        </w:rPr>
        <w:t xml:space="preserve">Coraz więcej pracowników dostrzega istotność możliwości awansu i otwartych ścieżek rozwoju – staje się to powodem zmiany pracy. </w:t>
      </w:r>
      <w:r w:rsidR="00125E42" w:rsidRPr="009D5791">
        <w:rPr>
          <w:rFonts w:ascii="Calibri" w:hAnsi="Calibri" w:cs="Calibri"/>
          <w:sz w:val="24"/>
          <w:szCs w:val="24"/>
        </w:rPr>
        <w:t xml:space="preserve">Przekłada się to na realną sytuację na rynku pracy – wśród pracowników generacji Y i Z aż 1 na 5 zdobyło awans, podczas gdy jedynie 1 na 80 baby </w:t>
      </w:r>
      <w:proofErr w:type="spellStart"/>
      <w:r w:rsidR="00125E42" w:rsidRPr="009D5791">
        <w:rPr>
          <w:rFonts w:ascii="Calibri" w:hAnsi="Calibri" w:cs="Calibri"/>
          <w:sz w:val="24"/>
          <w:szCs w:val="24"/>
        </w:rPr>
        <w:t>boomersów</w:t>
      </w:r>
      <w:proofErr w:type="spellEnd"/>
      <w:r w:rsidR="00125E42" w:rsidRPr="009D5791">
        <w:rPr>
          <w:rFonts w:ascii="Calibri" w:hAnsi="Calibri" w:cs="Calibri"/>
          <w:sz w:val="24"/>
          <w:szCs w:val="24"/>
        </w:rPr>
        <w:t xml:space="preserve"> mogło cieszyć się z </w:t>
      </w:r>
      <w:r w:rsidR="00221F28" w:rsidRPr="009D5791">
        <w:rPr>
          <w:rFonts w:ascii="Calibri" w:hAnsi="Calibri" w:cs="Calibri"/>
          <w:sz w:val="24"/>
          <w:szCs w:val="24"/>
        </w:rPr>
        <w:t>rozwoju kariery. Analogicznie wygląda kwestia wzrostu wynagrodzenia</w:t>
      </w:r>
      <w:r w:rsidR="00BA4AC3">
        <w:rPr>
          <w:rFonts w:ascii="Calibri" w:hAnsi="Calibri" w:cs="Calibri"/>
          <w:sz w:val="24"/>
          <w:szCs w:val="24"/>
        </w:rPr>
        <w:t>. Z</w:t>
      </w:r>
      <w:r w:rsidR="00221F28" w:rsidRPr="009D5791">
        <w:rPr>
          <w:rFonts w:ascii="Calibri" w:hAnsi="Calibri" w:cs="Calibri"/>
          <w:sz w:val="24"/>
          <w:szCs w:val="24"/>
        </w:rPr>
        <w:t>decydowanie szybciej rosną wypłaty najmłodszych pokoleń. Są oni najbardziej optymistyczni co do znalezienia nowej pracy, a także najbardziej zadowoleni z obecnych zarobków.</w:t>
      </w:r>
    </w:p>
    <w:p w:rsidR="00911D7E" w:rsidRPr="009D5791" w:rsidRDefault="002F0C70" w:rsidP="00BA4AC3">
      <w:pPr>
        <w:pStyle w:val="Nagwek2"/>
      </w:pPr>
      <w:r w:rsidRPr="009D5791">
        <w:t>Studia i odpowiednie kwalifikacje gwarancją zatrudnienia</w:t>
      </w:r>
    </w:p>
    <w:p w:rsidR="00125E42" w:rsidRPr="009D5791" w:rsidRDefault="00AC3F45" w:rsidP="009D5791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D5791">
        <w:rPr>
          <w:rFonts w:ascii="Calibri" w:hAnsi="Calibri" w:cs="Calibri"/>
          <w:sz w:val="24"/>
          <w:szCs w:val="24"/>
        </w:rPr>
        <w:t xml:space="preserve">Według danych Głównego Urzędu Statystycznego, w roku akademickim 2021/2022, na polskich uczelniach studiowało 1 218 166 osób.  W roku 2000 było ich 1 584 804, a w 2009 – 1 900 014. </w:t>
      </w:r>
      <w:r w:rsidR="00BA4AC3">
        <w:rPr>
          <w:rFonts w:ascii="Calibri" w:hAnsi="Calibri" w:cs="Calibri"/>
          <w:sz w:val="24"/>
          <w:szCs w:val="24"/>
        </w:rPr>
        <w:t>P</w:t>
      </w:r>
      <w:r w:rsidR="0009145E" w:rsidRPr="009D5791">
        <w:rPr>
          <w:rFonts w:ascii="Calibri" w:hAnsi="Calibri" w:cs="Calibri"/>
          <w:sz w:val="24"/>
          <w:szCs w:val="24"/>
        </w:rPr>
        <w:t>rzyczyn</w:t>
      </w:r>
      <w:r w:rsidR="00BA4AC3">
        <w:rPr>
          <w:rFonts w:ascii="Calibri" w:hAnsi="Calibri" w:cs="Calibri"/>
          <w:sz w:val="24"/>
          <w:szCs w:val="24"/>
        </w:rPr>
        <w:t>ą</w:t>
      </w:r>
      <w:r w:rsidR="0009145E" w:rsidRPr="009D5791">
        <w:rPr>
          <w:rFonts w:ascii="Calibri" w:hAnsi="Calibri" w:cs="Calibri"/>
          <w:sz w:val="24"/>
          <w:szCs w:val="24"/>
        </w:rPr>
        <w:t xml:space="preserve"> zmniejszającej się liczby studentów są nie tylko zmiany demograficzne. Jak wynika z </w:t>
      </w:r>
      <w:r w:rsidR="00E965B4" w:rsidRPr="009D5791">
        <w:rPr>
          <w:rFonts w:ascii="Calibri" w:hAnsi="Calibri" w:cs="Calibri"/>
          <w:sz w:val="24"/>
          <w:szCs w:val="24"/>
        </w:rPr>
        <w:t xml:space="preserve">opracowania </w:t>
      </w:r>
      <w:r w:rsidR="00F57D9B" w:rsidRPr="009D5791">
        <w:rPr>
          <w:rFonts w:ascii="Calibri" w:hAnsi="Calibri" w:cs="Calibri"/>
          <w:sz w:val="24"/>
          <w:szCs w:val="24"/>
        </w:rPr>
        <w:t>PARP</w:t>
      </w:r>
      <w:r w:rsidR="0009145E" w:rsidRPr="009D5791">
        <w:rPr>
          <w:rFonts w:ascii="Calibri" w:hAnsi="Calibri" w:cs="Calibri"/>
          <w:sz w:val="24"/>
          <w:szCs w:val="24"/>
        </w:rPr>
        <w:t>, w 2021 r. zaobserwowano, że wśród osób w wieku 18-24</w:t>
      </w:r>
      <w:r w:rsidR="00A64228">
        <w:rPr>
          <w:rFonts w:ascii="Calibri" w:hAnsi="Calibri" w:cs="Calibri"/>
          <w:sz w:val="24"/>
          <w:szCs w:val="24"/>
        </w:rPr>
        <w:t xml:space="preserve"> lata</w:t>
      </w:r>
      <w:r w:rsidR="00BA4AC3">
        <w:rPr>
          <w:rFonts w:ascii="Calibri" w:hAnsi="Calibri" w:cs="Calibri"/>
          <w:sz w:val="24"/>
          <w:szCs w:val="24"/>
        </w:rPr>
        <w:t xml:space="preserve"> </w:t>
      </w:r>
      <w:r w:rsidR="0009145E" w:rsidRPr="009D5791">
        <w:rPr>
          <w:rFonts w:ascii="Calibri" w:hAnsi="Calibri" w:cs="Calibri"/>
          <w:sz w:val="24"/>
          <w:szCs w:val="24"/>
        </w:rPr>
        <w:t xml:space="preserve">zwiększył się odsetek niepracujących i nieuczących się, ale także niepodejmujących dodatkowej aktywności edukacyjnej. </w:t>
      </w:r>
      <w:r w:rsidR="00322957" w:rsidRPr="009D5791">
        <w:rPr>
          <w:rFonts w:ascii="Calibri" w:hAnsi="Calibri" w:cs="Calibri"/>
          <w:sz w:val="24"/>
          <w:szCs w:val="24"/>
        </w:rPr>
        <w:t>To niepokojący trend, ponieważ wykształcenie wciąż jest czynnikiem zapobiegającym bezrobociu, zwłaszcza w przypadku kobiet. W raporcie</w:t>
      </w:r>
      <w:r w:rsidR="00F57D9B" w:rsidRPr="009D5791">
        <w:rPr>
          <w:rFonts w:ascii="Calibri" w:hAnsi="Calibri" w:cs="Calibri"/>
          <w:sz w:val="24"/>
          <w:szCs w:val="24"/>
        </w:rPr>
        <w:t xml:space="preserve"> stwierdzono, że wykształcenie wyższe daje przewagę na rynku pracy pod względem </w:t>
      </w:r>
      <w:r w:rsidR="00F57D9B" w:rsidRPr="009D5791">
        <w:rPr>
          <w:rFonts w:ascii="Calibri" w:hAnsi="Calibri" w:cs="Calibri"/>
          <w:sz w:val="24"/>
          <w:szCs w:val="24"/>
        </w:rPr>
        <w:lastRenderedPageBreak/>
        <w:t>bezpieczeństwa zatrudnienia i typowego wynagrodzenia oraz wykorzystania wiedzy nabytej w toku edukacji w pracy zawodowej. Biorąc pod uwagę dwoistość polskiej gospodarki</w:t>
      </w:r>
      <w:r w:rsidR="00BA4AC3">
        <w:rPr>
          <w:rFonts w:ascii="Calibri" w:hAnsi="Calibri" w:cs="Calibri"/>
          <w:sz w:val="24"/>
          <w:szCs w:val="24"/>
        </w:rPr>
        <w:t xml:space="preserve"> – </w:t>
      </w:r>
      <w:r w:rsidR="00F57D9B" w:rsidRPr="009D5791">
        <w:rPr>
          <w:rFonts w:ascii="Calibri" w:hAnsi="Calibri" w:cs="Calibri"/>
          <w:sz w:val="24"/>
          <w:szCs w:val="24"/>
        </w:rPr>
        <w:t xml:space="preserve">z jednej strony </w:t>
      </w:r>
      <w:r w:rsidR="00BA4AC3">
        <w:rPr>
          <w:rFonts w:ascii="Calibri" w:hAnsi="Calibri" w:cs="Calibri"/>
          <w:sz w:val="24"/>
          <w:szCs w:val="24"/>
        </w:rPr>
        <w:t xml:space="preserve">duże </w:t>
      </w:r>
      <w:r w:rsidR="00F57D9B" w:rsidRPr="009D5791">
        <w:rPr>
          <w:rFonts w:ascii="Calibri" w:hAnsi="Calibri" w:cs="Calibri"/>
          <w:sz w:val="24"/>
          <w:szCs w:val="24"/>
        </w:rPr>
        <w:t xml:space="preserve">znaczenie sektora budownictwa, przemysłu, z drugiej rosnąca rola branży technologicznej – przygotowanie zawodowe na poziomie średnim czy zasadniczym, pozwalające na wykonywanie prac na stanowiskach robotników wykwalifikowanych i operatorów maszyn </w:t>
      </w:r>
      <w:r w:rsidR="00BA4AC3">
        <w:rPr>
          <w:rFonts w:ascii="Calibri" w:hAnsi="Calibri" w:cs="Calibri"/>
          <w:sz w:val="24"/>
          <w:szCs w:val="24"/>
        </w:rPr>
        <w:t>oraz</w:t>
      </w:r>
      <w:r w:rsidR="00F57D9B" w:rsidRPr="009D5791">
        <w:rPr>
          <w:rFonts w:ascii="Calibri" w:hAnsi="Calibri" w:cs="Calibri"/>
          <w:sz w:val="24"/>
          <w:szCs w:val="24"/>
        </w:rPr>
        <w:t xml:space="preserve"> urządzeń, </w:t>
      </w:r>
      <w:r w:rsidR="00BA4AC3">
        <w:rPr>
          <w:rFonts w:ascii="Calibri" w:hAnsi="Calibri" w:cs="Calibri"/>
          <w:sz w:val="24"/>
          <w:szCs w:val="24"/>
        </w:rPr>
        <w:t>może być</w:t>
      </w:r>
      <w:r w:rsidR="00F57D9B" w:rsidRPr="009D5791">
        <w:rPr>
          <w:rFonts w:ascii="Calibri" w:hAnsi="Calibri" w:cs="Calibri"/>
          <w:sz w:val="24"/>
          <w:szCs w:val="24"/>
        </w:rPr>
        <w:t xml:space="preserve"> gwarancją dobrej perspektywy zatrudnienia.</w:t>
      </w:r>
      <w:r w:rsidR="00322957" w:rsidRPr="009D5791">
        <w:rPr>
          <w:rFonts w:ascii="Calibri" w:hAnsi="Calibri" w:cs="Calibri"/>
          <w:sz w:val="24"/>
          <w:szCs w:val="24"/>
        </w:rPr>
        <w:t xml:space="preserve"> </w:t>
      </w:r>
    </w:p>
    <w:p w:rsidR="00606E75" w:rsidRPr="009D5791" w:rsidRDefault="00BA4AC3" w:rsidP="009D5791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606E75" w:rsidRPr="009D5791">
        <w:rPr>
          <w:rFonts w:ascii="Calibri" w:hAnsi="Calibri" w:cs="Calibri"/>
          <w:sz w:val="24"/>
          <w:szCs w:val="24"/>
        </w:rPr>
        <w:t xml:space="preserve">Rynek pracy to prężnie zmieniające się środowisko, a ciągłe podnoszenie własnych kompetencji i umiejętności to gwarancja stabilnego rozwoju kariery. Wychodząc naprzeciw różnorodnym potrzebom i doświadczeniom poszczególnych pokoleń na rynku pracy, Polska Agencja Rozwoju Przedsiębiorczości przygotowała bogatą ofertę kursów i szkoleń w ramach Akademii PARP. To doskonała okazja do zdobycia nowych umiejętności zawodowych, ale także kompetencji osobistych, przydatnych w relacjach ze współpracownikami z różnych grup wiekowych. </w:t>
      </w:r>
      <w:r w:rsidR="0003529C" w:rsidRPr="009D5791">
        <w:rPr>
          <w:rFonts w:ascii="Calibri" w:hAnsi="Calibri" w:cs="Calibri"/>
          <w:sz w:val="24"/>
          <w:szCs w:val="24"/>
        </w:rPr>
        <w:t>W ofercie mamy 59 bezpłatnych szkoleń, które</w:t>
      </w:r>
      <w:r w:rsidR="00704865" w:rsidRPr="009D5791">
        <w:rPr>
          <w:rFonts w:ascii="Calibri" w:hAnsi="Calibri" w:cs="Calibri"/>
          <w:sz w:val="24"/>
          <w:szCs w:val="24"/>
        </w:rPr>
        <w:t xml:space="preserve"> cieszą się ogromnym zainteresowaniem – </w:t>
      </w:r>
      <w:r w:rsidR="00C17E4C" w:rsidRPr="009D5791">
        <w:rPr>
          <w:rFonts w:ascii="Calibri" w:hAnsi="Calibri" w:cs="Calibri"/>
          <w:sz w:val="24"/>
          <w:szCs w:val="24"/>
        </w:rPr>
        <w:t>odnotowaliśmy</w:t>
      </w:r>
      <w:r w:rsidR="001E1CA8" w:rsidRPr="009D5791">
        <w:rPr>
          <w:rFonts w:ascii="Calibri" w:hAnsi="Calibri" w:cs="Calibri"/>
          <w:sz w:val="24"/>
          <w:szCs w:val="24"/>
        </w:rPr>
        <w:t xml:space="preserve"> już </w:t>
      </w:r>
      <w:r w:rsidR="004A2A90" w:rsidRPr="009D5791">
        <w:rPr>
          <w:rFonts w:ascii="Calibri" w:hAnsi="Calibri" w:cs="Calibri"/>
          <w:sz w:val="24"/>
          <w:szCs w:val="24"/>
        </w:rPr>
        <w:t xml:space="preserve">prawie </w:t>
      </w:r>
      <w:r w:rsidR="00A509BC" w:rsidRPr="009D5791">
        <w:rPr>
          <w:rFonts w:ascii="Calibri" w:hAnsi="Calibri" w:cs="Calibri"/>
          <w:sz w:val="24"/>
          <w:szCs w:val="24"/>
        </w:rPr>
        <w:t>385</w:t>
      </w:r>
      <w:r w:rsidR="00704865" w:rsidRPr="009D5791">
        <w:rPr>
          <w:rFonts w:ascii="Calibri" w:hAnsi="Calibri" w:cs="Calibri"/>
          <w:sz w:val="24"/>
          <w:szCs w:val="24"/>
        </w:rPr>
        <w:t xml:space="preserve"> tysięc</w:t>
      </w:r>
      <w:r w:rsidR="00295654" w:rsidRPr="009D5791">
        <w:rPr>
          <w:rFonts w:ascii="Calibri" w:hAnsi="Calibri" w:cs="Calibri"/>
          <w:sz w:val="24"/>
          <w:szCs w:val="24"/>
        </w:rPr>
        <w:t>y</w:t>
      </w:r>
      <w:r w:rsidR="00704865" w:rsidRPr="009D5791">
        <w:rPr>
          <w:rFonts w:ascii="Calibri" w:hAnsi="Calibri" w:cs="Calibri"/>
          <w:sz w:val="24"/>
          <w:szCs w:val="24"/>
        </w:rPr>
        <w:t xml:space="preserve"> </w:t>
      </w:r>
      <w:r w:rsidR="00A509BC" w:rsidRPr="009D5791">
        <w:rPr>
          <w:rFonts w:ascii="Calibri" w:hAnsi="Calibri" w:cs="Calibri"/>
          <w:sz w:val="24"/>
          <w:szCs w:val="24"/>
        </w:rPr>
        <w:t>zapisów na kursy</w:t>
      </w:r>
      <w:r w:rsidR="00BE2A75" w:rsidRPr="009D5791">
        <w:rPr>
          <w:rFonts w:ascii="Calibri" w:hAnsi="Calibri" w:cs="Calibri"/>
          <w:sz w:val="24"/>
          <w:szCs w:val="24"/>
        </w:rPr>
        <w:t xml:space="preserve"> Akademii PARP</w:t>
      </w:r>
      <w:r w:rsidR="00704865" w:rsidRPr="009D5791">
        <w:rPr>
          <w:rFonts w:ascii="Calibri" w:hAnsi="Calibri" w:cs="Calibri"/>
          <w:sz w:val="24"/>
          <w:szCs w:val="24"/>
        </w:rPr>
        <w:t xml:space="preserve">, a ponad 14 tysięcy osób zaproponowało nowe tematy </w:t>
      </w:r>
      <w:r w:rsidR="00295654" w:rsidRPr="009D5791">
        <w:rPr>
          <w:rFonts w:ascii="Calibri" w:hAnsi="Calibri" w:cs="Calibri"/>
          <w:sz w:val="24"/>
          <w:szCs w:val="24"/>
        </w:rPr>
        <w:t>szkoleń</w:t>
      </w:r>
      <w:r w:rsidR="00704865" w:rsidRPr="009D5791">
        <w:rPr>
          <w:rFonts w:ascii="Calibri" w:hAnsi="Calibri" w:cs="Calibri"/>
          <w:sz w:val="24"/>
          <w:szCs w:val="24"/>
        </w:rPr>
        <w:t xml:space="preserve">. To pokazuje, że takie przedsięwzięcia są potrzebne </w:t>
      </w:r>
      <w:r w:rsidR="00606E75" w:rsidRPr="009D5791">
        <w:rPr>
          <w:rFonts w:ascii="Calibri" w:hAnsi="Calibri" w:cs="Calibri"/>
          <w:sz w:val="24"/>
          <w:szCs w:val="24"/>
        </w:rPr>
        <w:t xml:space="preserve">– mówi </w:t>
      </w:r>
      <w:r w:rsidR="00704865" w:rsidRPr="009D5791">
        <w:rPr>
          <w:rFonts w:ascii="Calibri" w:hAnsi="Calibri" w:cs="Calibri"/>
          <w:b/>
          <w:sz w:val="24"/>
          <w:szCs w:val="24"/>
        </w:rPr>
        <w:t>Michał Polański</w:t>
      </w:r>
      <w:r w:rsidR="00704865" w:rsidRPr="009D5791">
        <w:rPr>
          <w:rFonts w:ascii="Calibri" w:hAnsi="Calibri" w:cs="Calibri"/>
          <w:sz w:val="24"/>
          <w:szCs w:val="24"/>
        </w:rPr>
        <w:t>, dyrektor Departamentu Wsparcia Przedsiębiorczości PARP.</w:t>
      </w:r>
    </w:p>
    <w:p w:rsidR="00427F87" w:rsidRPr="009D5791" w:rsidRDefault="00322957" w:rsidP="009D5791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D5791">
        <w:rPr>
          <w:rFonts w:ascii="Calibri" w:hAnsi="Calibri" w:cs="Calibri"/>
          <w:sz w:val="24"/>
          <w:szCs w:val="24"/>
        </w:rPr>
        <w:t>Warto zauważyć, że pracownicy z pokolenia Y i Z wciąż mają najmniejszą szansę na wykonywanie pracy zgodnej z ich wykształceniem, przy czym nie dotyczy to osób po studiach wyższych.</w:t>
      </w:r>
      <w:r w:rsidR="002C004E" w:rsidRPr="009D5791">
        <w:rPr>
          <w:rFonts w:ascii="Calibri" w:hAnsi="Calibri" w:cs="Calibri"/>
          <w:sz w:val="24"/>
          <w:szCs w:val="24"/>
        </w:rPr>
        <w:t xml:space="preserve"> Najbardziej niezadowoloną z przydatności wiedzy grupą są baby </w:t>
      </w:r>
      <w:proofErr w:type="spellStart"/>
      <w:r w:rsidR="002C004E" w:rsidRPr="009D5791">
        <w:rPr>
          <w:rFonts w:ascii="Calibri" w:hAnsi="Calibri" w:cs="Calibri"/>
          <w:sz w:val="24"/>
          <w:szCs w:val="24"/>
        </w:rPr>
        <w:t>boomersi</w:t>
      </w:r>
      <w:proofErr w:type="spellEnd"/>
      <w:r w:rsidR="002C004E" w:rsidRPr="009D5791">
        <w:rPr>
          <w:rFonts w:ascii="Calibri" w:hAnsi="Calibri" w:cs="Calibri"/>
          <w:sz w:val="24"/>
          <w:szCs w:val="24"/>
        </w:rPr>
        <w:t xml:space="preserve">, których cechuje bardzo niski stopień posiadania wykształcenia wyższego. </w:t>
      </w:r>
      <w:r w:rsidR="00125E42" w:rsidRPr="009D5791">
        <w:rPr>
          <w:rFonts w:ascii="Calibri" w:hAnsi="Calibri" w:cs="Calibri"/>
          <w:sz w:val="24"/>
          <w:szCs w:val="24"/>
        </w:rPr>
        <w:t xml:space="preserve">Wśród osób aktywnych zawodowo aż 92% </w:t>
      </w:r>
      <w:r w:rsidR="00A64228">
        <w:rPr>
          <w:rFonts w:ascii="Calibri" w:hAnsi="Calibri" w:cs="Calibri"/>
          <w:sz w:val="24"/>
          <w:szCs w:val="24"/>
        </w:rPr>
        <w:t xml:space="preserve">z </w:t>
      </w:r>
      <w:r w:rsidR="00125E42" w:rsidRPr="009D5791">
        <w:rPr>
          <w:rFonts w:ascii="Calibri" w:hAnsi="Calibri" w:cs="Calibri"/>
          <w:sz w:val="24"/>
          <w:szCs w:val="24"/>
        </w:rPr>
        <w:t>pokolenia Y i Z może pochwalić się dyplomem uczelni wyższej, analogicznie tylko 64%</w:t>
      </w:r>
      <w:r w:rsidR="00A64228">
        <w:rPr>
          <w:rFonts w:ascii="Calibri" w:hAnsi="Calibri" w:cs="Calibri"/>
          <w:sz w:val="24"/>
          <w:szCs w:val="24"/>
        </w:rPr>
        <w:t xml:space="preserve"> </w:t>
      </w:r>
      <w:r w:rsidR="00A64228" w:rsidRPr="009D5791">
        <w:rPr>
          <w:rFonts w:ascii="Calibri" w:hAnsi="Calibri" w:cs="Calibri"/>
          <w:sz w:val="24"/>
          <w:szCs w:val="24"/>
        </w:rPr>
        <w:t xml:space="preserve">– </w:t>
      </w:r>
      <w:r w:rsidR="00A64228">
        <w:rPr>
          <w:rFonts w:ascii="Calibri" w:hAnsi="Calibri" w:cs="Calibri"/>
          <w:sz w:val="24"/>
          <w:szCs w:val="24"/>
        </w:rPr>
        <w:t xml:space="preserve"> z</w:t>
      </w:r>
      <w:r w:rsidR="00125E42" w:rsidRPr="009D5791">
        <w:rPr>
          <w:rFonts w:ascii="Calibri" w:hAnsi="Calibri" w:cs="Calibri"/>
          <w:sz w:val="24"/>
          <w:szCs w:val="24"/>
        </w:rPr>
        <w:t xml:space="preserve"> najstarszego pokolenia.</w:t>
      </w:r>
    </w:p>
    <w:p w:rsidR="0009145E" w:rsidRPr="009D5791" w:rsidRDefault="0009145E" w:rsidP="00A64228">
      <w:pPr>
        <w:pStyle w:val="Nagwek2"/>
      </w:pPr>
      <w:proofErr w:type="spellStart"/>
      <w:r w:rsidRPr="009D5791">
        <w:t>Wielopokoleniowość</w:t>
      </w:r>
      <w:proofErr w:type="spellEnd"/>
      <w:r w:rsidRPr="009D5791">
        <w:t xml:space="preserve"> </w:t>
      </w:r>
      <w:r w:rsidR="00250B2A" w:rsidRPr="009D5791">
        <w:t>w pracy</w:t>
      </w:r>
      <w:r w:rsidRPr="009D5791">
        <w:t xml:space="preserve"> </w:t>
      </w:r>
      <w:r w:rsidR="00A64228" w:rsidRPr="009D5791">
        <w:rPr>
          <w:rFonts w:cs="Calibri"/>
          <w:sz w:val="24"/>
          <w:szCs w:val="24"/>
        </w:rPr>
        <w:t xml:space="preserve">– </w:t>
      </w:r>
      <w:r w:rsidRPr="009D5791">
        <w:t xml:space="preserve"> mieszanka wybuchowa czy zespół idealny?</w:t>
      </w:r>
    </w:p>
    <w:p w:rsidR="006B28CC" w:rsidRPr="009D5791" w:rsidRDefault="004B09BE" w:rsidP="009D5791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D5791">
        <w:rPr>
          <w:rFonts w:ascii="Calibri" w:hAnsi="Calibri" w:cs="Calibri"/>
          <w:sz w:val="24"/>
          <w:szCs w:val="24"/>
        </w:rPr>
        <w:t xml:space="preserve">Każda grupa pokoleniowa to inny charakter, przyzwyczajenia, podejście do życia. Czy praca w tak skrajnie zróżnicowanym środowisku przynosi korzyści, czy raczej kłopoty? </w:t>
      </w:r>
      <w:r w:rsidR="00D85E54" w:rsidRPr="009D5791">
        <w:rPr>
          <w:rFonts w:ascii="Calibri" w:hAnsi="Calibri" w:cs="Calibri"/>
          <w:sz w:val="24"/>
          <w:szCs w:val="24"/>
        </w:rPr>
        <w:t xml:space="preserve">Jak wynika z </w:t>
      </w:r>
      <w:r w:rsidR="006D2404" w:rsidRPr="009D5791">
        <w:rPr>
          <w:rFonts w:ascii="Calibri" w:hAnsi="Calibri" w:cs="Calibri"/>
          <w:sz w:val="24"/>
          <w:szCs w:val="24"/>
        </w:rPr>
        <w:t xml:space="preserve">raportu </w:t>
      </w:r>
      <w:r w:rsidR="00C83A07" w:rsidRPr="009D5791">
        <w:rPr>
          <w:rFonts w:ascii="Calibri" w:hAnsi="Calibri" w:cs="Calibri"/>
          <w:sz w:val="24"/>
          <w:szCs w:val="24"/>
        </w:rPr>
        <w:t xml:space="preserve">„Pokolenia na polskim rynku pracy” autorstwa </w:t>
      </w:r>
      <w:proofErr w:type="spellStart"/>
      <w:r w:rsidR="00C83A07" w:rsidRPr="009D5791">
        <w:rPr>
          <w:rFonts w:ascii="Calibri" w:hAnsi="Calibri" w:cs="Calibri"/>
          <w:sz w:val="24"/>
          <w:szCs w:val="24"/>
        </w:rPr>
        <w:t>Grafton</w:t>
      </w:r>
      <w:proofErr w:type="spellEnd"/>
      <w:r w:rsidR="00C83A07" w:rsidRPr="009D57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83A07" w:rsidRPr="009D5791">
        <w:rPr>
          <w:rFonts w:ascii="Calibri" w:hAnsi="Calibri" w:cs="Calibri"/>
          <w:sz w:val="24"/>
          <w:szCs w:val="24"/>
        </w:rPr>
        <w:t>Recruitment</w:t>
      </w:r>
      <w:proofErr w:type="spellEnd"/>
      <w:r w:rsidR="00C83A07" w:rsidRPr="009D5791">
        <w:rPr>
          <w:rFonts w:ascii="Calibri" w:hAnsi="Calibri" w:cs="Calibri"/>
          <w:sz w:val="24"/>
          <w:szCs w:val="24"/>
        </w:rPr>
        <w:t xml:space="preserve"> Polska, </w:t>
      </w:r>
      <w:r w:rsidRPr="009D5791">
        <w:rPr>
          <w:rFonts w:ascii="Calibri" w:hAnsi="Calibri" w:cs="Calibri"/>
          <w:sz w:val="24"/>
          <w:szCs w:val="24"/>
        </w:rPr>
        <w:t xml:space="preserve">heterogeniczne wiekowo zespoły to klucz do sprawnie funkcjonującej firmy. Patrząc na obecną sytuację demograficzną, w obliczu starzejącego się społeczeństwa, zatrudnianie osób z różnych grup pokoleniowych może być nieuniknione. </w:t>
      </w:r>
      <w:r w:rsidR="00A162E3" w:rsidRPr="009D5791">
        <w:rPr>
          <w:rFonts w:ascii="Calibri" w:hAnsi="Calibri" w:cs="Calibri"/>
          <w:sz w:val="24"/>
          <w:szCs w:val="24"/>
        </w:rPr>
        <w:t>Według najnowszych danych GUS, w IV kwartale 2022 roku</w:t>
      </w:r>
      <w:r w:rsidR="00EB7FD8" w:rsidRPr="009D5791">
        <w:rPr>
          <w:rFonts w:ascii="Calibri" w:hAnsi="Calibri" w:cs="Calibri"/>
          <w:sz w:val="24"/>
          <w:szCs w:val="24"/>
        </w:rPr>
        <w:t xml:space="preserve">, wśród </w:t>
      </w:r>
      <w:r w:rsidR="00A64228">
        <w:rPr>
          <w:rFonts w:ascii="Calibri" w:hAnsi="Calibri" w:cs="Calibri"/>
          <w:sz w:val="24"/>
          <w:szCs w:val="24"/>
        </w:rPr>
        <w:t>osób</w:t>
      </w:r>
      <w:r w:rsidR="00EB7FD8" w:rsidRPr="009D5791">
        <w:rPr>
          <w:rFonts w:ascii="Calibri" w:hAnsi="Calibri" w:cs="Calibri"/>
          <w:sz w:val="24"/>
          <w:szCs w:val="24"/>
        </w:rPr>
        <w:t xml:space="preserve"> w wieku 15-89</w:t>
      </w:r>
      <w:r w:rsidR="00A64228">
        <w:rPr>
          <w:rFonts w:ascii="Calibri" w:hAnsi="Calibri" w:cs="Calibri"/>
          <w:sz w:val="24"/>
          <w:szCs w:val="24"/>
        </w:rPr>
        <w:t xml:space="preserve">, </w:t>
      </w:r>
      <w:r w:rsidR="00A162E3" w:rsidRPr="009D5791">
        <w:rPr>
          <w:rFonts w:ascii="Calibri" w:hAnsi="Calibri" w:cs="Calibri"/>
          <w:sz w:val="24"/>
          <w:szCs w:val="24"/>
        </w:rPr>
        <w:t xml:space="preserve">osoby aktywne zawodowo stanowiły 58,2%. Wskaźnik ten zwiększył się zarówno w porównaniu z </w:t>
      </w:r>
      <w:r w:rsidR="00EB7FD8" w:rsidRPr="009D5791">
        <w:rPr>
          <w:rFonts w:ascii="Calibri" w:hAnsi="Calibri" w:cs="Calibri"/>
          <w:sz w:val="24"/>
          <w:szCs w:val="24"/>
        </w:rPr>
        <w:t>III</w:t>
      </w:r>
      <w:r w:rsidR="00A162E3" w:rsidRPr="009D5791">
        <w:rPr>
          <w:rFonts w:ascii="Calibri" w:hAnsi="Calibri" w:cs="Calibri"/>
          <w:sz w:val="24"/>
          <w:szCs w:val="24"/>
        </w:rPr>
        <w:t xml:space="preserve"> kwartałem 2022 r. – o 0,4 p. proc., jak i </w:t>
      </w:r>
      <w:r w:rsidR="00EB7FD8" w:rsidRPr="009D5791">
        <w:rPr>
          <w:rFonts w:ascii="Calibri" w:hAnsi="Calibri" w:cs="Calibri"/>
          <w:sz w:val="24"/>
          <w:szCs w:val="24"/>
        </w:rPr>
        <w:t>IV</w:t>
      </w:r>
      <w:r w:rsidR="00A162E3" w:rsidRPr="009D5791">
        <w:rPr>
          <w:rFonts w:ascii="Calibri" w:hAnsi="Calibri" w:cs="Calibri"/>
          <w:sz w:val="24"/>
          <w:szCs w:val="24"/>
        </w:rPr>
        <w:t xml:space="preserve"> kwartałem 2021 r. – o 0,2 p. proc.</w:t>
      </w:r>
      <w:r w:rsidR="00EB7FD8" w:rsidRPr="009D5791">
        <w:rPr>
          <w:rFonts w:ascii="Calibri" w:hAnsi="Calibri" w:cs="Calibri"/>
          <w:sz w:val="24"/>
          <w:szCs w:val="24"/>
        </w:rPr>
        <w:t xml:space="preserve"> Jedyną grupą, w której odnotowano wzrost stopy bezrobocia były osoby najmłodsze </w:t>
      </w:r>
      <w:r w:rsidR="0095738A" w:rsidRPr="009D5791">
        <w:rPr>
          <w:rFonts w:ascii="Calibri" w:hAnsi="Calibri" w:cs="Calibri"/>
          <w:sz w:val="24"/>
          <w:szCs w:val="24"/>
        </w:rPr>
        <w:t>w wieku 15-24 lata.</w:t>
      </w:r>
    </w:p>
    <w:p w:rsidR="004B09BE" w:rsidRPr="009D5791" w:rsidRDefault="004B09BE" w:rsidP="009D5791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D5791">
        <w:rPr>
          <w:rFonts w:ascii="Calibri" w:hAnsi="Calibri" w:cs="Calibri"/>
          <w:sz w:val="24"/>
          <w:szCs w:val="24"/>
        </w:rPr>
        <w:t>– Statystyki nie kłamią</w:t>
      </w:r>
      <w:r w:rsidR="00A64228">
        <w:rPr>
          <w:rFonts w:ascii="Calibri" w:hAnsi="Calibri" w:cs="Calibri"/>
          <w:sz w:val="24"/>
          <w:szCs w:val="24"/>
        </w:rPr>
        <w:t>. M</w:t>
      </w:r>
      <w:r w:rsidRPr="009D5791">
        <w:rPr>
          <w:rFonts w:ascii="Calibri" w:hAnsi="Calibri" w:cs="Calibri"/>
          <w:sz w:val="24"/>
          <w:szCs w:val="24"/>
        </w:rPr>
        <w:t xml:space="preserve">alejąca liczba ludności i poprawa jakości życia prowadzą do starzenia się społeczeństwa i zmniejszenia odsetka aktywnych zawodowo. Jednym z kluczowych rozwiązań pogłębiającego się niedoboru pracowników jest wdrażanie polityki różnorodności w firmach i aktywizacja starszego pokolenia na dużo większą skalę niż obecnie. Warto pamiętać, że 50+ to nie tylko rosnąca grupa, ale wbrew utartym opiniom – </w:t>
      </w:r>
      <w:r w:rsidRPr="009D5791">
        <w:rPr>
          <w:rFonts w:ascii="Calibri" w:hAnsi="Calibri" w:cs="Calibri"/>
          <w:sz w:val="24"/>
          <w:szCs w:val="24"/>
        </w:rPr>
        <w:lastRenderedPageBreak/>
        <w:t xml:space="preserve">nadal otwarta na wyzwania zawodowe, mająca wartościowe doświadczenia, którymi chce się dzielić </w:t>
      </w:r>
      <w:r w:rsidR="00A64228">
        <w:rPr>
          <w:rFonts w:ascii="Calibri" w:hAnsi="Calibri" w:cs="Calibri"/>
          <w:sz w:val="24"/>
          <w:szCs w:val="24"/>
        </w:rPr>
        <w:t xml:space="preserve">społeczność </w:t>
      </w:r>
      <w:r w:rsidRPr="009D5791">
        <w:rPr>
          <w:rFonts w:ascii="Calibri" w:hAnsi="Calibri" w:cs="Calibri"/>
          <w:sz w:val="24"/>
          <w:szCs w:val="24"/>
        </w:rPr>
        <w:t>– wyjaśnia Ewa Michalska</w:t>
      </w:r>
      <w:r w:rsidR="00A162E3" w:rsidRPr="009D5791">
        <w:rPr>
          <w:rFonts w:ascii="Calibri" w:hAnsi="Calibri" w:cs="Calibri"/>
          <w:sz w:val="24"/>
          <w:szCs w:val="24"/>
        </w:rPr>
        <w:t xml:space="preserve">, </w:t>
      </w:r>
      <w:r w:rsidRPr="009D5791">
        <w:rPr>
          <w:rFonts w:ascii="Calibri" w:hAnsi="Calibri" w:cs="Calibri"/>
          <w:sz w:val="24"/>
          <w:szCs w:val="24"/>
        </w:rPr>
        <w:t>Dyrektor ds. Usług Regulacyjnych</w:t>
      </w:r>
      <w:r w:rsidR="00A162E3" w:rsidRPr="009D57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62E3" w:rsidRPr="009D5791">
        <w:rPr>
          <w:rFonts w:ascii="Calibri" w:hAnsi="Calibri" w:cs="Calibri"/>
          <w:sz w:val="24"/>
          <w:szCs w:val="24"/>
        </w:rPr>
        <w:t>Grafton</w:t>
      </w:r>
      <w:proofErr w:type="spellEnd"/>
      <w:r w:rsidR="00A162E3" w:rsidRPr="009D57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162E3" w:rsidRPr="009D5791">
        <w:rPr>
          <w:rFonts w:ascii="Calibri" w:hAnsi="Calibri" w:cs="Calibri"/>
          <w:sz w:val="24"/>
          <w:szCs w:val="24"/>
        </w:rPr>
        <w:t>Recruitment</w:t>
      </w:r>
      <w:proofErr w:type="spellEnd"/>
      <w:r w:rsidR="00A162E3" w:rsidRPr="009D5791">
        <w:rPr>
          <w:rFonts w:ascii="Calibri" w:hAnsi="Calibri" w:cs="Calibri"/>
          <w:sz w:val="24"/>
          <w:szCs w:val="24"/>
        </w:rPr>
        <w:t>.</w:t>
      </w:r>
    </w:p>
    <w:p w:rsidR="002024F3" w:rsidRPr="009D5791" w:rsidRDefault="002024F3" w:rsidP="009D5791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D5791">
        <w:rPr>
          <w:rFonts w:ascii="Calibri" w:hAnsi="Calibri" w:cs="Calibri"/>
          <w:sz w:val="24"/>
          <w:szCs w:val="24"/>
        </w:rPr>
        <w:t xml:space="preserve">– </w:t>
      </w:r>
      <w:proofErr w:type="spellStart"/>
      <w:r w:rsidRPr="009D5791">
        <w:rPr>
          <w:rFonts w:ascii="Calibri" w:hAnsi="Calibri" w:cs="Calibri"/>
          <w:sz w:val="24"/>
          <w:szCs w:val="24"/>
        </w:rPr>
        <w:t>Różnice</w:t>
      </w:r>
      <w:proofErr w:type="spellEnd"/>
      <w:r w:rsidRPr="009D5791">
        <w:rPr>
          <w:rFonts w:ascii="Calibri" w:hAnsi="Calibri" w:cs="Calibri"/>
          <w:sz w:val="24"/>
          <w:szCs w:val="24"/>
        </w:rPr>
        <w:t xml:space="preserve"> między pokoleniami były, są i zawsze </w:t>
      </w:r>
      <w:proofErr w:type="spellStart"/>
      <w:r w:rsidRPr="009D5791">
        <w:rPr>
          <w:rFonts w:ascii="Calibri" w:hAnsi="Calibri" w:cs="Calibri"/>
          <w:sz w:val="24"/>
          <w:szCs w:val="24"/>
        </w:rPr>
        <w:t>będa</w:t>
      </w:r>
      <w:proofErr w:type="spellEnd"/>
      <w:r w:rsidRPr="009D5791">
        <w:rPr>
          <w:rFonts w:ascii="Calibri" w:hAnsi="Calibri" w:cs="Calibri"/>
          <w:sz w:val="24"/>
          <w:szCs w:val="24"/>
        </w:rPr>
        <w:t xml:space="preserve">̨. Przedstawiciele każdego z nich wnoszą inne </w:t>
      </w:r>
      <w:proofErr w:type="spellStart"/>
      <w:r w:rsidRPr="009D5791">
        <w:rPr>
          <w:rFonts w:ascii="Calibri" w:hAnsi="Calibri" w:cs="Calibri"/>
          <w:sz w:val="24"/>
          <w:szCs w:val="24"/>
        </w:rPr>
        <w:t>umiejętności</w:t>
      </w:r>
      <w:proofErr w:type="spellEnd"/>
      <w:r w:rsidRPr="009D5791">
        <w:rPr>
          <w:rFonts w:ascii="Calibri" w:hAnsi="Calibri" w:cs="Calibri"/>
          <w:sz w:val="24"/>
          <w:szCs w:val="24"/>
        </w:rPr>
        <w:t xml:space="preserve">, doświadczenia, odmienne postawy, sposoby komunikowania, a </w:t>
      </w:r>
      <w:proofErr w:type="spellStart"/>
      <w:r w:rsidRPr="009D5791">
        <w:rPr>
          <w:rFonts w:ascii="Calibri" w:hAnsi="Calibri" w:cs="Calibri"/>
          <w:sz w:val="24"/>
          <w:szCs w:val="24"/>
        </w:rPr>
        <w:t>także</w:t>
      </w:r>
      <w:proofErr w:type="spellEnd"/>
      <w:r w:rsidRPr="009D5791">
        <w:rPr>
          <w:rFonts w:ascii="Calibri" w:hAnsi="Calibri" w:cs="Calibri"/>
          <w:sz w:val="24"/>
          <w:szCs w:val="24"/>
        </w:rPr>
        <w:t xml:space="preserve"> zainteresowania czy energię. Warto patrzeć na pokolenia nie przez pryzmat często krzywdzących stereotypów, ale potencjału wynikającego zarówno z podobieństw, jak i dzielących ich różnic – zauważa Danuta </w:t>
      </w:r>
      <w:proofErr w:type="spellStart"/>
      <w:r w:rsidRPr="009D5791">
        <w:rPr>
          <w:rFonts w:ascii="Calibri" w:hAnsi="Calibri" w:cs="Calibri"/>
          <w:sz w:val="24"/>
          <w:szCs w:val="24"/>
        </w:rPr>
        <w:t>Protasewicz</w:t>
      </w:r>
      <w:proofErr w:type="spellEnd"/>
      <w:r w:rsidRPr="009D579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D5791">
        <w:rPr>
          <w:rFonts w:ascii="Calibri" w:hAnsi="Calibri" w:cs="Calibri"/>
          <w:sz w:val="24"/>
          <w:szCs w:val="24"/>
        </w:rPr>
        <w:t>Regional</w:t>
      </w:r>
      <w:proofErr w:type="spellEnd"/>
      <w:r w:rsidRPr="009D5791">
        <w:rPr>
          <w:rFonts w:ascii="Calibri" w:hAnsi="Calibri" w:cs="Calibri"/>
          <w:sz w:val="24"/>
          <w:szCs w:val="24"/>
        </w:rPr>
        <w:t xml:space="preserve"> Manager </w:t>
      </w:r>
      <w:proofErr w:type="spellStart"/>
      <w:r w:rsidRPr="009D5791">
        <w:rPr>
          <w:rFonts w:ascii="Calibri" w:hAnsi="Calibri" w:cs="Calibri"/>
          <w:sz w:val="24"/>
          <w:szCs w:val="24"/>
        </w:rPr>
        <w:t>Grafton</w:t>
      </w:r>
      <w:proofErr w:type="spellEnd"/>
      <w:r w:rsidRPr="009D57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D5791">
        <w:rPr>
          <w:rFonts w:ascii="Calibri" w:hAnsi="Calibri" w:cs="Calibri"/>
          <w:sz w:val="24"/>
          <w:szCs w:val="24"/>
        </w:rPr>
        <w:t>Recruitment</w:t>
      </w:r>
      <w:proofErr w:type="spellEnd"/>
      <w:r w:rsidRPr="009D5791">
        <w:rPr>
          <w:rFonts w:ascii="Calibri" w:hAnsi="Calibri" w:cs="Calibri"/>
          <w:sz w:val="24"/>
          <w:szCs w:val="24"/>
        </w:rPr>
        <w:t>.</w:t>
      </w:r>
    </w:p>
    <w:p w:rsidR="003F5EC6" w:rsidRPr="009D5791" w:rsidRDefault="003F5EC6" w:rsidP="009D5791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p w:rsidR="00BE2A75" w:rsidRDefault="00E15C01" w:rsidP="009D5791">
      <w:pPr>
        <w:spacing w:before="120" w:after="120" w:line="276" w:lineRule="auto"/>
      </w:pPr>
      <w:hyperlink r:id="rId8" w:history="1">
        <w:r w:rsidR="00C27844" w:rsidRPr="009D5791">
          <w:rPr>
            <w:rStyle w:val="Hipercze"/>
            <w:rFonts w:ascii="Calibri" w:hAnsi="Calibri" w:cs="Calibri"/>
            <w:sz w:val="24"/>
            <w:szCs w:val="24"/>
          </w:rPr>
          <w:t>Więcej informacji o aktualnej ofercie Akademii PARP znaleźć można na stronie internetowej proj</w:t>
        </w:r>
        <w:bookmarkStart w:id="1" w:name="_GoBack"/>
        <w:bookmarkEnd w:id="1"/>
        <w:r w:rsidR="00C27844" w:rsidRPr="009D5791">
          <w:rPr>
            <w:rStyle w:val="Hipercze"/>
            <w:rFonts w:ascii="Calibri" w:hAnsi="Calibri" w:cs="Calibri"/>
            <w:sz w:val="24"/>
            <w:szCs w:val="24"/>
          </w:rPr>
          <w:t>ektu.</w:t>
        </w:r>
      </w:hyperlink>
    </w:p>
    <w:sectPr w:rsidR="00BE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01" w:rsidRDefault="00E15C01" w:rsidP="00125E42">
      <w:pPr>
        <w:spacing w:after="0" w:line="240" w:lineRule="auto"/>
      </w:pPr>
      <w:r>
        <w:separator/>
      </w:r>
    </w:p>
  </w:endnote>
  <w:endnote w:type="continuationSeparator" w:id="0">
    <w:p w:rsidR="00E15C01" w:rsidRDefault="00E15C01" w:rsidP="001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01" w:rsidRDefault="00E15C01" w:rsidP="00125E42">
      <w:pPr>
        <w:spacing w:after="0" w:line="240" w:lineRule="auto"/>
      </w:pPr>
      <w:r>
        <w:separator/>
      </w:r>
    </w:p>
  </w:footnote>
  <w:footnote w:type="continuationSeparator" w:id="0">
    <w:p w:rsidR="00E15C01" w:rsidRDefault="00E15C01" w:rsidP="001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8E"/>
    <w:rsid w:val="0000793A"/>
    <w:rsid w:val="00032D6C"/>
    <w:rsid w:val="0003529C"/>
    <w:rsid w:val="0009145E"/>
    <w:rsid w:val="00121259"/>
    <w:rsid w:val="00125E42"/>
    <w:rsid w:val="00140F32"/>
    <w:rsid w:val="00156180"/>
    <w:rsid w:val="001A4F15"/>
    <w:rsid w:val="001D380B"/>
    <w:rsid w:val="001D64C6"/>
    <w:rsid w:val="001E1CA8"/>
    <w:rsid w:val="002024F3"/>
    <w:rsid w:val="00221F28"/>
    <w:rsid w:val="00250B2A"/>
    <w:rsid w:val="00280FE3"/>
    <w:rsid w:val="00295654"/>
    <w:rsid w:val="002A69E5"/>
    <w:rsid w:val="002C004E"/>
    <w:rsid w:val="002D39D8"/>
    <w:rsid w:val="002E387D"/>
    <w:rsid w:val="002F0C70"/>
    <w:rsid w:val="00322957"/>
    <w:rsid w:val="0039628E"/>
    <w:rsid w:val="003F5EC6"/>
    <w:rsid w:val="00427F87"/>
    <w:rsid w:val="00443543"/>
    <w:rsid w:val="004A2825"/>
    <w:rsid w:val="004A2A90"/>
    <w:rsid w:val="004B09BE"/>
    <w:rsid w:val="00565B81"/>
    <w:rsid w:val="00606E75"/>
    <w:rsid w:val="00647791"/>
    <w:rsid w:val="006549C1"/>
    <w:rsid w:val="00685F72"/>
    <w:rsid w:val="006B28CC"/>
    <w:rsid w:val="006D2404"/>
    <w:rsid w:val="006D5F74"/>
    <w:rsid w:val="00704865"/>
    <w:rsid w:val="0071403A"/>
    <w:rsid w:val="007507E4"/>
    <w:rsid w:val="00802338"/>
    <w:rsid w:val="0083246D"/>
    <w:rsid w:val="00905235"/>
    <w:rsid w:val="00911D7E"/>
    <w:rsid w:val="0095738A"/>
    <w:rsid w:val="0098173E"/>
    <w:rsid w:val="009D5791"/>
    <w:rsid w:val="009F5F16"/>
    <w:rsid w:val="009F6F15"/>
    <w:rsid w:val="00A15119"/>
    <w:rsid w:val="00A162E3"/>
    <w:rsid w:val="00A509BC"/>
    <w:rsid w:val="00A64228"/>
    <w:rsid w:val="00AC3F45"/>
    <w:rsid w:val="00B12335"/>
    <w:rsid w:val="00B53FB6"/>
    <w:rsid w:val="00BA39B6"/>
    <w:rsid w:val="00BA4AC3"/>
    <w:rsid w:val="00BE2A75"/>
    <w:rsid w:val="00BF2EDF"/>
    <w:rsid w:val="00C17E4C"/>
    <w:rsid w:val="00C27844"/>
    <w:rsid w:val="00C75045"/>
    <w:rsid w:val="00C83A07"/>
    <w:rsid w:val="00CA52FB"/>
    <w:rsid w:val="00D85E54"/>
    <w:rsid w:val="00D9261D"/>
    <w:rsid w:val="00DB77AD"/>
    <w:rsid w:val="00E15C01"/>
    <w:rsid w:val="00E30FEC"/>
    <w:rsid w:val="00E965B4"/>
    <w:rsid w:val="00EB6E13"/>
    <w:rsid w:val="00EB7FD8"/>
    <w:rsid w:val="00F57D9B"/>
    <w:rsid w:val="00FB299E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C235"/>
  <w15:chartTrackingRefBased/>
  <w15:docId w15:val="{F62E6A4B-533F-4409-9DAA-C736E6CB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579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579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E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E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E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5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5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27844"/>
    <w:rPr>
      <w:color w:val="0000FF"/>
      <w:u w:val="single"/>
    </w:rPr>
  </w:style>
  <w:style w:type="paragraph" w:customStyle="1" w:styleId="Normalny1">
    <w:name w:val="Normalny1"/>
    <w:rsid w:val="009D57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9D5791"/>
  </w:style>
  <w:style w:type="character" w:customStyle="1" w:styleId="Hyperlink0">
    <w:name w:val="Hyperlink.0"/>
    <w:basedOn w:val="Brak"/>
    <w:rsid w:val="009D579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D5791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5791"/>
    <w:rPr>
      <w:rFonts w:ascii="Calibri" w:eastAsiaTheme="majorEastAsia" w:hAnsi="Calibr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component/site/site/kursy-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iza_nowicka@par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Dardzińska Magdalena</dc:creator>
  <cp:keywords/>
  <dc:description/>
  <cp:lastModifiedBy>Nowicka Luiza</cp:lastModifiedBy>
  <cp:revision>2</cp:revision>
  <dcterms:created xsi:type="dcterms:W3CDTF">2023-03-17T12:39:00Z</dcterms:created>
  <dcterms:modified xsi:type="dcterms:W3CDTF">2023-03-17T12:39:00Z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40d04c3c919fcbcfb1792986cb4a3a5aeee6a92275ceb58f911a347c01109676</vt:lpwstr>
  </property>
</Properties>
</file>