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26" w:rsidRDefault="00AD0486">
      <w:pPr>
        <w:rPr>
          <w:rStyle w:val="Pogrubienie"/>
        </w:r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6B73D17" wp14:editId="1EAF7918">
            <wp:extent cx="5760721" cy="575354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575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8E2A26" w:rsidRDefault="00AD0486" w:rsidP="009E010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:rsidR="008E2A26" w:rsidRDefault="00AD0486" w:rsidP="009E010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Luiza Nowicka, PARP                                                                                              Informacja prasowa</w:t>
      </w:r>
    </w:p>
    <w:p w:rsidR="008E2A26" w:rsidRDefault="00AD0486" w:rsidP="009E010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Style w:val="Hyperlink0"/>
        </w:rPr>
      </w:pPr>
      <w:r>
        <w:rPr>
          <w:rFonts w:ascii="Calibri" w:hAnsi="Calibri"/>
        </w:rPr>
        <w:t xml:space="preserve">e-mail: </w:t>
      </w:r>
      <w:hyperlink r:id="rId8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Warszawa, 2</w:t>
      </w:r>
      <w:r w:rsidR="00655CDD">
        <w:rPr>
          <w:rStyle w:val="Hyperlink0"/>
        </w:rPr>
        <w:t>7</w:t>
      </w:r>
      <w:r>
        <w:rPr>
          <w:rStyle w:val="Hyperlink0"/>
        </w:rPr>
        <w:t>.03.2023 r.</w:t>
      </w:r>
    </w:p>
    <w:p w:rsidR="008E2A26" w:rsidRDefault="00AD0486" w:rsidP="009E010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120" w:line="276" w:lineRule="auto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lang w:val="pt-PT"/>
        </w:rPr>
        <w:t>tel.: 880 524 959</w:t>
      </w:r>
    </w:p>
    <w:p w:rsidR="008E2A26" w:rsidRPr="009E010F" w:rsidRDefault="00AD0486" w:rsidP="009E010F">
      <w:pPr>
        <w:pStyle w:val="Nagwek1"/>
        <w:rPr>
          <w:rStyle w:val="markedcontent"/>
        </w:rPr>
      </w:pPr>
      <w:r w:rsidRPr="009E010F">
        <w:rPr>
          <w:rStyle w:val="markedcontent"/>
        </w:rPr>
        <w:t>Innowacje – od pomysłu do wdrożenia. Czym są prace B+R?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b/>
          <w:bCs/>
          <w:sz w:val="24"/>
          <w:szCs w:val="24"/>
        </w:rPr>
      </w:pPr>
      <w:r w:rsidRPr="009E010F">
        <w:rPr>
          <w:rStyle w:val="Brak"/>
          <w:rFonts w:cs="Calibri"/>
          <w:b/>
          <w:bCs/>
          <w:sz w:val="24"/>
          <w:szCs w:val="24"/>
        </w:rPr>
        <w:t>Polska chętnie wdraża innowacje. Jak wynika z danych GUS z listopada 2021 r., nakłady krajowe brutto na działalność badawczo-rozwojową, ściśle powiązaną z nowatorskimi pomysłami, wyniosły w 2020 r. 32,4 mld zł. Za 62,8% tych nakład</w:t>
      </w:r>
      <w:r w:rsidRPr="009E010F">
        <w:rPr>
          <w:rStyle w:val="Brak"/>
          <w:rFonts w:cs="Calibri"/>
          <w:b/>
          <w:bCs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b/>
          <w:bCs/>
          <w:sz w:val="24"/>
          <w:szCs w:val="24"/>
        </w:rPr>
        <w:t>w odpowiadały przedsiębiorstwa. Rośnie też odsetek podmiot</w:t>
      </w:r>
      <w:r w:rsidRPr="009E010F">
        <w:rPr>
          <w:rStyle w:val="Brak"/>
          <w:rFonts w:cs="Calibri"/>
          <w:b/>
          <w:bCs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b/>
          <w:bCs/>
          <w:sz w:val="24"/>
          <w:szCs w:val="24"/>
        </w:rPr>
        <w:t>w działających w obszarze B+R. Jak sprawić, by dobre pomysły trafiły na rynek?</w:t>
      </w:r>
    </w:p>
    <w:p w:rsidR="008E2A26" w:rsidRPr="009E010F" w:rsidRDefault="00AD0486" w:rsidP="009E010F">
      <w:pPr>
        <w:pStyle w:val="Nagwek2"/>
        <w:rPr>
          <w:rStyle w:val="markedcontent"/>
        </w:rPr>
      </w:pPr>
      <w:r w:rsidRPr="009E010F">
        <w:rPr>
          <w:rStyle w:val="markedcontent"/>
        </w:rPr>
        <w:t>Prace badawczo-rozwojowe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sz w:val="24"/>
          <w:szCs w:val="24"/>
        </w:rPr>
      </w:pPr>
      <w:r w:rsidRPr="009E010F">
        <w:rPr>
          <w:rStyle w:val="Brak"/>
          <w:rFonts w:cs="Calibri"/>
          <w:sz w:val="24"/>
          <w:szCs w:val="24"/>
        </w:rPr>
        <w:t xml:space="preserve">Zgodnie z koncepcją gospodarki opartej na wiedzy </w:t>
      </w:r>
      <w:r w:rsidRPr="00573037">
        <w:rPr>
          <w:rStyle w:val="Brak"/>
          <w:rFonts w:cs="Calibri"/>
          <w:sz w:val="24"/>
          <w:szCs w:val="24"/>
        </w:rPr>
        <w:t xml:space="preserve">(GOW), </w:t>
      </w:r>
      <w:r w:rsidRPr="009E010F">
        <w:rPr>
          <w:rStyle w:val="Brak"/>
          <w:rFonts w:cs="Calibri"/>
          <w:sz w:val="24"/>
          <w:szCs w:val="24"/>
        </w:rPr>
        <w:t xml:space="preserve">jednym z </w:t>
      </w:r>
      <w:proofErr w:type="spellStart"/>
      <w:r w:rsidRPr="009E010F">
        <w:rPr>
          <w:rStyle w:val="Brak"/>
          <w:rFonts w:cs="Calibri"/>
          <w:sz w:val="24"/>
          <w:szCs w:val="24"/>
        </w:rPr>
        <w:t>ważniejszych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</w:t>
      </w:r>
      <w:proofErr w:type="spellStart"/>
      <w:r w:rsidRPr="009E010F">
        <w:rPr>
          <w:rStyle w:val="Brak"/>
          <w:rFonts w:cs="Calibri"/>
          <w:sz w:val="24"/>
          <w:szCs w:val="24"/>
        </w:rPr>
        <w:t>czynników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</w:t>
      </w:r>
      <w:proofErr w:type="spellStart"/>
      <w:r w:rsidRPr="009E010F">
        <w:rPr>
          <w:rStyle w:val="Brak"/>
          <w:rFonts w:cs="Calibri"/>
          <w:sz w:val="24"/>
          <w:szCs w:val="24"/>
        </w:rPr>
        <w:t>determinujących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tempo i poziom rozwoju gospodarczego regionu jest </w:t>
      </w:r>
      <w:proofErr w:type="spellStart"/>
      <w:r w:rsidRPr="009E010F">
        <w:rPr>
          <w:rStyle w:val="Brak"/>
          <w:rFonts w:cs="Calibri"/>
          <w:sz w:val="24"/>
          <w:szCs w:val="24"/>
        </w:rPr>
        <w:t>innowacyjnośc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́, transfer i wykorzystanie wiedzy. Warunkiem dynamiki innowacyjnej gospodarki regionu, budowania </w:t>
      </w:r>
      <w:proofErr w:type="spellStart"/>
      <w:r w:rsidRPr="009E010F">
        <w:rPr>
          <w:rStyle w:val="Brak"/>
          <w:rFonts w:cs="Calibri"/>
          <w:sz w:val="24"/>
          <w:szCs w:val="24"/>
        </w:rPr>
        <w:t>podaży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nowych </w:t>
      </w:r>
      <w:proofErr w:type="spellStart"/>
      <w:r w:rsidRPr="009E010F">
        <w:rPr>
          <w:rStyle w:val="Brak"/>
          <w:rFonts w:cs="Calibri"/>
          <w:sz w:val="24"/>
          <w:szCs w:val="24"/>
        </w:rPr>
        <w:t>rozwiązan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́ produktowych, procesowych oraz organizacyjnych jest natomiast </w:t>
      </w:r>
      <w:proofErr w:type="spellStart"/>
      <w:r w:rsidRPr="009E010F">
        <w:rPr>
          <w:rStyle w:val="Brak"/>
          <w:rFonts w:cs="Calibri"/>
          <w:sz w:val="24"/>
          <w:szCs w:val="24"/>
        </w:rPr>
        <w:t>działalnośc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́ badawczo-rozwojowa, szeroki </w:t>
      </w:r>
      <w:proofErr w:type="spellStart"/>
      <w:r w:rsidRPr="009E010F">
        <w:rPr>
          <w:rStyle w:val="Brak"/>
          <w:rFonts w:cs="Calibri"/>
          <w:sz w:val="24"/>
          <w:szCs w:val="24"/>
        </w:rPr>
        <w:t>dostęp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do oryginalnych </w:t>
      </w:r>
      <w:proofErr w:type="spellStart"/>
      <w:r w:rsidRPr="009E010F">
        <w:rPr>
          <w:rStyle w:val="Brak"/>
          <w:rFonts w:cs="Calibri"/>
          <w:sz w:val="24"/>
          <w:szCs w:val="24"/>
        </w:rPr>
        <w:t>rozwiązan</w:t>
      </w:r>
      <w:proofErr w:type="spellEnd"/>
      <w:r w:rsidRPr="009E010F">
        <w:rPr>
          <w:rStyle w:val="Brak"/>
          <w:rFonts w:cs="Calibri"/>
          <w:sz w:val="24"/>
          <w:szCs w:val="24"/>
        </w:rPr>
        <w:t>́ naukowo-badawczych, usług technologicznych, doradztwa i edukacji.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sz w:val="24"/>
          <w:szCs w:val="24"/>
        </w:rPr>
      </w:pPr>
      <w:r w:rsidRPr="009E010F">
        <w:rPr>
          <w:rStyle w:val="Brak"/>
          <w:rFonts w:cs="Calibri"/>
          <w:sz w:val="24"/>
          <w:szCs w:val="24"/>
        </w:rPr>
        <w:t>Żeby innowacyjne pomysły mogły zostać wprowadzone do powszechnego użytku, niezbędne jest przeniesienie ich na płaszczyznę badań, wdrożeń i dalszej skalowalności. Działalność badawczo-rozwojowa (B+R) to według unijnej definicji</w:t>
      </w:r>
      <w:r w:rsidRPr="009E010F">
        <w:rPr>
          <w:rStyle w:val="Brak"/>
          <w:rFonts w:cs="Calibri"/>
          <w:sz w:val="24"/>
          <w:szCs w:val="24"/>
          <w:vertAlign w:val="superscript"/>
        </w:rPr>
        <w:footnoteReference w:id="2"/>
      </w:r>
      <w:r w:rsidRPr="009E010F">
        <w:rPr>
          <w:rStyle w:val="Brak"/>
          <w:rFonts w:cs="Calibri"/>
          <w:sz w:val="24"/>
          <w:szCs w:val="24"/>
        </w:rPr>
        <w:t xml:space="preserve"> praca </w:t>
      </w:r>
      <w:proofErr w:type="spellStart"/>
      <w:r w:rsidRPr="009E010F">
        <w:rPr>
          <w:rStyle w:val="Brak"/>
          <w:rFonts w:cs="Calibri"/>
          <w:sz w:val="24"/>
          <w:szCs w:val="24"/>
        </w:rPr>
        <w:t>tw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rcza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podejmowana w </w:t>
      </w:r>
      <w:proofErr w:type="spellStart"/>
      <w:r w:rsidRPr="009E010F">
        <w:rPr>
          <w:rStyle w:val="Brak"/>
          <w:rFonts w:cs="Calibri"/>
          <w:sz w:val="24"/>
          <w:szCs w:val="24"/>
        </w:rPr>
        <w:t>spos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b metodyczny,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ra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ma przyczynić się do zwiększenia </w:t>
      </w:r>
      <w:proofErr w:type="spellStart"/>
      <w:r w:rsidRPr="009E010F">
        <w:rPr>
          <w:rStyle w:val="Brak"/>
          <w:rFonts w:cs="Calibri"/>
          <w:sz w:val="24"/>
          <w:szCs w:val="24"/>
        </w:rPr>
        <w:t>zasob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wiedzy oraz tworzenia nowych zastosowań dla istniejącej wiedzy. Musi być ona ukierunkowana na nowe odkrycia, opierać</w:t>
      </w:r>
      <w:r w:rsidRPr="009E010F">
        <w:rPr>
          <w:rStyle w:val="Brak"/>
          <w:rFonts w:cs="Calibri"/>
          <w:sz w:val="24"/>
          <w:szCs w:val="24"/>
          <w:lang w:val="it-IT"/>
        </w:rPr>
        <w:t xml:space="preserve"> si</w:t>
      </w:r>
      <w:r w:rsidRPr="009E010F">
        <w:rPr>
          <w:rStyle w:val="Brak"/>
          <w:rFonts w:cs="Calibri"/>
          <w:sz w:val="24"/>
          <w:szCs w:val="24"/>
        </w:rPr>
        <w:t xml:space="preserve">ę na oryginalnych, nieoczywistych koncepcjach i hipotezach. Ponadto działalność B+R powinna być nieprzewidywalna (co do ostatecznego wyniku oraz kosztu), prowadzona w </w:t>
      </w:r>
      <w:proofErr w:type="spellStart"/>
      <w:r w:rsidRPr="009E010F">
        <w:rPr>
          <w:rStyle w:val="Brak"/>
          <w:rFonts w:cs="Calibri"/>
          <w:sz w:val="24"/>
          <w:szCs w:val="24"/>
        </w:rPr>
        <w:t>spos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b zaplanowany (z określonym celem projektu B+R oraz </w:t>
      </w:r>
      <w:proofErr w:type="spellStart"/>
      <w:r w:rsidRPr="009E010F">
        <w:rPr>
          <w:rStyle w:val="Brak"/>
          <w:rFonts w:cs="Calibri"/>
          <w:sz w:val="24"/>
          <w:szCs w:val="24"/>
        </w:rPr>
        <w:t>źr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dłem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finansowania), a także możliwa do przeniesienia lub odtworzenia. 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sz w:val="24"/>
          <w:szCs w:val="24"/>
        </w:rPr>
      </w:pPr>
      <w:r w:rsidRPr="009E010F">
        <w:rPr>
          <w:rStyle w:val="Brak"/>
          <w:rFonts w:cs="Calibri"/>
          <w:sz w:val="24"/>
          <w:szCs w:val="24"/>
        </w:rPr>
        <w:t>Co istotne, prace badawczo-rozwojowe mogą być prowadzone przez jednostki naukowe i badawczo-rozwojowe (m.in. plac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wki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PAN), jednostki obsługi nauki (np. stowarzyszenia naukowe), jednostki rozwojowe (podmioty gospodarcze posiadające odpowiednie zaplecze) </w:t>
      </w:r>
      <w:r w:rsidRPr="009E010F">
        <w:rPr>
          <w:rStyle w:val="Brak"/>
          <w:rFonts w:cs="Calibri"/>
          <w:sz w:val="24"/>
          <w:szCs w:val="24"/>
        </w:rPr>
        <w:lastRenderedPageBreak/>
        <w:t xml:space="preserve">oraz szkoły wyższe i inne jednostki,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re realizują prace B+R obok swojej głównej działalności (np. szpitale).</w:t>
      </w:r>
    </w:p>
    <w:p w:rsidR="00370DB8" w:rsidRPr="009E010F" w:rsidRDefault="00370DB8" w:rsidP="009E010F">
      <w:pPr>
        <w:pStyle w:val="Domylne"/>
        <w:spacing w:before="120" w:after="120" w:line="276" w:lineRule="auto"/>
        <w:rPr>
          <w:rStyle w:val="markedcontent"/>
          <w:rFonts w:ascii="Calibri" w:hAnsi="Calibri" w:cs="Calibri"/>
        </w:rPr>
      </w:pPr>
      <w:r w:rsidRPr="009E010F">
        <w:rPr>
          <w:rStyle w:val="Brak"/>
          <w:rFonts w:ascii="Calibri" w:hAnsi="Calibri" w:cs="Calibri"/>
          <w:bCs/>
        </w:rPr>
        <w:t>Jak wynika z danych GUS z listopada 2021 r., za 62,8% tych nakład</w:t>
      </w:r>
      <w:r w:rsidRPr="009E010F">
        <w:rPr>
          <w:rStyle w:val="Brak"/>
          <w:rFonts w:ascii="Calibri" w:hAnsi="Calibri" w:cs="Calibri"/>
          <w:bCs/>
          <w:lang w:val="es-ES_tradnl"/>
        </w:rPr>
        <w:t>ó</w:t>
      </w:r>
      <w:r w:rsidRPr="009E010F">
        <w:rPr>
          <w:rStyle w:val="Brak"/>
          <w:rFonts w:ascii="Calibri" w:hAnsi="Calibri" w:cs="Calibri"/>
          <w:bCs/>
        </w:rPr>
        <w:t xml:space="preserve">w </w:t>
      </w:r>
      <w:r w:rsidR="00F20ACD" w:rsidRPr="009E010F">
        <w:rPr>
          <w:rStyle w:val="Brak"/>
          <w:rFonts w:ascii="Calibri" w:hAnsi="Calibri" w:cs="Calibri"/>
          <w:bCs/>
        </w:rPr>
        <w:t>krajowych brutto na działalność badawczo-rozwojową</w:t>
      </w:r>
      <w:r w:rsidRPr="009E010F">
        <w:rPr>
          <w:rStyle w:val="Brak"/>
          <w:rFonts w:ascii="Calibri" w:hAnsi="Calibri" w:cs="Calibri"/>
          <w:bCs/>
        </w:rPr>
        <w:t xml:space="preserve"> </w:t>
      </w:r>
      <w:r w:rsidR="00F20ACD" w:rsidRPr="009E010F">
        <w:rPr>
          <w:rStyle w:val="Brak"/>
          <w:rFonts w:ascii="Calibri" w:hAnsi="Calibri" w:cs="Calibri"/>
          <w:bCs/>
        </w:rPr>
        <w:t xml:space="preserve">odpowiadały </w:t>
      </w:r>
      <w:r w:rsidRPr="009E010F">
        <w:rPr>
          <w:rStyle w:val="Brak"/>
          <w:rFonts w:ascii="Calibri" w:hAnsi="Calibri" w:cs="Calibri"/>
          <w:bCs/>
        </w:rPr>
        <w:t xml:space="preserve">przedsiębiorstwa. </w:t>
      </w:r>
      <w:r w:rsidR="002F7FA1" w:rsidRPr="009E010F">
        <w:rPr>
          <w:rFonts w:ascii="Calibri" w:eastAsia="Arial Unicode MS" w:hAnsi="Calibri" w:cs="Calibri"/>
        </w:rPr>
        <w:t>Udziały pozostałych sektorów wykonawczych w tych nakładach</w:t>
      </w:r>
      <w:r w:rsidR="002F7FA1" w:rsidRPr="009E010F">
        <w:rPr>
          <w:rFonts w:ascii="Calibri" w:hAnsi="Calibri" w:cs="Calibri"/>
        </w:rPr>
        <w:t xml:space="preserve"> </w:t>
      </w:r>
      <w:r w:rsidR="002F7FA1" w:rsidRPr="009E010F">
        <w:rPr>
          <w:rFonts w:ascii="Calibri" w:eastAsia="Arial Unicode MS" w:hAnsi="Calibri" w:cs="Calibri"/>
        </w:rPr>
        <w:t>wyniosły: szkolnictwa wyższego – 35,0%, rządowego – 2,0% oraz prywatnych instytucji niekomercyjnych – 0,2%.</w:t>
      </w:r>
    </w:p>
    <w:p w:rsidR="008E2A26" w:rsidRPr="009E010F" w:rsidRDefault="00AD0486" w:rsidP="009E010F">
      <w:pPr>
        <w:pStyle w:val="Nagwek2"/>
        <w:rPr>
          <w:rStyle w:val="markedcontent"/>
        </w:rPr>
      </w:pPr>
      <w:r w:rsidRPr="009E010F">
        <w:rPr>
          <w:rStyle w:val="markedcontent"/>
        </w:rPr>
        <w:t>Komercjalizacja wyników prac B+R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sz w:val="24"/>
          <w:szCs w:val="24"/>
        </w:rPr>
      </w:pPr>
      <w:r w:rsidRPr="009E010F">
        <w:rPr>
          <w:rStyle w:val="Brak"/>
          <w:rFonts w:cs="Calibri"/>
          <w:sz w:val="24"/>
          <w:szCs w:val="24"/>
        </w:rPr>
        <w:t>Komercjalizacja to proces motywowany osiąganiem zysk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w, w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rym efekty działalności badawczo-rozwojowej stają się lub w zamierzeniu mogą się stać przedmiotem obrotu rynkowego. Jak przekuć pomysł w rentowny biznes? Działalność badawcza i rozwojowa rozpoczyna się od podstawowych badań naukowych, obejmujących prace eksperymentalne lub teoretyczne, bez nastawienia na praktyczne zastosowania i użytkowanie. Następnie odbywają się badania przemysłowe, czyli badania planowane lub badania krytyczne mające na celu zdobycie nowej wiedzy oraz umiejętności celem opracowania nowych produkt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w, proces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lub usług, lub też wprowadzenia znaczących ulepszeń do istniejących produkt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w, proces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lub usług. Uwzględniają one tworzenie element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składowych system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złożonych i mogą obejmować budowę prototyp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</w:t>
      </w:r>
      <w:proofErr w:type="spellStart"/>
      <w:r w:rsidRPr="009E010F">
        <w:rPr>
          <w:rStyle w:val="Brak"/>
          <w:rFonts w:cs="Calibri"/>
          <w:sz w:val="24"/>
          <w:szCs w:val="24"/>
        </w:rPr>
        <w:t>w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środowisku laboratoryjnym lub środowisku interfejsu symulującego istniejące systemy, a także linii pilotażowych, kiedy są one konieczne do badań przemysłowych, a zwłaszcza uzyskania dowodu w przypadku technologii generycznych. Na samym końcu łańcucha realizowane są tzw. eksperymentalne prace rozwojowe. Mogą one obejmować opracowanie prototyp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w, demonstracje, opracowanie projekt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pilotażowych, testowanie i walidację nowych lub ulepszonych produkt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w, proces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lub usług w otoczeniu stanowiącym model </w:t>
      </w:r>
      <w:proofErr w:type="spellStart"/>
      <w:r w:rsidRPr="009E010F">
        <w:rPr>
          <w:rStyle w:val="Brak"/>
          <w:rFonts w:cs="Calibri"/>
          <w:sz w:val="24"/>
          <w:szCs w:val="24"/>
        </w:rPr>
        <w:t>warunk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rzeczywistego funkcjonowania,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rych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głównym celem jest dalsze udoskonalenie techniczne produkt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w, proces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lub usług,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rych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ostateczny kształt zasadniczo nie jest jeszcze określony. Mogą obejmować opracowanie prototyp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i projekt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pilotażowych,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573037">
        <w:rPr>
          <w:rStyle w:val="Brak"/>
          <w:rFonts w:cs="Calibri"/>
          <w:sz w:val="24"/>
          <w:szCs w:val="24"/>
        </w:rPr>
        <w:t>re mo</w:t>
      </w:r>
      <w:r w:rsidRPr="009E010F">
        <w:rPr>
          <w:rStyle w:val="Brak"/>
          <w:rFonts w:cs="Calibri"/>
          <w:sz w:val="24"/>
          <w:szCs w:val="24"/>
        </w:rPr>
        <w:t xml:space="preserve">żna wykorzystać </w:t>
      </w:r>
      <w:r w:rsidRPr="009E010F">
        <w:rPr>
          <w:rStyle w:val="Brak"/>
          <w:rFonts w:cs="Calibri"/>
          <w:sz w:val="24"/>
          <w:szCs w:val="24"/>
          <w:lang w:val="pt-PT"/>
        </w:rPr>
        <w:t>do cel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komercyjnych, w przypadku gdy prototyp lub projekt pilotażowy z konieczności jest produktem końcowym do wykorzystania do cel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komercyjnych, a jego produkcja jest zbyt kosztowna, aby służył on jedynie do demonstracji i walidacji.</w:t>
      </w:r>
    </w:p>
    <w:p w:rsidR="008E2A26" w:rsidRPr="009E010F" w:rsidRDefault="00AD0486" w:rsidP="009E010F">
      <w:pPr>
        <w:spacing w:before="120" w:after="120" w:line="276" w:lineRule="auto"/>
        <w:rPr>
          <w:rFonts w:cs="Calibri"/>
          <w:sz w:val="24"/>
          <w:szCs w:val="24"/>
        </w:rPr>
      </w:pPr>
      <w:r w:rsidRPr="009E010F">
        <w:rPr>
          <w:rStyle w:val="Brak"/>
          <w:rFonts w:cs="Calibri"/>
          <w:sz w:val="24"/>
          <w:szCs w:val="24"/>
        </w:rPr>
        <w:t>Gotowy do wytworzenia produkt wymaga w dalszej kolejności pozyskania inwestora, pozyskania patentu i skutecznego wprowadzenia do oferty firmy. Pom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c w tym zakresie mogą liczne unijne programy wsparcia, realizowane także przy udziale Polskiej Agencji Rozwoju Przedsiębiorczości.</w:t>
      </w:r>
    </w:p>
    <w:p w:rsidR="008E2A26" w:rsidRPr="009E010F" w:rsidRDefault="00AD0486" w:rsidP="009E010F">
      <w:pPr>
        <w:pStyle w:val="Nagwek2"/>
        <w:rPr>
          <w:rStyle w:val="Brak"/>
        </w:rPr>
      </w:pPr>
      <w:r w:rsidRPr="009E010F">
        <w:rPr>
          <w:rStyle w:val="markedcontent"/>
        </w:rPr>
        <w:t>Efekty wdrożeń prac B+R z dofinansowaniem UE</w:t>
      </w:r>
    </w:p>
    <w:p w:rsidR="00DB36A9" w:rsidRPr="009E010F" w:rsidRDefault="00DB36A9" w:rsidP="009E010F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9E010F">
        <w:rPr>
          <w:rStyle w:val="markedcontent"/>
          <w:rFonts w:cs="Calibri"/>
          <w:sz w:val="24"/>
          <w:szCs w:val="24"/>
        </w:rPr>
        <w:t>Efektywność wdrażania Programu Inteligentny Rozwój (POIR) była również ściśle związana z obserwowanymi</w:t>
      </w:r>
      <w:r w:rsidRPr="009E010F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 xml:space="preserve">zmianami w działalności B+R na poziomie całego kraju. Zgodnie z </w:t>
      </w:r>
      <w:r w:rsidR="0073694D" w:rsidRPr="0073694D">
        <w:rPr>
          <w:rStyle w:val="markedcontent"/>
          <w:rFonts w:cs="Calibri"/>
          <w:sz w:val="24"/>
          <w:szCs w:val="24"/>
        </w:rPr>
        <w:t>„</w:t>
      </w:r>
      <w:r w:rsidR="0073694D" w:rsidRPr="0073694D">
        <w:rPr>
          <w:rStyle w:val="markedcontent"/>
          <w:rFonts w:cs="Arial"/>
          <w:sz w:val="24"/>
          <w:szCs w:val="24"/>
        </w:rPr>
        <w:t>Ewaluacją podsumowującą postęp</w:t>
      </w:r>
      <w:r w:rsidR="0073694D" w:rsidRPr="0073694D">
        <w:rPr>
          <w:sz w:val="24"/>
          <w:szCs w:val="24"/>
        </w:rPr>
        <w:t xml:space="preserve"> </w:t>
      </w:r>
      <w:r w:rsidR="0073694D" w:rsidRPr="0073694D">
        <w:rPr>
          <w:rStyle w:val="markedcontent"/>
          <w:rFonts w:cs="Arial"/>
          <w:sz w:val="24"/>
          <w:szCs w:val="24"/>
        </w:rPr>
        <w:t>rzeczowy i rezultaty PO IR oraz</w:t>
      </w:r>
      <w:r w:rsidR="0073694D">
        <w:rPr>
          <w:sz w:val="24"/>
          <w:szCs w:val="24"/>
        </w:rPr>
        <w:t xml:space="preserve"> </w:t>
      </w:r>
      <w:r w:rsidR="0073694D" w:rsidRPr="0073694D">
        <w:rPr>
          <w:rStyle w:val="markedcontent"/>
          <w:rFonts w:cs="Arial"/>
          <w:sz w:val="24"/>
          <w:szCs w:val="24"/>
        </w:rPr>
        <w:t>oceną wpływu PO IR na</w:t>
      </w:r>
      <w:r w:rsidR="0073694D" w:rsidRPr="0073694D">
        <w:rPr>
          <w:sz w:val="24"/>
          <w:szCs w:val="24"/>
        </w:rPr>
        <w:t xml:space="preserve"> </w:t>
      </w:r>
      <w:r w:rsidR="0073694D" w:rsidRPr="0073694D">
        <w:rPr>
          <w:rStyle w:val="markedcontent"/>
          <w:rFonts w:cs="Arial"/>
          <w:sz w:val="24"/>
          <w:szCs w:val="24"/>
        </w:rPr>
        <w:t>innowacyjność polskiej gospodarki,</w:t>
      </w:r>
      <w:r w:rsidR="0073694D" w:rsidRPr="0073694D">
        <w:rPr>
          <w:sz w:val="24"/>
          <w:szCs w:val="24"/>
        </w:rPr>
        <w:t xml:space="preserve"> </w:t>
      </w:r>
      <w:r w:rsidR="0073694D" w:rsidRPr="0073694D">
        <w:rPr>
          <w:rStyle w:val="markedcontent"/>
          <w:rFonts w:cs="Arial"/>
          <w:sz w:val="24"/>
          <w:szCs w:val="24"/>
        </w:rPr>
        <w:t>w tym wpływu na realizację celów</w:t>
      </w:r>
      <w:r w:rsidR="0073694D" w:rsidRPr="0073694D">
        <w:rPr>
          <w:sz w:val="24"/>
          <w:szCs w:val="24"/>
        </w:rPr>
        <w:t xml:space="preserve"> </w:t>
      </w:r>
      <w:r w:rsidR="0073694D" w:rsidRPr="0073694D">
        <w:rPr>
          <w:rStyle w:val="markedcontent"/>
          <w:rFonts w:cs="Arial"/>
          <w:sz w:val="24"/>
          <w:szCs w:val="24"/>
        </w:rPr>
        <w:t>Strategii Europa”</w:t>
      </w:r>
      <w:r w:rsidR="0073694D" w:rsidRPr="009E010F">
        <w:rPr>
          <w:rStyle w:val="markedcontent"/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widoczne jest utrzymywanie się systematycznego, długoterminowego trendu</w:t>
      </w:r>
      <w:r w:rsidR="009F65F4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 xml:space="preserve">wzrostu </w:t>
      </w:r>
      <w:r w:rsidRPr="009E010F">
        <w:rPr>
          <w:rStyle w:val="markedcontent"/>
          <w:rFonts w:cs="Calibri"/>
          <w:sz w:val="24"/>
          <w:szCs w:val="24"/>
        </w:rPr>
        <w:lastRenderedPageBreak/>
        <w:t>nakładów na działalność badawczo-rozwojową w polskiej gospodarce. Udział</w:t>
      </w:r>
      <w:r w:rsidR="009F65F4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nakładów na B+R w relacji do PKB wzrósł w okresie wdrażania POIR z 1% w 2015 r. do</w:t>
      </w:r>
      <w:r w:rsidR="009F65F4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1,44% w 2021 r. Trend ten był kontynuowany nawet w kryzysowym, pandemicznym 2020 r.,</w:t>
      </w:r>
      <w:r w:rsidR="009F65F4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co wskazuje, że mimo wyzwań związanych z pandemią, firmy niechętnie rezygnowały z</w:t>
      </w:r>
      <w:r w:rsidR="009F65F4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zaplanowanych prac badawczych. Szczególnie silnie rosły nakłady na prace badawczo-rozwojowe w</w:t>
      </w:r>
      <w:r w:rsidRPr="009E010F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sektorze przedsiębiorstw. Ich udział w relacji do PKB wzrósł niemal dwukrotnie, z</w:t>
      </w:r>
      <w:r w:rsidRPr="009E010F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 xml:space="preserve">0,47% w 2015 r. do 0,91% w </w:t>
      </w:r>
      <w:proofErr w:type="spellStart"/>
      <w:r w:rsidRPr="009E010F">
        <w:rPr>
          <w:rStyle w:val="markedcontent"/>
          <w:rFonts w:cs="Calibri"/>
          <w:sz w:val="24"/>
          <w:szCs w:val="24"/>
        </w:rPr>
        <w:t>popandemicznym</w:t>
      </w:r>
      <w:proofErr w:type="spellEnd"/>
      <w:r w:rsidRPr="009E010F">
        <w:rPr>
          <w:rStyle w:val="markedcontent"/>
          <w:rFonts w:cs="Calibri"/>
          <w:sz w:val="24"/>
          <w:szCs w:val="24"/>
        </w:rPr>
        <w:t xml:space="preserve"> roku 2021.</w:t>
      </w:r>
    </w:p>
    <w:p w:rsidR="00C33E30" w:rsidRPr="009E010F" w:rsidRDefault="00C33E30" w:rsidP="009E010F">
      <w:pPr>
        <w:spacing w:before="120" w:after="120" w:line="276" w:lineRule="auto"/>
        <w:rPr>
          <w:rStyle w:val="Brak"/>
          <w:rFonts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E010F">
        <w:rPr>
          <w:rStyle w:val="markedcontent"/>
          <w:rFonts w:cs="Calibri"/>
          <w:sz w:val="24"/>
          <w:szCs w:val="24"/>
        </w:rPr>
        <w:t>Wzrost nakładów na prace B+R w sektorze przedsiębiorstw wynikał zarówno z</w:t>
      </w:r>
      <w:r w:rsidR="009F65F4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systematycznie rosnącej liczby firm prowadzących działalność badawczą, jak i z</w:t>
      </w:r>
      <w:r w:rsidR="00DF384F">
        <w:rPr>
          <w:rStyle w:val="markedcontent"/>
          <w:rFonts w:cs="Calibri"/>
          <w:sz w:val="24"/>
          <w:szCs w:val="24"/>
        </w:rPr>
        <w:t>e</w:t>
      </w:r>
      <w:r w:rsidRPr="009E010F">
        <w:rPr>
          <w:rStyle w:val="markedcontent"/>
          <w:rFonts w:cs="Calibri"/>
          <w:sz w:val="24"/>
          <w:szCs w:val="24"/>
        </w:rPr>
        <w:t xml:space="preserve"> zwiększenia</w:t>
      </w:r>
      <w:r w:rsidRPr="009E010F">
        <w:rPr>
          <w:rFonts w:cs="Calibri"/>
          <w:sz w:val="24"/>
          <w:szCs w:val="24"/>
        </w:rPr>
        <w:br/>
      </w:r>
      <w:r w:rsidRPr="009E010F">
        <w:rPr>
          <w:rStyle w:val="markedcontent"/>
          <w:rFonts w:cs="Calibri"/>
          <w:sz w:val="24"/>
          <w:szCs w:val="24"/>
        </w:rPr>
        <w:t>średnich nakładów na prace B+R w przeliczeniu na jedną firmę aktywną badawczo. Coraz więcej firm opiera</w:t>
      </w:r>
      <w:r w:rsidRPr="009E010F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swoją pozycję konkurencyjną nie tylko na przewadze kosztowej, ale też na rozwijaniu swojej</w:t>
      </w:r>
      <w:r w:rsidRPr="009E010F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oferty i zwiększaniu jakości w oparciu o prowadzone prace badawcze. W latach 2015-2020 z 940 do 1280 wzrosła liczba przedsiębiorstw posiadających własną</w:t>
      </w:r>
      <w:r w:rsidR="009F65F4">
        <w:rPr>
          <w:rFonts w:cs="Calibri"/>
          <w:sz w:val="24"/>
          <w:szCs w:val="24"/>
        </w:rPr>
        <w:t xml:space="preserve"> </w:t>
      </w:r>
      <w:r w:rsidRPr="009E010F">
        <w:rPr>
          <w:rStyle w:val="markedcontent"/>
          <w:rFonts w:cs="Calibri"/>
          <w:sz w:val="24"/>
          <w:szCs w:val="24"/>
        </w:rPr>
        <w:t>aparaturę badawczą.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sz w:val="24"/>
          <w:szCs w:val="24"/>
        </w:rPr>
      </w:pPr>
      <w:r w:rsidRPr="009E010F">
        <w:rPr>
          <w:rStyle w:val="Brak"/>
          <w:rFonts w:cs="Calibri"/>
          <w:sz w:val="24"/>
          <w:szCs w:val="24"/>
        </w:rPr>
        <w:t xml:space="preserve">Czynniki te spowodowały, że z dofinansowania z Programu Inteligentny </w:t>
      </w:r>
      <w:proofErr w:type="spellStart"/>
      <w:r w:rsidRPr="009E010F">
        <w:rPr>
          <w:rStyle w:val="Brak"/>
          <w:rFonts w:cs="Calibri"/>
          <w:sz w:val="24"/>
          <w:szCs w:val="24"/>
        </w:rPr>
        <w:t>Rozw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j skorzystały liczne firmy. Jedną z nich była, specjalizują</w:t>
      </w:r>
      <w:r w:rsidRPr="009E010F">
        <w:rPr>
          <w:rStyle w:val="Brak"/>
          <w:rFonts w:cs="Calibri"/>
          <w:sz w:val="24"/>
          <w:szCs w:val="24"/>
          <w:lang w:val="it-IT"/>
        </w:rPr>
        <w:t>ca si</w:t>
      </w:r>
      <w:r w:rsidRPr="009E010F">
        <w:rPr>
          <w:rStyle w:val="Brak"/>
          <w:rFonts w:cs="Calibri"/>
          <w:sz w:val="24"/>
          <w:szCs w:val="24"/>
        </w:rPr>
        <w:t xml:space="preserve">ę w elektronice i automatyce przemysłowej, </w:t>
      </w:r>
      <w:r w:rsidRPr="009E010F">
        <w:rPr>
          <w:rStyle w:val="Brak"/>
          <w:rFonts w:cs="Calibri"/>
          <w:b/>
          <w:bCs/>
          <w:sz w:val="24"/>
          <w:szCs w:val="24"/>
        </w:rPr>
        <w:t>BTC Korporacja</w:t>
      </w:r>
      <w:r w:rsidRPr="009E010F">
        <w:rPr>
          <w:rStyle w:val="Brak"/>
          <w:rFonts w:cs="Calibri"/>
          <w:sz w:val="24"/>
          <w:szCs w:val="24"/>
        </w:rPr>
        <w:t xml:space="preserve">,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ra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za sprawą konkursu „Bony na innowacje dla MŚP” zrealizowała szereg prac badawczych i projektowych w zakresie wdrożenia na rynek innowacji produktowej. Dzięki wsparciu oferta firmy została poszerzona o kompletny system do monitoringu strukturalnego PHM/SHM. To inteligentny hub gromadzący </w:t>
      </w:r>
      <w:proofErr w:type="spellStart"/>
      <w:r w:rsidRPr="009E010F">
        <w:rPr>
          <w:rStyle w:val="Brak"/>
          <w:rFonts w:cs="Calibri"/>
          <w:sz w:val="24"/>
          <w:szCs w:val="24"/>
        </w:rPr>
        <w:t>pr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bki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z sensor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drgań, przechyłów, </w:t>
      </w:r>
      <w:proofErr w:type="spellStart"/>
      <w:r w:rsidRPr="009E010F">
        <w:rPr>
          <w:rStyle w:val="Brak"/>
          <w:rFonts w:cs="Calibri"/>
          <w:sz w:val="24"/>
          <w:szCs w:val="24"/>
        </w:rPr>
        <w:t>obrot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w, temperatury czy wilgotności stanu m.in. konstrukcji mechanicznych i budowli. Wartość dofinansowania wyniosła ponad 326 tys. zł.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sz w:val="24"/>
          <w:szCs w:val="24"/>
        </w:rPr>
      </w:pPr>
      <w:proofErr w:type="spellStart"/>
      <w:r w:rsidRPr="009E010F">
        <w:rPr>
          <w:rStyle w:val="Brak"/>
          <w:rFonts w:cs="Calibri"/>
          <w:sz w:val="24"/>
          <w:szCs w:val="24"/>
          <w:lang w:val="de-DE"/>
        </w:rPr>
        <w:t>Wdra</w:t>
      </w:r>
      <w:r w:rsidRPr="009E010F">
        <w:rPr>
          <w:rStyle w:val="Brak"/>
          <w:rFonts w:cs="Calibri"/>
          <w:sz w:val="24"/>
          <w:szCs w:val="24"/>
        </w:rPr>
        <w:t>żanie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prac badawczo-rozwojowych umożliwiał r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wnież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konkurs „Badania na rynek”, realizowany z Programu Inteligentny </w:t>
      </w:r>
      <w:proofErr w:type="spellStart"/>
      <w:r w:rsidRPr="009E010F">
        <w:rPr>
          <w:rStyle w:val="Brak"/>
          <w:rFonts w:cs="Calibri"/>
          <w:sz w:val="24"/>
          <w:szCs w:val="24"/>
        </w:rPr>
        <w:t>Rozw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j. </w:t>
      </w:r>
      <w:r w:rsidRPr="009E010F">
        <w:rPr>
          <w:rStyle w:val="Brak"/>
          <w:rFonts w:cs="Calibri"/>
          <w:b/>
          <w:bCs/>
          <w:sz w:val="24"/>
          <w:szCs w:val="24"/>
          <w:lang w:val="de-DE"/>
        </w:rPr>
        <w:t>INTERMAG</w:t>
      </w:r>
      <w:r w:rsidRPr="009E010F">
        <w:rPr>
          <w:rStyle w:val="Brak"/>
          <w:rFonts w:cs="Calibri"/>
          <w:sz w:val="24"/>
          <w:szCs w:val="24"/>
        </w:rPr>
        <w:t xml:space="preserve"> to jeden z największych producent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</w:t>
      </w:r>
      <w:proofErr w:type="spellStart"/>
      <w:r w:rsidRPr="009E010F">
        <w:rPr>
          <w:rStyle w:val="Brak"/>
          <w:rFonts w:cs="Calibri"/>
          <w:sz w:val="24"/>
          <w:szCs w:val="24"/>
        </w:rPr>
        <w:t>nawoz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i biostymulator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na świecie. Produkty firmy dostępne są na rynkach Europy, Azji, Afryki oraz Ameryki Północnej i Południowej. Przedsiębiorstwo specjalizuje się w rozwoju i produkcji nowoczesnych preparat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dla rolnictwa. Dzięki wparciu ze </w:t>
      </w:r>
      <w:proofErr w:type="spellStart"/>
      <w:r w:rsidRPr="009E010F">
        <w:rPr>
          <w:rStyle w:val="Brak"/>
          <w:rFonts w:cs="Calibri"/>
          <w:sz w:val="24"/>
          <w:szCs w:val="24"/>
        </w:rPr>
        <w:t>środk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unijnych, firma wdrożyła na rynek innowacyjne biopreparaty, bazujące wyłącznie na naturalnie występujących w środowisku glebowym aktywnych mikroorganizmach. Nowe produkty wyróżnia </w:t>
      </w:r>
      <w:proofErr w:type="spellStart"/>
      <w:r w:rsidRPr="009E010F">
        <w:rPr>
          <w:rStyle w:val="Brak"/>
          <w:rFonts w:cs="Calibri"/>
          <w:sz w:val="24"/>
          <w:szCs w:val="24"/>
        </w:rPr>
        <w:t>multifunkcjonalność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. Przyczyniają się m.in. do intensyfikacji </w:t>
      </w:r>
      <w:proofErr w:type="spellStart"/>
      <w:r w:rsidRPr="009E010F">
        <w:rPr>
          <w:rStyle w:val="Brak"/>
          <w:rFonts w:cs="Calibri"/>
          <w:sz w:val="24"/>
          <w:szCs w:val="24"/>
        </w:rPr>
        <w:t>zr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wnoważonej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produkcji rolnej. Zwiększają biodostępność składnik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pokarmowych w glebie, poprawiając jej właściwości oraz stymulują wzrost i </w:t>
      </w:r>
      <w:proofErr w:type="spellStart"/>
      <w:r w:rsidRPr="009E010F">
        <w:rPr>
          <w:rStyle w:val="Brak"/>
          <w:rFonts w:cs="Calibri"/>
          <w:sz w:val="24"/>
          <w:szCs w:val="24"/>
        </w:rPr>
        <w:t>rozw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j roślin. Biopreparaty ograniczają r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wnież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ryzyko występowania najgroźniejszych </w:t>
      </w:r>
      <w:proofErr w:type="spellStart"/>
      <w:r w:rsidRPr="009E010F">
        <w:rPr>
          <w:rStyle w:val="Brak"/>
          <w:rFonts w:cs="Calibri"/>
          <w:sz w:val="24"/>
          <w:szCs w:val="24"/>
        </w:rPr>
        <w:t>chor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b upraw sadowniczych.</w:t>
      </w:r>
    </w:p>
    <w:p w:rsidR="008E2A26" w:rsidRPr="009E010F" w:rsidRDefault="00AD0486" w:rsidP="009E010F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proofErr w:type="spellStart"/>
      <w:r w:rsidRPr="009E010F">
        <w:rPr>
          <w:rStyle w:val="Brak"/>
          <w:rFonts w:cs="Calibri"/>
          <w:sz w:val="24"/>
          <w:szCs w:val="24"/>
          <w:lang w:val="de-DE"/>
        </w:rPr>
        <w:t>Wdro</w:t>
      </w:r>
      <w:r w:rsidRPr="009E010F">
        <w:rPr>
          <w:rStyle w:val="Brak"/>
          <w:rFonts w:cs="Calibri"/>
          <w:sz w:val="24"/>
          <w:szCs w:val="24"/>
        </w:rPr>
        <w:t>żenie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wynik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prac B+R umożliwia też Program Polska Wschodnia (POPW), w ramach konkursu „</w:t>
      </w:r>
      <w:proofErr w:type="spellStart"/>
      <w:r w:rsidRPr="009E010F">
        <w:rPr>
          <w:rStyle w:val="Brak"/>
          <w:rFonts w:cs="Calibri"/>
          <w:sz w:val="24"/>
          <w:szCs w:val="24"/>
          <w:lang w:val="de-DE"/>
        </w:rPr>
        <w:t>Wdra</w:t>
      </w:r>
      <w:r w:rsidRPr="009E010F">
        <w:rPr>
          <w:rStyle w:val="Brak"/>
          <w:rFonts w:cs="Calibri"/>
          <w:sz w:val="24"/>
          <w:szCs w:val="24"/>
        </w:rPr>
        <w:t>żanie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innowacji przez MŚP”. Dzięki działaniom badawczo-rozwojowym </w:t>
      </w:r>
      <w:r w:rsidRPr="009E010F">
        <w:rPr>
          <w:rStyle w:val="Brak"/>
          <w:rFonts w:cs="Calibri"/>
          <w:b/>
          <w:bCs/>
          <w:sz w:val="24"/>
          <w:szCs w:val="24"/>
        </w:rPr>
        <w:t>Zakłady Chemiczne PERMEDIA</w:t>
      </w:r>
      <w:r w:rsidRPr="009E010F">
        <w:rPr>
          <w:rStyle w:val="Brak"/>
          <w:rFonts w:cs="Calibri"/>
          <w:sz w:val="24"/>
          <w:szCs w:val="24"/>
        </w:rPr>
        <w:t xml:space="preserve">, specjalizujące się w produkcji </w:t>
      </w:r>
      <w:proofErr w:type="spellStart"/>
      <w:r w:rsidRPr="009E010F">
        <w:rPr>
          <w:rStyle w:val="Brak"/>
          <w:rFonts w:cs="Calibri"/>
          <w:sz w:val="24"/>
          <w:szCs w:val="24"/>
        </w:rPr>
        <w:t>środk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barwiących i </w:t>
      </w:r>
      <w:proofErr w:type="spellStart"/>
      <w:r w:rsidRPr="009E010F">
        <w:rPr>
          <w:rStyle w:val="Brak"/>
          <w:rFonts w:cs="Calibri"/>
          <w:sz w:val="24"/>
          <w:szCs w:val="24"/>
        </w:rPr>
        <w:t>dodatk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procesowych w </w:t>
      </w:r>
      <w:proofErr w:type="spellStart"/>
      <w:r w:rsidRPr="009E010F">
        <w:rPr>
          <w:rStyle w:val="Brak"/>
          <w:rFonts w:cs="Calibri"/>
          <w:sz w:val="24"/>
          <w:szCs w:val="24"/>
        </w:rPr>
        <w:t>przetw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rstwie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tworzyw sztucznych,</w:t>
      </w:r>
      <w:r w:rsidRPr="009E010F">
        <w:rPr>
          <w:rStyle w:val="Brak"/>
          <w:rFonts w:cs="Calibri"/>
          <w:b/>
          <w:bCs/>
          <w:sz w:val="24"/>
          <w:szCs w:val="24"/>
        </w:rPr>
        <w:t xml:space="preserve"> </w:t>
      </w:r>
      <w:r w:rsidRPr="009E010F">
        <w:rPr>
          <w:rStyle w:val="Brak"/>
          <w:rFonts w:cs="Calibri"/>
          <w:sz w:val="24"/>
          <w:szCs w:val="24"/>
        </w:rPr>
        <w:t xml:space="preserve">uruchomiły produkcję innowacyjnej grupy produktowej </w:t>
      </w:r>
      <w:proofErr w:type="spellStart"/>
      <w:r w:rsidRPr="009E010F">
        <w:rPr>
          <w:rStyle w:val="Brak"/>
          <w:rFonts w:cs="Calibri"/>
          <w:sz w:val="24"/>
          <w:szCs w:val="24"/>
        </w:rPr>
        <w:t>Plastomix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. </w:t>
      </w:r>
      <w:r w:rsidRPr="009E010F">
        <w:rPr>
          <w:rStyle w:val="markedcontent"/>
          <w:rFonts w:cs="Calibri"/>
          <w:sz w:val="24"/>
          <w:szCs w:val="24"/>
        </w:rPr>
        <w:t>Produkty firmy Permedia mogą być stosowane do barwienia: tworzyw sztucznych, żywic, farb, lakier</w:t>
      </w:r>
      <w:r w:rsidRPr="009E010F">
        <w:rPr>
          <w:rStyle w:val="markedcontent"/>
          <w:rFonts w:cs="Calibri"/>
          <w:sz w:val="24"/>
          <w:szCs w:val="24"/>
          <w:lang w:val="es-ES_tradnl"/>
        </w:rPr>
        <w:t>ó</w:t>
      </w:r>
      <w:r w:rsidRPr="009E010F">
        <w:rPr>
          <w:rStyle w:val="markedcontent"/>
          <w:rFonts w:cs="Calibri"/>
          <w:sz w:val="24"/>
          <w:szCs w:val="24"/>
        </w:rPr>
        <w:t xml:space="preserve">w, emalii, ceramiki, mas w </w:t>
      </w:r>
      <w:r w:rsidRPr="009E010F">
        <w:rPr>
          <w:rStyle w:val="markedcontent"/>
          <w:rFonts w:cs="Calibri"/>
          <w:sz w:val="24"/>
          <w:szCs w:val="24"/>
        </w:rPr>
        <w:lastRenderedPageBreak/>
        <w:t>budownictwie. Ich charakterystycznymi cechami są: wysoka moc barwienia, maksymalna odporność na światło i czynniki atmosferyczne, wysoka skuteczność barwienia, a także bardzo dobra dyspersja w barwionym wyrobie, co gwarantuje r</w:t>
      </w:r>
      <w:r w:rsidRPr="009E010F">
        <w:rPr>
          <w:rStyle w:val="markedcontent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markedcontent"/>
          <w:rFonts w:cs="Calibri"/>
          <w:sz w:val="24"/>
          <w:szCs w:val="24"/>
        </w:rPr>
        <w:t>wnomierne</w:t>
      </w:r>
      <w:proofErr w:type="spellEnd"/>
      <w:r w:rsidRPr="009E010F">
        <w:rPr>
          <w:rStyle w:val="markedcontent"/>
          <w:rFonts w:cs="Calibri"/>
          <w:sz w:val="24"/>
          <w:szCs w:val="24"/>
        </w:rPr>
        <w:t xml:space="preserve"> wybarwienie. </w:t>
      </w:r>
      <w:proofErr w:type="spellStart"/>
      <w:r w:rsidRPr="009E010F">
        <w:rPr>
          <w:rStyle w:val="Brak"/>
          <w:rFonts w:cs="Calibri"/>
          <w:sz w:val="24"/>
          <w:szCs w:val="24"/>
        </w:rPr>
        <w:t>Rozw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j innowacji dofinansowanej kwotą ponad 2,8 mln zł </w:t>
      </w:r>
      <w:proofErr w:type="spellStart"/>
      <w:r w:rsidRPr="009E010F">
        <w:rPr>
          <w:rStyle w:val="Brak"/>
          <w:rFonts w:cs="Calibri"/>
          <w:sz w:val="24"/>
          <w:szCs w:val="24"/>
        </w:rPr>
        <w:t>przyni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sł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szereg korzyści. Jak się okazuje, rezultatem projektu był m.in. wzrost zatrudnienia o nowe miejsca pracy oraz dynamiczny wzrost </w:t>
      </w:r>
      <w:proofErr w:type="spellStart"/>
      <w:r w:rsidRPr="009E010F">
        <w:rPr>
          <w:rStyle w:val="Brak"/>
          <w:rFonts w:cs="Calibri"/>
          <w:sz w:val="24"/>
          <w:szCs w:val="24"/>
        </w:rPr>
        <w:t>przychod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w </w:t>
      </w:r>
      <w:proofErr w:type="spellStart"/>
      <w:r w:rsidRPr="009E010F">
        <w:rPr>
          <w:rStyle w:val="Brak"/>
          <w:rFonts w:cs="Calibri"/>
          <w:sz w:val="24"/>
          <w:szCs w:val="24"/>
        </w:rPr>
        <w:t>w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efekcie sprzedaży nowych produkt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w. Nowa oferta produktowa została wykorzystana także na potrzeby ekspansji na nowe rynki zbytu.</w:t>
      </w:r>
    </w:p>
    <w:p w:rsidR="008E2A26" w:rsidRPr="009E010F" w:rsidRDefault="00AD0486" w:rsidP="009E010F">
      <w:pPr>
        <w:pStyle w:val="NormalnyWeb"/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9E010F">
        <w:rPr>
          <w:rStyle w:val="Brak"/>
          <w:rFonts w:ascii="Calibri" w:hAnsi="Calibri" w:cs="Calibri"/>
        </w:rPr>
        <w:t>Prawie 7 mln zł</w:t>
      </w:r>
      <w:r w:rsidR="00AE1C8A" w:rsidRPr="009E010F">
        <w:rPr>
          <w:rStyle w:val="Brak"/>
          <w:rFonts w:ascii="Calibri" w:hAnsi="Calibri" w:cs="Calibri"/>
        </w:rPr>
        <w:t>, w ramach konkursu „</w:t>
      </w:r>
      <w:proofErr w:type="spellStart"/>
      <w:r w:rsidR="00AE1C8A" w:rsidRPr="009E010F">
        <w:rPr>
          <w:rStyle w:val="Brak"/>
          <w:rFonts w:ascii="Calibri" w:hAnsi="Calibri" w:cs="Calibri"/>
          <w:lang w:val="de-DE"/>
        </w:rPr>
        <w:t>Wdra</w:t>
      </w:r>
      <w:r w:rsidR="00AE1C8A" w:rsidRPr="009E010F">
        <w:rPr>
          <w:rStyle w:val="Brak"/>
          <w:rFonts w:ascii="Calibri" w:hAnsi="Calibri" w:cs="Calibri"/>
        </w:rPr>
        <w:t>żanie</w:t>
      </w:r>
      <w:proofErr w:type="spellEnd"/>
      <w:r w:rsidR="00AE1C8A" w:rsidRPr="009E010F">
        <w:rPr>
          <w:rStyle w:val="Brak"/>
          <w:rFonts w:ascii="Calibri" w:hAnsi="Calibri" w:cs="Calibri"/>
        </w:rPr>
        <w:t xml:space="preserve"> innowacji przez MŚP”,</w:t>
      </w:r>
      <w:r w:rsidRPr="009E010F">
        <w:rPr>
          <w:rStyle w:val="Brak"/>
          <w:rFonts w:ascii="Calibri" w:hAnsi="Calibri" w:cs="Calibri"/>
        </w:rPr>
        <w:t xml:space="preserve"> przedsiębiorstwo </w:t>
      </w:r>
      <w:r w:rsidRPr="00573037">
        <w:rPr>
          <w:rStyle w:val="Pogrubienie"/>
          <w:rFonts w:cs="Calibri"/>
        </w:rPr>
        <w:t>ANTEX II</w:t>
      </w:r>
      <w:r w:rsidRPr="009E010F">
        <w:rPr>
          <w:rStyle w:val="Brak"/>
          <w:rFonts w:ascii="Calibri" w:hAnsi="Calibri" w:cs="Calibri"/>
        </w:rPr>
        <w:t xml:space="preserve"> przeznaczyło na wdrożenie innowacji produktowej, polegającej na świadczeniu kompleksowej usługi z zakresu budowy dr</w:t>
      </w:r>
      <w:r w:rsidRPr="009E010F">
        <w:rPr>
          <w:rStyle w:val="Brak"/>
          <w:rFonts w:ascii="Calibri" w:hAnsi="Calibri" w:cs="Calibri"/>
          <w:lang w:val="es-ES_tradnl"/>
        </w:rPr>
        <w:t>ó</w:t>
      </w:r>
      <w:r w:rsidRPr="009E010F">
        <w:rPr>
          <w:rStyle w:val="Brak"/>
          <w:rFonts w:ascii="Calibri" w:hAnsi="Calibri" w:cs="Calibri"/>
        </w:rPr>
        <w:t>g, wykonywanej w modelu „zaprojektuj i wybuduj", w oparciu o model 3D, z wykorzystaniem otwartego formatu wymiany danych IFC (</w:t>
      </w:r>
      <w:proofErr w:type="spellStart"/>
      <w:r w:rsidRPr="00573037">
        <w:rPr>
          <w:rStyle w:val="Brak"/>
          <w:rFonts w:ascii="Calibri" w:hAnsi="Calibri" w:cs="Calibri"/>
          <w:i/>
          <w:iCs/>
        </w:rPr>
        <w:t>Industry</w:t>
      </w:r>
      <w:proofErr w:type="spellEnd"/>
      <w:r w:rsidRPr="00573037">
        <w:rPr>
          <w:rStyle w:val="Brak"/>
          <w:rFonts w:ascii="Calibri" w:hAnsi="Calibri" w:cs="Calibri"/>
          <w:i/>
          <w:iCs/>
        </w:rPr>
        <w:t xml:space="preserve"> Foundation </w:t>
      </w:r>
      <w:proofErr w:type="spellStart"/>
      <w:r w:rsidRPr="00573037">
        <w:rPr>
          <w:rStyle w:val="Brak"/>
          <w:rFonts w:ascii="Calibri" w:hAnsi="Calibri" w:cs="Calibri"/>
          <w:i/>
          <w:iCs/>
        </w:rPr>
        <w:t>Classes</w:t>
      </w:r>
      <w:proofErr w:type="spellEnd"/>
      <w:r w:rsidRPr="009E010F">
        <w:rPr>
          <w:rStyle w:val="Pogrubienie"/>
          <w:rFonts w:cs="Calibri"/>
        </w:rPr>
        <w:t>,</w:t>
      </w:r>
      <w:r w:rsidRPr="009E010F">
        <w:rPr>
          <w:rStyle w:val="Brak"/>
          <w:rFonts w:ascii="Calibri" w:hAnsi="Calibri" w:cs="Calibri"/>
        </w:rPr>
        <w:t xml:space="preserve"> format używany do wymiany informacji). Wdrożenie projektu pozwoliło na wysoką dokładność przedmiar</w:t>
      </w:r>
      <w:r w:rsidRPr="009E010F">
        <w:rPr>
          <w:rStyle w:val="Brak"/>
          <w:rFonts w:ascii="Calibri" w:hAnsi="Calibri" w:cs="Calibri"/>
          <w:lang w:val="es-ES_tradnl"/>
        </w:rPr>
        <w:t>ó</w:t>
      </w:r>
      <w:r w:rsidRPr="009E010F">
        <w:rPr>
          <w:rStyle w:val="Brak"/>
          <w:rFonts w:ascii="Calibri" w:hAnsi="Calibri" w:cs="Calibri"/>
        </w:rPr>
        <w:t>w projektowanych rob</w:t>
      </w:r>
      <w:r w:rsidRPr="009E010F">
        <w:rPr>
          <w:rStyle w:val="Brak"/>
          <w:rFonts w:ascii="Calibri" w:hAnsi="Calibri" w:cs="Calibri"/>
          <w:lang w:val="es-ES_tradnl"/>
        </w:rPr>
        <w:t>ó</w:t>
      </w:r>
      <w:r w:rsidRPr="009E010F">
        <w:rPr>
          <w:rStyle w:val="Brak"/>
          <w:rFonts w:ascii="Calibri" w:hAnsi="Calibri" w:cs="Calibri"/>
        </w:rPr>
        <w:t>t, kontrolę prawidłowości przeprowadzonych prac przy użyciu skanowania samolotem bezzałogowym oraz rozliczenie wykonanych rob</w:t>
      </w:r>
      <w:r w:rsidRPr="009E010F">
        <w:rPr>
          <w:rStyle w:val="Brak"/>
          <w:rFonts w:ascii="Calibri" w:hAnsi="Calibri" w:cs="Calibri"/>
          <w:lang w:val="es-ES_tradnl"/>
        </w:rPr>
        <w:t>ó</w:t>
      </w:r>
      <w:r w:rsidRPr="009E010F">
        <w:rPr>
          <w:rStyle w:val="Brak"/>
          <w:rFonts w:ascii="Calibri" w:hAnsi="Calibri" w:cs="Calibri"/>
        </w:rPr>
        <w:t>t przy użyciu skanowania samolotem bezzałogowym.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sz w:val="24"/>
          <w:szCs w:val="24"/>
        </w:rPr>
      </w:pPr>
      <w:r w:rsidRPr="009E010F">
        <w:rPr>
          <w:rStyle w:val="Brak"/>
          <w:rFonts w:cs="Calibri"/>
          <w:sz w:val="24"/>
          <w:szCs w:val="24"/>
        </w:rPr>
        <w:t>Na innowacyjne opakowania postawił</w:t>
      </w:r>
      <w:r w:rsidRPr="009E010F">
        <w:rPr>
          <w:rStyle w:val="Brak"/>
          <w:rFonts w:cs="Calibri"/>
          <w:sz w:val="24"/>
          <w:szCs w:val="24"/>
          <w:lang w:val="it-IT"/>
        </w:rPr>
        <w:t>a sp</w:t>
      </w:r>
      <w:proofErr w:type="spellStart"/>
      <w:r w:rsidRPr="009E010F">
        <w:rPr>
          <w:rStyle w:val="Brak"/>
          <w:rFonts w:cs="Calibri"/>
          <w:sz w:val="24"/>
          <w:szCs w:val="24"/>
        </w:rPr>
        <w:t>ółka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</w:t>
      </w:r>
      <w:proofErr w:type="spellStart"/>
      <w:r w:rsidRPr="009E010F">
        <w:rPr>
          <w:rStyle w:val="Brak"/>
          <w:rFonts w:cs="Calibri"/>
          <w:b/>
          <w:bCs/>
          <w:sz w:val="24"/>
          <w:szCs w:val="24"/>
        </w:rPr>
        <w:t>Dobis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,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ra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w ramach</w:t>
      </w:r>
      <w:r w:rsidR="00AE1C8A" w:rsidRPr="009E010F">
        <w:rPr>
          <w:rStyle w:val="Brak"/>
          <w:rFonts w:cs="Calibri"/>
          <w:sz w:val="24"/>
          <w:szCs w:val="24"/>
        </w:rPr>
        <w:t xml:space="preserve"> konkursu „</w:t>
      </w:r>
      <w:proofErr w:type="spellStart"/>
      <w:r w:rsidR="00AE1C8A" w:rsidRPr="009E010F">
        <w:rPr>
          <w:rStyle w:val="Brak"/>
          <w:rFonts w:cs="Calibri"/>
          <w:sz w:val="24"/>
          <w:szCs w:val="24"/>
          <w:lang w:val="de-DE"/>
        </w:rPr>
        <w:t>Wdra</w:t>
      </w:r>
      <w:r w:rsidR="00AE1C8A" w:rsidRPr="009E010F">
        <w:rPr>
          <w:rStyle w:val="Brak"/>
          <w:rFonts w:cs="Calibri"/>
          <w:sz w:val="24"/>
          <w:szCs w:val="24"/>
        </w:rPr>
        <w:t>żanie</w:t>
      </w:r>
      <w:proofErr w:type="spellEnd"/>
      <w:r w:rsidR="00AE1C8A" w:rsidRPr="009E010F">
        <w:rPr>
          <w:rStyle w:val="Brak"/>
          <w:rFonts w:cs="Calibri"/>
          <w:sz w:val="24"/>
          <w:szCs w:val="24"/>
        </w:rPr>
        <w:t xml:space="preserve"> innowacji przez MŚP” otrzymała ponad 5,5 mln zł</w:t>
      </w:r>
      <w:r w:rsidR="00300E37">
        <w:rPr>
          <w:rStyle w:val="Brak"/>
          <w:rFonts w:cs="Calibri"/>
          <w:sz w:val="24"/>
          <w:szCs w:val="24"/>
        </w:rPr>
        <w:t xml:space="preserve"> i</w:t>
      </w:r>
      <w:r w:rsidRPr="009E010F">
        <w:rPr>
          <w:rStyle w:val="Brak"/>
          <w:rFonts w:cs="Calibri"/>
          <w:sz w:val="24"/>
          <w:szCs w:val="24"/>
        </w:rPr>
        <w:t xml:space="preserve"> wprowadziła na rynek biostatyczne i całkowicie ekologiczne torby papierowe, stosowane w branży spożywczej. Opracowana w ramach badań substancja biostatyczna jest zdolna do hamowania wzrostu i niszczenia bakterii na torbach papierowych. </w:t>
      </w:r>
    </w:p>
    <w:p w:rsidR="00655CDD" w:rsidRDefault="00655CDD" w:rsidP="00655CDD">
      <w:pPr>
        <w:spacing w:before="120" w:after="120" w:line="276" w:lineRule="auto"/>
        <w:rPr>
          <w:rFonts w:eastAsiaTheme="minorHAnsi" w:cs="Calibri"/>
          <w:color w:val="auto"/>
          <w:lang w:eastAsia="en-US"/>
        </w:rPr>
      </w:pPr>
      <w:r>
        <w:rPr>
          <w:rStyle w:val="Brak"/>
          <w:rFonts w:eastAsiaTheme="minorHAnsi"/>
          <w:sz w:val="24"/>
          <w:szCs w:val="24"/>
          <w:lang w:eastAsia="en-US"/>
        </w:rPr>
        <w:t xml:space="preserve">–  Prace badawczo-rozwojowe to bardzo skuteczny </w:t>
      </w:r>
      <w:proofErr w:type="spellStart"/>
      <w:r>
        <w:rPr>
          <w:rStyle w:val="Brak"/>
          <w:rFonts w:eastAsiaTheme="minorHAnsi"/>
          <w:sz w:val="24"/>
          <w:szCs w:val="24"/>
          <w:lang w:eastAsia="en-US"/>
        </w:rPr>
        <w:t>spos</w:t>
      </w:r>
      <w:proofErr w:type="spellEnd"/>
      <w:r>
        <w:rPr>
          <w:rStyle w:val="Brak"/>
          <w:rFonts w:eastAsiaTheme="minorHAnsi"/>
          <w:sz w:val="24"/>
          <w:szCs w:val="24"/>
          <w:lang w:val="es-ES_tradnl" w:eastAsia="en-US"/>
        </w:rPr>
        <w:t>ó</w:t>
      </w:r>
      <w:r>
        <w:rPr>
          <w:rStyle w:val="Brak"/>
          <w:rFonts w:eastAsiaTheme="minorHAnsi"/>
          <w:sz w:val="24"/>
          <w:szCs w:val="24"/>
          <w:lang w:eastAsia="en-US"/>
        </w:rPr>
        <w:t xml:space="preserve">b na wprowadzanie innowacji na rynek, czego dowodzą projekty realizowane chętnie przez polskich </w:t>
      </w:r>
      <w:proofErr w:type="spellStart"/>
      <w:r>
        <w:rPr>
          <w:rStyle w:val="Brak"/>
          <w:rFonts w:eastAsiaTheme="minorHAnsi"/>
          <w:sz w:val="24"/>
          <w:szCs w:val="24"/>
          <w:lang w:eastAsia="en-US"/>
        </w:rPr>
        <w:t>przedsiębiorc</w:t>
      </w:r>
      <w:proofErr w:type="spellEnd"/>
      <w:r>
        <w:rPr>
          <w:rStyle w:val="Brak"/>
          <w:rFonts w:eastAsiaTheme="minorHAnsi"/>
          <w:sz w:val="24"/>
          <w:szCs w:val="24"/>
          <w:lang w:val="es-ES_tradnl" w:eastAsia="en-US"/>
        </w:rPr>
        <w:t>ó</w:t>
      </w:r>
      <w:r>
        <w:rPr>
          <w:rStyle w:val="Brak"/>
          <w:rFonts w:eastAsiaTheme="minorHAnsi"/>
          <w:sz w:val="24"/>
          <w:szCs w:val="24"/>
          <w:lang w:eastAsia="en-US"/>
        </w:rPr>
        <w:t xml:space="preserve">w i wszelkie podmioty badawcze. </w:t>
      </w:r>
      <w:proofErr w:type="spellStart"/>
      <w:r>
        <w:rPr>
          <w:rStyle w:val="Brak"/>
          <w:rFonts w:eastAsiaTheme="minorHAnsi"/>
          <w:sz w:val="24"/>
          <w:szCs w:val="24"/>
          <w:lang w:eastAsia="en-US"/>
        </w:rPr>
        <w:t>Wsp</w:t>
      </w:r>
      <w:proofErr w:type="spellEnd"/>
      <w:r>
        <w:rPr>
          <w:rStyle w:val="Brak"/>
          <w:rFonts w:eastAsiaTheme="minorHAnsi"/>
          <w:sz w:val="24"/>
          <w:szCs w:val="24"/>
          <w:lang w:val="es-ES_tradnl" w:eastAsia="en-US"/>
        </w:rPr>
        <w:t>ó</w:t>
      </w:r>
      <w:r>
        <w:rPr>
          <w:rStyle w:val="Brak"/>
          <w:rFonts w:eastAsiaTheme="minorHAnsi"/>
          <w:sz w:val="24"/>
          <w:szCs w:val="24"/>
          <w:lang w:eastAsia="en-US"/>
        </w:rPr>
        <w:t xml:space="preserve">lnie z Polską Agencją Rozwoju Przedsiębiorczości realizujemy programy, </w:t>
      </w:r>
      <w:proofErr w:type="spellStart"/>
      <w:r>
        <w:rPr>
          <w:rStyle w:val="Brak"/>
          <w:rFonts w:eastAsiaTheme="minorHAnsi"/>
          <w:sz w:val="24"/>
          <w:szCs w:val="24"/>
          <w:lang w:eastAsia="en-US"/>
        </w:rPr>
        <w:t>kt</w:t>
      </w:r>
      <w:proofErr w:type="spellEnd"/>
      <w:r>
        <w:rPr>
          <w:rStyle w:val="Brak"/>
          <w:rFonts w:eastAsiaTheme="minorHAnsi"/>
          <w:sz w:val="24"/>
          <w:szCs w:val="24"/>
          <w:lang w:val="es-ES_tradnl" w:eastAsia="en-US"/>
        </w:rPr>
        <w:t>ó</w:t>
      </w:r>
      <w:r>
        <w:rPr>
          <w:rStyle w:val="Brak"/>
          <w:rFonts w:eastAsiaTheme="minorHAnsi"/>
          <w:sz w:val="24"/>
          <w:szCs w:val="24"/>
          <w:lang w:eastAsia="en-US"/>
        </w:rPr>
        <w:t xml:space="preserve">re dzięki środkom unijnym przyspieszają implementację nowatorskich pomysłów. Tym samym budujemy polską, silną gospodarkę, konkurencyjną także na rynkach zagranicznych – powiedział </w:t>
      </w:r>
      <w:r>
        <w:rPr>
          <w:rStyle w:val="Brak"/>
          <w:rFonts w:eastAsiaTheme="minorHAnsi"/>
          <w:b/>
          <w:bCs/>
          <w:sz w:val="24"/>
          <w:szCs w:val="24"/>
          <w:lang w:eastAsia="en-US"/>
        </w:rPr>
        <w:t>Grzegorz Puda</w:t>
      </w:r>
      <w:r>
        <w:rPr>
          <w:rStyle w:val="Brak"/>
          <w:rFonts w:eastAsiaTheme="minorHAnsi"/>
          <w:b/>
          <w:bCs/>
          <w:sz w:val="24"/>
          <w:szCs w:val="24"/>
          <w:lang w:eastAsia="en-US"/>
        </w:rPr>
        <w:t xml:space="preserve">, </w:t>
      </w:r>
      <w:r>
        <w:rPr>
          <w:rStyle w:val="Brak"/>
          <w:rFonts w:eastAsiaTheme="minorHAnsi"/>
          <w:b/>
          <w:bCs/>
          <w:sz w:val="24"/>
          <w:szCs w:val="24"/>
          <w:lang w:eastAsia="en-US"/>
        </w:rPr>
        <w:t>minister funduszy i polityki regionalnej.</w:t>
      </w:r>
    </w:p>
    <w:p w:rsidR="008E2A26" w:rsidRPr="009E010F" w:rsidRDefault="00AD0486" w:rsidP="009E010F">
      <w:pPr>
        <w:spacing w:before="120" w:after="120" w:line="276" w:lineRule="auto"/>
        <w:rPr>
          <w:rStyle w:val="Brak"/>
          <w:rFonts w:cs="Calibri"/>
          <w:sz w:val="24"/>
          <w:szCs w:val="24"/>
        </w:rPr>
      </w:pPr>
      <w:bookmarkStart w:id="1" w:name="_Hlk130480983"/>
      <w:r w:rsidRPr="009E010F">
        <w:rPr>
          <w:rStyle w:val="Brak"/>
          <w:rFonts w:cs="Calibri"/>
          <w:sz w:val="24"/>
          <w:szCs w:val="24"/>
        </w:rPr>
        <w:t xml:space="preserve">– Polskie firmy coraz częściej zdają sobie sprawę z konieczności inwestowania w badania i </w:t>
      </w:r>
      <w:proofErr w:type="spellStart"/>
      <w:r w:rsidRPr="009E010F">
        <w:rPr>
          <w:rStyle w:val="Brak"/>
          <w:rFonts w:cs="Calibri"/>
          <w:sz w:val="24"/>
          <w:szCs w:val="24"/>
        </w:rPr>
        <w:t>rozw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j, jednak wciąż potrzebują wsparcia finansowego, aby wdrożyć innowacyjne rozwiązania. </w:t>
      </w:r>
      <w:r w:rsidR="00997D07" w:rsidRPr="009E010F">
        <w:rPr>
          <w:rStyle w:val="Brak"/>
          <w:rFonts w:cs="Calibri"/>
          <w:sz w:val="24"/>
          <w:szCs w:val="24"/>
        </w:rPr>
        <w:t>Zgodnie z „</w:t>
      </w:r>
      <w:r w:rsidR="00997D07" w:rsidRPr="009E010F">
        <w:rPr>
          <w:rStyle w:val="markedcontent"/>
          <w:rFonts w:cs="Calibri"/>
          <w:sz w:val="24"/>
          <w:szCs w:val="24"/>
        </w:rPr>
        <w:t>Raportem o stanie</w:t>
      </w:r>
      <w:r w:rsidR="00997D07" w:rsidRPr="009E010F">
        <w:rPr>
          <w:rFonts w:cs="Calibri"/>
          <w:sz w:val="24"/>
          <w:szCs w:val="24"/>
        </w:rPr>
        <w:t xml:space="preserve"> </w:t>
      </w:r>
      <w:r w:rsidR="00997D07" w:rsidRPr="009E010F">
        <w:rPr>
          <w:rStyle w:val="markedcontent"/>
          <w:rFonts w:cs="Calibri"/>
          <w:sz w:val="24"/>
          <w:szCs w:val="24"/>
        </w:rPr>
        <w:t>sektora małych i średnich</w:t>
      </w:r>
      <w:r w:rsidR="00997D07" w:rsidRPr="009E010F">
        <w:rPr>
          <w:rFonts w:cs="Calibri"/>
          <w:sz w:val="24"/>
          <w:szCs w:val="24"/>
        </w:rPr>
        <w:t xml:space="preserve"> </w:t>
      </w:r>
      <w:r w:rsidR="00997D07" w:rsidRPr="009E010F">
        <w:rPr>
          <w:rStyle w:val="markedcontent"/>
          <w:rFonts w:cs="Calibri"/>
          <w:sz w:val="24"/>
          <w:szCs w:val="24"/>
        </w:rPr>
        <w:t>przedsiębiorstw</w:t>
      </w:r>
      <w:r w:rsidR="00F20ACD" w:rsidRPr="009E010F">
        <w:rPr>
          <w:rStyle w:val="markedcontent"/>
          <w:rFonts w:cs="Calibri"/>
          <w:sz w:val="24"/>
          <w:szCs w:val="24"/>
        </w:rPr>
        <w:t xml:space="preserve"> </w:t>
      </w:r>
      <w:r w:rsidR="00997D07" w:rsidRPr="009E010F">
        <w:rPr>
          <w:rStyle w:val="markedcontent"/>
          <w:rFonts w:cs="Calibri"/>
          <w:sz w:val="24"/>
          <w:szCs w:val="24"/>
        </w:rPr>
        <w:t>w Polsce</w:t>
      </w:r>
      <w:r w:rsidR="0028377A">
        <w:rPr>
          <w:rStyle w:val="markedcontent"/>
          <w:rFonts w:cs="Calibri"/>
          <w:sz w:val="24"/>
          <w:szCs w:val="24"/>
        </w:rPr>
        <w:t xml:space="preserve">” </w:t>
      </w:r>
      <w:r w:rsidR="000F39CE">
        <w:rPr>
          <w:rStyle w:val="markedcontent"/>
          <w:rFonts w:cs="Calibri"/>
          <w:sz w:val="24"/>
          <w:szCs w:val="24"/>
        </w:rPr>
        <w:t>w</w:t>
      </w:r>
      <w:r w:rsidR="00F20ACD" w:rsidRPr="009E010F">
        <w:rPr>
          <w:rStyle w:val="markedcontent"/>
          <w:rFonts w:cs="Calibri"/>
          <w:sz w:val="24"/>
          <w:szCs w:val="24"/>
        </w:rPr>
        <w:t xml:space="preserve"> 2020 r. n</w:t>
      </w:r>
      <w:r w:rsidR="00997D07" w:rsidRPr="009E010F">
        <w:rPr>
          <w:rStyle w:val="markedcontent"/>
          <w:rFonts w:cs="Calibri"/>
          <w:sz w:val="24"/>
          <w:szCs w:val="24"/>
        </w:rPr>
        <w:t xml:space="preserve">akłady na </w:t>
      </w:r>
      <w:r w:rsidR="00F20ACD" w:rsidRPr="009E010F">
        <w:rPr>
          <w:rStyle w:val="markedcontent"/>
          <w:rFonts w:cs="Calibri"/>
          <w:sz w:val="24"/>
          <w:szCs w:val="24"/>
        </w:rPr>
        <w:t xml:space="preserve">działalność </w:t>
      </w:r>
      <w:r w:rsidR="00997D07" w:rsidRPr="009E010F">
        <w:rPr>
          <w:rStyle w:val="highlight"/>
          <w:rFonts w:cs="Calibri"/>
          <w:sz w:val="24"/>
          <w:szCs w:val="24"/>
        </w:rPr>
        <w:t>B+R</w:t>
      </w:r>
      <w:r w:rsidR="00997D07" w:rsidRPr="009E010F">
        <w:rPr>
          <w:rStyle w:val="markedcontent"/>
          <w:rFonts w:cs="Calibri"/>
          <w:sz w:val="24"/>
          <w:szCs w:val="24"/>
        </w:rPr>
        <w:t xml:space="preserve"> przedsiębiorstw</w:t>
      </w:r>
      <w:r w:rsidR="00997D07" w:rsidRPr="009E010F">
        <w:rPr>
          <w:rFonts w:cs="Calibri"/>
          <w:sz w:val="24"/>
          <w:szCs w:val="24"/>
        </w:rPr>
        <w:t xml:space="preserve"> </w:t>
      </w:r>
      <w:r w:rsidR="00997D07" w:rsidRPr="009E010F">
        <w:rPr>
          <w:rStyle w:val="markedcontent"/>
          <w:rFonts w:cs="Calibri"/>
          <w:sz w:val="24"/>
          <w:szCs w:val="24"/>
        </w:rPr>
        <w:t xml:space="preserve">przemysłowych </w:t>
      </w:r>
      <w:r w:rsidR="00F20ACD" w:rsidRPr="009E010F">
        <w:rPr>
          <w:rStyle w:val="markedcontent"/>
          <w:rFonts w:cs="Calibri"/>
          <w:sz w:val="24"/>
          <w:szCs w:val="24"/>
        </w:rPr>
        <w:t xml:space="preserve">wynosiły </w:t>
      </w:r>
      <w:r w:rsidR="00997D07" w:rsidRPr="009E010F">
        <w:rPr>
          <w:rStyle w:val="markedcontent"/>
          <w:rFonts w:cs="Calibri"/>
          <w:sz w:val="24"/>
          <w:szCs w:val="24"/>
        </w:rPr>
        <w:t>9,1 mld zł</w:t>
      </w:r>
      <w:r w:rsidR="00F20ACD" w:rsidRPr="009E010F">
        <w:rPr>
          <w:rStyle w:val="markedcontent"/>
          <w:rFonts w:cs="Calibri"/>
          <w:sz w:val="24"/>
          <w:szCs w:val="24"/>
        </w:rPr>
        <w:t>, a w</w:t>
      </w:r>
      <w:r w:rsidR="00997D07" w:rsidRPr="009E010F">
        <w:rPr>
          <w:rFonts w:cs="Calibri"/>
          <w:sz w:val="24"/>
          <w:szCs w:val="24"/>
        </w:rPr>
        <w:t xml:space="preserve"> </w:t>
      </w:r>
      <w:r w:rsidR="00997D07" w:rsidRPr="009E010F">
        <w:rPr>
          <w:rStyle w:val="markedcontent"/>
          <w:rFonts w:cs="Calibri"/>
          <w:sz w:val="24"/>
          <w:szCs w:val="24"/>
        </w:rPr>
        <w:t>przedsiębiorstwa</w:t>
      </w:r>
      <w:r w:rsidR="00F20ACD" w:rsidRPr="009E010F">
        <w:rPr>
          <w:rStyle w:val="markedcontent"/>
          <w:rFonts w:cs="Calibri"/>
          <w:sz w:val="24"/>
          <w:szCs w:val="24"/>
        </w:rPr>
        <w:t>ch</w:t>
      </w:r>
      <w:r w:rsidR="00997D07" w:rsidRPr="009E010F">
        <w:rPr>
          <w:rStyle w:val="markedcontent"/>
          <w:rFonts w:cs="Calibri"/>
          <w:sz w:val="24"/>
          <w:szCs w:val="24"/>
        </w:rPr>
        <w:t xml:space="preserve"> sektora usługowego</w:t>
      </w:r>
      <w:r w:rsidR="00F20ACD" w:rsidRPr="009E010F">
        <w:rPr>
          <w:rStyle w:val="markedcontent"/>
          <w:rFonts w:cs="Calibri"/>
          <w:sz w:val="24"/>
          <w:szCs w:val="24"/>
        </w:rPr>
        <w:t xml:space="preserve"> – </w:t>
      </w:r>
      <w:r w:rsidR="00997D07" w:rsidRPr="009E010F">
        <w:rPr>
          <w:rStyle w:val="markedcontent"/>
          <w:rFonts w:cs="Calibri"/>
          <w:sz w:val="24"/>
          <w:szCs w:val="24"/>
        </w:rPr>
        <w:t xml:space="preserve">11,3 mld zł. </w:t>
      </w:r>
      <w:r w:rsidR="0028377A">
        <w:rPr>
          <w:rStyle w:val="markedcontent"/>
          <w:rFonts w:cs="Calibri"/>
          <w:sz w:val="24"/>
          <w:szCs w:val="24"/>
        </w:rPr>
        <w:t xml:space="preserve">W </w:t>
      </w:r>
      <w:r w:rsidRPr="009E010F">
        <w:rPr>
          <w:rStyle w:val="Brak"/>
          <w:rFonts w:cs="Calibri"/>
          <w:sz w:val="24"/>
          <w:szCs w:val="24"/>
        </w:rPr>
        <w:t>PARP aktywnie wspiera</w:t>
      </w:r>
      <w:r w:rsidR="0028377A">
        <w:rPr>
          <w:rStyle w:val="Brak"/>
          <w:rFonts w:cs="Calibri"/>
          <w:sz w:val="24"/>
          <w:szCs w:val="24"/>
        </w:rPr>
        <w:t xml:space="preserve">my firmy, realizujące </w:t>
      </w:r>
      <w:r w:rsidRPr="009E010F">
        <w:rPr>
          <w:rStyle w:val="Brak"/>
          <w:rFonts w:cs="Calibri"/>
          <w:sz w:val="24"/>
          <w:szCs w:val="24"/>
        </w:rPr>
        <w:t xml:space="preserve">projekty B+R, udzielając dofinansowania ze </w:t>
      </w:r>
      <w:proofErr w:type="spellStart"/>
      <w:r w:rsidRPr="009E010F">
        <w:rPr>
          <w:rStyle w:val="Brak"/>
          <w:rFonts w:cs="Calibri"/>
          <w:sz w:val="24"/>
          <w:szCs w:val="24"/>
        </w:rPr>
        <w:t>środk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unijnych</w:t>
      </w:r>
      <w:r w:rsidR="00735101">
        <w:rPr>
          <w:rStyle w:val="Brak"/>
          <w:rFonts w:cs="Calibri"/>
          <w:sz w:val="24"/>
          <w:szCs w:val="24"/>
        </w:rPr>
        <w:t>.</w:t>
      </w:r>
      <w:r w:rsidRPr="009E010F">
        <w:rPr>
          <w:rStyle w:val="Brak"/>
          <w:rFonts w:cs="Calibri"/>
          <w:sz w:val="24"/>
          <w:szCs w:val="24"/>
        </w:rPr>
        <w:t xml:space="preserve"> </w:t>
      </w:r>
      <w:r w:rsidR="0028377A">
        <w:rPr>
          <w:rStyle w:val="Brak"/>
          <w:rFonts w:cs="Calibri"/>
          <w:sz w:val="24"/>
          <w:szCs w:val="24"/>
        </w:rPr>
        <w:t>Przedsiębiorstwa</w:t>
      </w:r>
      <w:r w:rsidRPr="009E010F">
        <w:rPr>
          <w:rStyle w:val="Brak"/>
          <w:rFonts w:cs="Calibri"/>
          <w:sz w:val="24"/>
          <w:szCs w:val="24"/>
        </w:rPr>
        <w:t xml:space="preserve">, </w:t>
      </w:r>
      <w:proofErr w:type="spellStart"/>
      <w:r w:rsidRPr="009E010F">
        <w:rPr>
          <w:rStyle w:val="Brak"/>
          <w:rFonts w:cs="Calibri"/>
          <w:sz w:val="24"/>
          <w:szCs w:val="24"/>
        </w:rPr>
        <w:t>kt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re chcą rozwijać swoją działalność poprzez wprowadzenie nowych, zaawansowanych technologicznie produkt</w:t>
      </w:r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>w i usług na rynek</w:t>
      </w:r>
      <w:r w:rsidR="0028377A">
        <w:rPr>
          <w:rStyle w:val="Brak"/>
          <w:rFonts w:cs="Calibri"/>
          <w:sz w:val="24"/>
          <w:szCs w:val="24"/>
        </w:rPr>
        <w:t xml:space="preserve"> zapraszamy do składania wniosków w </w:t>
      </w:r>
      <w:r w:rsidR="00735101">
        <w:rPr>
          <w:rStyle w:val="Brak"/>
          <w:rFonts w:cs="Calibri"/>
          <w:sz w:val="24"/>
          <w:szCs w:val="24"/>
        </w:rPr>
        <w:t xml:space="preserve">trwającym </w:t>
      </w:r>
      <w:r w:rsidR="0028377A">
        <w:rPr>
          <w:rStyle w:val="Brak"/>
          <w:rFonts w:cs="Calibri"/>
          <w:sz w:val="24"/>
          <w:szCs w:val="24"/>
        </w:rPr>
        <w:t xml:space="preserve">naborze </w:t>
      </w:r>
      <w:r w:rsidR="00FD2202" w:rsidRPr="009E010F">
        <w:rPr>
          <w:rFonts w:cs="Calibri"/>
          <w:bCs/>
          <w:sz w:val="24"/>
          <w:szCs w:val="24"/>
        </w:rPr>
        <w:t>do „Ścieżki SMART”, w ramach programu Fundusze Europejskie dla Nowoczesnej Gospodarki</w:t>
      </w:r>
      <w:r w:rsidR="0028377A">
        <w:rPr>
          <w:rFonts w:cs="Calibri"/>
          <w:bCs/>
          <w:sz w:val="24"/>
          <w:szCs w:val="24"/>
        </w:rPr>
        <w:t>.</w:t>
      </w:r>
      <w:r w:rsidR="00FD2202" w:rsidRPr="009E010F">
        <w:rPr>
          <w:rFonts w:cs="Calibri"/>
          <w:bCs/>
          <w:sz w:val="24"/>
          <w:szCs w:val="24"/>
        </w:rPr>
        <w:t xml:space="preserve"> </w:t>
      </w:r>
      <w:r w:rsidR="0028377A">
        <w:rPr>
          <w:rFonts w:cs="Calibri"/>
          <w:bCs/>
          <w:sz w:val="24"/>
          <w:szCs w:val="24"/>
        </w:rPr>
        <w:t xml:space="preserve">W jego ramach na </w:t>
      </w:r>
      <w:r w:rsidR="00FD2202" w:rsidRPr="009E010F">
        <w:rPr>
          <w:rFonts w:cs="Calibri"/>
          <w:bCs/>
          <w:sz w:val="24"/>
          <w:szCs w:val="24"/>
        </w:rPr>
        <w:t>przedsiębiorców czeka</w:t>
      </w:r>
      <w:r w:rsidR="00FD2202" w:rsidRPr="009E010F">
        <w:rPr>
          <w:rFonts w:cs="Calibri"/>
          <w:b/>
          <w:bCs/>
          <w:sz w:val="24"/>
          <w:szCs w:val="24"/>
        </w:rPr>
        <w:t xml:space="preserve"> </w:t>
      </w:r>
      <w:r w:rsidR="00FD2202" w:rsidRPr="009E010F">
        <w:rPr>
          <w:rFonts w:cs="Calibri"/>
          <w:sz w:val="24"/>
          <w:szCs w:val="24"/>
        </w:rPr>
        <w:t>1 mld euro dofinansowania</w:t>
      </w:r>
      <w:r w:rsidR="00FD2202" w:rsidRPr="009E010F">
        <w:rPr>
          <w:rStyle w:val="Brak"/>
          <w:rFonts w:cs="Calibri"/>
          <w:sz w:val="24"/>
          <w:szCs w:val="24"/>
        </w:rPr>
        <w:t xml:space="preserve">. Dzięki temu wsparciu </w:t>
      </w:r>
      <w:r w:rsidRPr="009E010F">
        <w:rPr>
          <w:rStyle w:val="Brak"/>
          <w:rFonts w:cs="Calibri"/>
          <w:sz w:val="24"/>
          <w:szCs w:val="24"/>
        </w:rPr>
        <w:t xml:space="preserve">możliwe jest nie tylko wprowadzanie nowatorskich pomysłów do powszechnego użytku, ale także realny wpływ na transformację </w:t>
      </w:r>
      <w:r w:rsidRPr="009E010F">
        <w:rPr>
          <w:rStyle w:val="Brak"/>
          <w:rFonts w:cs="Calibri"/>
          <w:sz w:val="24"/>
          <w:szCs w:val="24"/>
        </w:rPr>
        <w:lastRenderedPageBreak/>
        <w:t xml:space="preserve">gospodarki i </w:t>
      </w:r>
      <w:proofErr w:type="spellStart"/>
      <w:r w:rsidRPr="009E010F">
        <w:rPr>
          <w:rStyle w:val="Brak"/>
          <w:rFonts w:cs="Calibri"/>
          <w:sz w:val="24"/>
          <w:szCs w:val="24"/>
        </w:rPr>
        <w:t>rozw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Pr="009E010F">
        <w:rPr>
          <w:rStyle w:val="Brak"/>
          <w:rFonts w:cs="Calibri"/>
          <w:sz w:val="24"/>
          <w:szCs w:val="24"/>
        </w:rPr>
        <w:t xml:space="preserve">j </w:t>
      </w:r>
      <w:proofErr w:type="spellStart"/>
      <w:r w:rsidRPr="009E010F">
        <w:rPr>
          <w:rStyle w:val="Brak"/>
          <w:rFonts w:cs="Calibri"/>
          <w:sz w:val="24"/>
          <w:szCs w:val="24"/>
        </w:rPr>
        <w:t>poszczeg</w:t>
      </w:r>
      <w:proofErr w:type="spellEnd"/>
      <w:r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Pr="009E010F">
        <w:rPr>
          <w:rStyle w:val="Brak"/>
          <w:rFonts w:cs="Calibri"/>
          <w:sz w:val="24"/>
          <w:szCs w:val="24"/>
        </w:rPr>
        <w:t>lnych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branż – podkreśla </w:t>
      </w:r>
      <w:r w:rsidR="00655CDD" w:rsidRPr="009E010F">
        <w:rPr>
          <w:rStyle w:val="Brak"/>
          <w:rFonts w:cs="Calibri"/>
          <w:b/>
          <w:bCs/>
          <w:sz w:val="24"/>
          <w:szCs w:val="24"/>
        </w:rPr>
        <w:t>Dariusz Budrowski</w:t>
      </w:r>
      <w:r w:rsidR="00655CDD">
        <w:rPr>
          <w:rStyle w:val="Brak"/>
          <w:rFonts w:cs="Calibri"/>
          <w:b/>
          <w:bCs/>
          <w:sz w:val="24"/>
          <w:szCs w:val="24"/>
        </w:rPr>
        <w:t>,</w:t>
      </w:r>
      <w:r w:rsidR="00655CDD" w:rsidRPr="009E010F">
        <w:rPr>
          <w:rStyle w:val="Brak"/>
          <w:rFonts w:cs="Calibri"/>
          <w:b/>
          <w:bCs/>
          <w:sz w:val="24"/>
          <w:szCs w:val="24"/>
        </w:rPr>
        <w:t xml:space="preserve"> </w:t>
      </w:r>
      <w:r w:rsidRPr="009E010F">
        <w:rPr>
          <w:rStyle w:val="Brak"/>
          <w:rFonts w:cs="Calibri"/>
          <w:b/>
          <w:bCs/>
          <w:sz w:val="24"/>
          <w:szCs w:val="24"/>
        </w:rPr>
        <w:t>prezes Polskiej Agencji Rozwoju Przedsiębiorczości</w:t>
      </w:r>
      <w:r w:rsidRPr="009E010F">
        <w:rPr>
          <w:rStyle w:val="Brak"/>
          <w:rFonts w:cs="Calibri"/>
          <w:sz w:val="24"/>
          <w:szCs w:val="24"/>
        </w:rPr>
        <w:t>.</w:t>
      </w:r>
      <w:bookmarkStart w:id="2" w:name="_GoBack"/>
      <w:bookmarkEnd w:id="2"/>
    </w:p>
    <w:bookmarkEnd w:id="1"/>
    <w:p w:rsidR="008E2A26" w:rsidRPr="009E010F" w:rsidRDefault="0028377A" w:rsidP="009E010F">
      <w:pPr>
        <w:spacing w:before="120" w:after="120" w:line="276" w:lineRule="auto"/>
        <w:rPr>
          <w:rFonts w:cs="Calibri"/>
          <w:sz w:val="24"/>
          <w:szCs w:val="24"/>
        </w:rPr>
      </w:pPr>
      <w:r>
        <w:rPr>
          <w:rStyle w:val="Brak"/>
          <w:rFonts w:cs="Calibri"/>
          <w:sz w:val="24"/>
          <w:szCs w:val="24"/>
        </w:rPr>
        <w:t xml:space="preserve">Warto także wspomnieć o innych działaniach </w:t>
      </w:r>
      <w:r w:rsidRPr="009E010F">
        <w:rPr>
          <w:rStyle w:val="Brak"/>
          <w:rFonts w:cs="Calibri"/>
          <w:sz w:val="24"/>
          <w:szCs w:val="24"/>
        </w:rPr>
        <w:t>Polsk</w:t>
      </w:r>
      <w:r>
        <w:rPr>
          <w:rStyle w:val="Brak"/>
          <w:rFonts w:cs="Calibri"/>
          <w:sz w:val="24"/>
          <w:szCs w:val="24"/>
        </w:rPr>
        <w:t>iej</w:t>
      </w:r>
      <w:r w:rsidRPr="009E010F">
        <w:rPr>
          <w:rStyle w:val="Brak"/>
          <w:rFonts w:cs="Calibri"/>
          <w:sz w:val="24"/>
          <w:szCs w:val="24"/>
        </w:rPr>
        <w:t xml:space="preserve"> Agencj</w:t>
      </w:r>
      <w:r>
        <w:rPr>
          <w:rStyle w:val="Brak"/>
          <w:rFonts w:cs="Calibri"/>
          <w:sz w:val="24"/>
          <w:szCs w:val="24"/>
        </w:rPr>
        <w:t>i</w:t>
      </w:r>
      <w:r w:rsidRPr="009E010F">
        <w:rPr>
          <w:rStyle w:val="Brak"/>
          <w:rFonts w:cs="Calibri"/>
          <w:sz w:val="24"/>
          <w:szCs w:val="24"/>
        </w:rPr>
        <w:t xml:space="preserve"> </w:t>
      </w:r>
      <w:r w:rsidR="00AD0486" w:rsidRPr="009E010F">
        <w:rPr>
          <w:rStyle w:val="Brak"/>
          <w:rFonts w:cs="Calibri"/>
          <w:sz w:val="24"/>
          <w:szCs w:val="24"/>
        </w:rPr>
        <w:t xml:space="preserve">Rozwoju Przedsiębiorczości </w:t>
      </w:r>
      <w:r>
        <w:rPr>
          <w:rStyle w:val="Brak"/>
          <w:rFonts w:cs="Calibri"/>
          <w:sz w:val="24"/>
          <w:szCs w:val="24"/>
        </w:rPr>
        <w:t>na rzecz</w:t>
      </w:r>
      <w:r w:rsidR="00AD0486" w:rsidRPr="009E010F">
        <w:rPr>
          <w:rStyle w:val="Brak"/>
          <w:rFonts w:cs="Calibri"/>
          <w:sz w:val="24"/>
          <w:szCs w:val="24"/>
        </w:rPr>
        <w:t xml:space="preserve"> wprowadzanie efektów prac B+R na rynek. </w:t>
      </w:r>
      <w:r>
        <w:rPr>
          <w:rStyle w:val="Brak"/>
          <w:rFonts w:cs="Calibri"/>
          <w:sz w:val="24"/>
          <w:szCs w:val="24"/>
        </w:rPr>
        <w:t xml:space="preserve">Mowa o 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gov_</w:t>
      </w:r>
      <w:r w:rsidRPr="009E010F">
        <w:rPr>
          <w:rStyle w:val="Brak"/>
          <w:rFonts w:cs="Calibri"/>
          <w:sz w:val="24"/>
          <w:szCs w:val="24"/>
        </w:rPr>
        <w:t>LA</w:t>
      </w:r>
      <w:r>
        <w:rPr>
          <w:rStyle w:val="Brak"/>
          <w:rFonts w:cs="Calibri"/>
          <w:sz w:val="24"/>
          <w:szCs w:val="24"/>
        </w:rPr>
        <w:t>B</w:t>
      </w:r>
      <w:proofErr w:type="spellEnd"/>
      <w:r w:rsidRPr="009E010F">
        <w:rPr>
          <w:rStyle w:val="Brak"/>
          <w:rFonts w:cs="Calibri"/>
          <w:sz w:val="24"/>
          <w:szCs w:val="24"/>
        </w:rPr>
        <w:t xml:space="preserve"> </w:t>
      </w:r>
      <w:r w:rsidR="00827DD8">
        <w:rPr>
          <w:rStyle w:val="Brak"/>
          <w:rFonts w:cs="Calibri"/>
          <w:sz w:val="24"/>
          <w:szCs w:val="24"/>
        </w:rPr>
        <w:t>–</w:t>
      </w:r>
      <w:r w:rsidRPr="009E010F">
        <w:rPr>
          <w:rStyle w:val="Brak"/>
          <w:rFonts w:cs="Calibri"/>
          <w:sz w:val="24"/>
          <w:szCs w:val="24"/>
        </w:rPr>
        <w:t xml:space="preserve"> </w:t>
      </w:r>
      <w:r w:rsidR="00AD0486" w:rsidRPr="009E010F">
        <w:rPr>
          <w:rStyle w:val="Brak"/>
          <w:rFonts w:cs="Calibri"/>
          <w:sz w:val="24"/>
          <w:szCs w:val="24"/>
          <w:lang w:val="it-IT"/>
        </w:rPr>
        <w:t>pilota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żowy</w:t>
      </w:r>
      <w:r>
        <w:rPr>
          <w:rStyle w:val="Brak"/>
          <w:rFonts w:cs="Calibri"/>
          <w:sz w:val="24"/>
          <w:szCs w:val="24"/>
        </w:rPr>
        <w:t>m</w:t>
      </w:r>
      <w:proofErr w:type="spellEnd"/>
      <w:r w:rsidR="00827DD8">
        <w:rPr>
          <w:rStyle w:val="Brak"/>
          <w:rFonts w:cs="Calibri"/>
          <w:sz w:val="24"/>
          <w:szCs w:val="24"/>
        </w:rPr>
        <w:t xml:space="preserve"> </w:t>
      </w:r>
      <w:r w:rsidR="00AD0486" w:rsidRPr="009E010F">
        <w:rPr>
          <w:rStyle w:val="Brak"/>
          <w:rFonts w:cs="Calibri"/>
          <w:sz w:val="24"/>
          <w:szCs w:val="24"/>
        </w:rPr>
        <w:t>program</w:t>
      </w:r>
      <w:r>
        <w:rPr>
          <w:rStyle w:val="Brak"/>
          <w:rFonts w:cs="Calibri"/>
          <w:sz w:val="24"/>
          <w:szCs w:val="24"/>
        </w:rPr>
        <w:t>ie</w:t>
      </w:r>
      <w:r w:rsidR="00AD0486" w:rsidRPr="009E010F">
        <w:rPr>
          <w:rStyle w:val="Brak"/>
          <w:rFonts w:cs="Calibri"/>
          <w:sz w:val="24"/>
          <w:szCs w:val="24"/>
        </w:rPr>
        <w:t xml:space="preserve"> edukacyjny</w:t>
      </w:r>
      <w:r>
        <w:rPr>
          <w:rStyle w:val="Brak"/>
          <w:rFonts w:cs="Calibri"/>
          <w:sz w:val="24"/>
          <w:szCs w:val="24"/>
        </w:rPr>
        <w:t>m</w:t>
      </w:r>
      <w:r w:rsidR="00AD0486" w:rsidRPr="009E010F">
        <w:rPr>
          <w:rStyle w:val="Brak"/>
          <w:rFonts w:cs="Calibri"/>
          <w:sz w:val="24"/>
          <w:szCs w:val="24"/>
        </w:rPr>
        <w:t xml:space="preserve"> dla jednostek samorządu terytorialnego, 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kt</w:t>
      </w:r>
      <w:proofErr w:type="spellEnd"/>
      <w:r w:rsidR="00AD0486"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rego</w:t>
      </w:r>
      <w:proofErr w:type="spellEnd"/>
      <w:r w:rsidR="00AD0486" w:rsidRPr="009E010F">
        <w:rPr>
          <w:rStyle w:val="Brak"/>
          <w:rFonts w:cs="Calibri"/>
          <w:sz w:val="24"/>
          <w:szCs w:val="24"/>
        </w:rPr>
        <w:t xml:space="preserve"> celem jest dostarczenie administracji samorządowej wiedzy i umiejętności do projektowania innowacyjnych usług lub program</w:t>
      </w:r>
      <w:r w:rsidR="00AD0486"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="00AD0486" w:rsidRPr="009E010F">
        <w:rPr>
          <w:rStyle w:val="Brak"/>
          <w:rFonts w:cs="Calibri"/>
          <w:sz w:val="24"/>
          <w:szCs w:val="24"/>
        </w:rPr>
        <w:t xml:space="preserve">w dla 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przedsiębiorc</w:t>
      </w:r>
      <w:proofErr w:type="spellEnd"/>
      <w:r w:rsidR="00AD0486" w:rsidRPr="009E010F">
        <w:rPr>
          <w:rStyle w:val="Brak"/>
          <w:rFonts w:cs="Calibri"/>
          <w:sz w:val="24"/>
          <w:szCs w:val="24"/>
          <w:lang w:val="es-ES_tradnl"/>
        </w:rPr>
        <w:t>ó</w:t>
      </w:r>
      <w:r w:rsidR="00AD0486" w:rsidRPr="009E010F">
        <w:rPr>
          <w:rStyle w:val="Brak"/>
          <w:rFonts w:cs="Calibri"/>
          <w:sz w:val="24"/>
          <w:szCs w:val="24"/>
        </w:rPr>
        <w:t xml:space="preserve">w. Dzięki realizacji inicjatywy, w latach 2019-2022 15 jednostek samorządu terytorialnego zostało przeszkolonych w zakresie skutecznego odpowiadania na potrzeby lokalnych przedsiębiorców i potencjalnych inwestorów. W tym czasie Urzędy Marszałkowskie 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Wojew</w:t>
      </w:r>
      <w:proofErr w:type="spellEnd"/>
      <w:r w:rsidR="00AD0486"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dztwa</w:t>
      </w:r>
      <w:proofErr w:type="spellEnd"/>
      <w:r w:rsidR="00AD0486" w:rsidRPr="009E010F">
        <w:rPr>
          <w:rStyle w:val="Brak"/>
          <w:rFonts w:cs="Calibri"/>
          <w:sz w:val="24"/>
          <w:szCs w:val="24"/>
        </w:rPr>
        <w:t xml:space="preserve"> Mazowieckiego, Zachodniopomorskiego, Lubelskiego i 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Wojew</w:t>
      </w:r>
      <w:proofErr w:type="spellEnd"/>
      <w:r w:rsidR="00AD0486"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dztwa</w:t>
      </w:r>
      <w:proofErr w:type="spellEnd"/>
      <w:r w:rsidR="00AD0486" w:rsidRPr="009E010F">
        <w:rPr>
          <w:rStyle w:val="Brak"/>
          <w:rFonts w:cs="Calibri"/>
          <w:sz w:val="24"/>
          <w:szCs w:val="24"/>
        </w:rPr>
        <w:t xml:space="preserve"> Warmińsko-Mazurskiego, Powiat Iławski oraz miasta i gminy Cieszyn, Eł</w:t>
      </w:r>
      <w:r w:rsidR="00AD0486" w:rsidRPr="009E010F">
        <w:rPr>
          <w:rStyle w:val="Brak"/>
          <w:rFonts w:cs="Calibri"/>
          <w:sz w:val="24"/>
          <w:szCs w:val="24"/>
          <w:lang w:val="de-DE"/>
        </w:rPr>
        <w:t>k, W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łocławek</w:t>
      </w:r>
      <w:proofErr w:type="spellEnd"/>
      <w:r w:rsidR="00AD0486" w:rsidRPr="009E010F">
        <w:rPr>
          <w:rStyle w:val="Brak"/>
          <w:rFonts w:cs="Calibri"/>
          <w:sz w:val="24"/>
          <w:szCs w:val="24"/>
        </w:rPr>
        <w:t xml:space="preserve">, Kielce, 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Dąbr</w:t>
      </w:r>
      <w:proofErr w:type="spellEnd"/>
      <w:r w:rsidR="00AD0486" w:rsidRPr="009E010F">
        <w:rPr>
          <w:rStyle w:val="Brak"/>
          <w:rFonts w:cs="Calibri"/>
          <w:sz w:val="24"/>
          <w:szCs w:val="24"/>
          <w:lang w:val="es-ES_tradnl"/>
        </w:rPr>
        <w:t>ó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wno</w:t>
      </w:r>
      <w:proofErr w:type="spellEnd"/>
      <w:r w:rsidR="00AD0486" w:rsidRPr="009E010F">
        <w:rPr>
          <w:rStyle w:val="Brak"/>
          <w:rFonts w:cs="Calibri"/>
          <w:sz w:val="24"/>
          <w:szCs w:val="24"/>
        </w:rPr>
        <w:t>, Marki, Kobył</w:t>
      </w:r>
      <w:proofErr w:type="spellStart"/>
      <w:r w:rsidR="00AD0486" w:rsidRPr="009E010F">
        <w:rPr>
          <w:rStyle w:val="Brak"/>
          <w:rFonts w:cs="Calibri"/>
          <w:sz w:val="24"/>
          <w:szCs w:val="24"/>
          <w:lang w:val="de-DE"/>
        </w:rPr>
        <w:t>ka</w:t>
      </w:r>
      <w:proofErr w:type="spellEnd"/>
      <w:r w:rsidR="00AD0486" w:rsidRPr="009E010F">
        <w:rPr>
          <w:rStyle w:val="Brak"/>
          <w:rFonts w:cs="Calibri"/>
          <w:sz w:val="24"/>
          <w:szCs w:val="24"/>
          <w:lang w:val="de-DE"/>
        </w:rPr>
        <w:t xml:space="preserve">, </w:t>
      </w:r>
      <w:proofErr w:type="spellStart"/>
      <w:r w:rsidR="00AD0486" w:rsidRPr="009E010F">
        <w:rPr>
          <w:rStyle w:val="Brak"/>
          <w:rFonts w:cs="Calibri"/>
          <w:sz w:val="24"/>
          <w:szCs w:val="24"/>
          <w:lang w:val="de-DE"/>
        </w:rPr>
        <w:t>Bieru</w:t>
      </w:r>
      <w:proofErr w:type="spellEnd"/>
      <w:r w:rsidR="00AD0486" w:rsidRPr="009E010F">
        <w:rPr>
          <w:rStyle w:val="Brak"/>
          <w:rFonts w:cs="Calibri"/>
          <w:sz w:val="24"/>
          <w:szCs w:val="24"/>
        </w:rPr>
        <w:t xml:space="preserve">ń, Ogrodzieniec i Kawęczyn zdobyły praktyczną wiedzę realizacji badań jakościowych, testowania opracowanych prototypów rozwiązań oraz wykorzystywania metody service design oraz design </w:t>
      </w:r>
      <w:proofErr w:type="spellStart"/>
      <w:r w:rsidR="00AD0486" w:rsidRPr="009E010F">
        <w:rPr>
          <w:rStyle w:val="Brak"/>
          <w:rFonts w:cs="Calibri"/>
          <w:sz w:val="24"/>
          <w:szCs w:val="24"/>
        </w:rPr>
        <w:t>thinking</w:t>
      </w:r>
      <w:proofErr w:type="spellEnd"/>
      <w:r w:rsidR="00AD0486" w:rsidRPr="009E010F">
        <w:rPr>
          <w:rStyle w:val="Brak"/>
          <w:rFonts w:cs="Calibri"/>
          <w:sz w:val="24"/>
          <w:szCs w:val="24"/>
        </w:rPr>
        <w:t xml:space="preserve"> w instytucjach publicznych. </w:t>
      </w:r>
      <w:r>
        <w:rPr>
          <w:rStyle w:val="Brak"/>
          <w:rFonts w:cs="Calibri"/>
          <w:sz w:val="24"/>
          <w:szCs w:val="24"/>
        </w:rPr>
        <w:t xml:space="preserve">Realizacja projektu została doceniona w ostatnim czasie i Program </w:t>
      </w:r>
      <w:proofErr w:type="spellStart"/>
      <w:r>
        <w:rPr>
          <w:rStyle w:val="Brak"/>
          <w:rFonts w:cs="Calibri"/>
          <w:sz w:val="24"/>
          <w:szCs w:val="24"/>
        </w:rPr>
        <w:t>gov_Lab</w:t>
      </w:r>
      <w:proofErr w:type="spellEnd"/>
      <w:r w:rsidR="00573037">
        <w:rPr>
          <w:rStyle w:val="Brak"/>
          <w:rFonts w:cs="Calibri"/>
          <w:sz w:val="24"/>
          <w:szCs w:val="24"/>
        </w:rPr>
        <w:t xml:space="preserve">, powstały z </w:t>
      </w:r>
      <w:r w:rsidR="00827DD8">
        <w:rPr>
          <w:rStyle w:val="Brak"/>
          <w:rFonts w:cs="Calibri"/>
          <w:sz w:val="24"/>
          <w:szCs w:val="24"/>
        </w:rPr>
        <w:t>inicjatywy</w:t>
      </w:r>
      <w:r w:rsidR="00573037">
        <w:rPr>
          <w:rStyle w:val="Brak"/>
          <w:rFonts w:cs="Calibri"/>
          <w:sz w:val="24"/>
          <w:szCs w:val="24"/>
        </w:rPr>
        <w:t xml:space="preserve"> PARP</w:t>
      </w:r>
      <w:r w:rsidR="00573037" w:rsidRPr="00573037">
        <w:rPr>
          <w:rStyle w:val="Brak"/>
          <w:rFonts w:cs="Calibri"/>
          <w:sz w:val="24"/>
          <w:szCs w:val="24"/>
        </w:rPr>
        <w:t xml:space="preserve"> </w:t>
      </w:r>
      <w:r w:rsidR="00573037" w:rsidRPr="009E010F">
        <w:rPr>
          <w:rStyle w:val="Brak"/>
          <w:rFonts w:cs="Calibri"/>
          <w:sz w:val="24"/>
          <w:szCs w:val="24"/>
        </w:rPr>
        <w:t>zdoby</w:t>
      </w:r>
      <w:r w:rsidR="00573037">
        <w:rPr>
          <w:rStyle w:val="Brak"/>
          <w:rFonts w:cs="Calibri"/>
          <w:sz w:val="24"/>
          <w:szCs w:val="24"/>
        </w:rPr>
        <w:t>ł</w:t>
      </w:r>
      <w:r w:rsidR="00573037" w:rsidRPr="009E010F">
        <w:rPr>
          <w:rStyle w:val="Brak"/>
          <w:rFonts w:cs="Calibri"/>
          <w:sz w:val="24"/>
          <w:szCs w:val="24"/>
        </w:rPr>
        <w:t xml:space="preserve"> ostatnio Nagrod</w:t>
      </w:r>
      <w:r w:rsidR="00573037">
        <w:rPr>
          <w:rStyle w:val="Brak"/>
          <w:rFonts w:cs="Calibri"/>
          <w:sz w:val="24"/>
          <w:szCs w:val="24"/>
        </w:rPr>
        <w:t>ę</w:t>
      </w:r>
      <w:r w:rsidR="00573037" w:rsidRPr="009E010F">
        <w:rPr>
          <w:rStyle w:val="Brak"/>
          <w:rFonts w:cs="Calibri"/>
          <w:sz w:val="24"/>
          <w:szCs w:val="24"/>
        </w:rPr>
        <w:t xml:space="preserve"> Ministra Edukacji i Nauki</w:t>
      </w:r>
      <w:r w:rsidR="00573037">
        <w:rPr>
          <w:rStyle w:val="Brak"/>
          <w:rFonts w:cs="Calibri"/>
          <w:sz w:val="24"/>
          <w:szCs w:val="24"/>
        </w:rPr>
        <w:t>.</w:t>
      </w:r>
    </w:p>
    <w:p w:rsidR="008E2A26" w:rsidRDefault="008E2A26">
      <w:pPr>
        <w:spacing w:before="120" w:after="120" w:line="276" w:lineRule="auto"/>
      </w:pPr>
    </w:p>
    <w:p w:rsidR="008E2A26" w:rsidRDefault="008E2A26">
      <w:pPr>
        <w:spacing w:before="120" w:after="120" w:line="276" w:lineRule="auto"/>
        <w:rPr>
          <w:rStyle w:val="markedcontent"/>
          <w:sz w:val="24"/>
          <w:szCs w:val="24"/>
        </w:rPr>
      </w:pPr>
    </w:p>
    <w:p w:rsidR="008E2A26" w:rsidRDefault="00AD0486">
      <w:pPr>
        <w:spacing w:before="120" w:after="120" w:line="276" w:lineRule="auto"/>
      </w:pPr>
      <w:r>
        <w:rPr>
          <w:rStyle w:val="markedcontent"/>
          <w:noProof/>
        </w:rPr>
        <w:drawing>
          <wp:inline distT="0" distB="0" distL="0" distR="0" wp14:anchorId="4CC54A1C" wp14:editId="47B8FD72">
            <wp:extent cx="5756783" cy="463137"/>
            <wp:effectExtent l="0" t="0" r="0" b="0"/>
            <wp:docPr id="1073741826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1" descr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3" cy="463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E2A2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A4" w:rsidRDefault="00AC28A4">
      <w:pPr>
        <w:spacing w:after="0" w:line="240" w:lineRule="auto"/>
      </w:pPr>
      <w:r>
        <w:separator/>
      </w:r>
    </w:p>
  </w:endnote>
  <w:endnote w:type="continuationSeparator" w:id="0">
    <w:p w:rsidR="00AC28A4" w:rsidRDefault="00A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A26" w:rsidRDefault="008E2A2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A4" w:rsidRDefault="00AC28A4">
      <w:r>
        <w:separator/>
      </w:r>
    </w:p>
  </w:footnote>
  <w:footnote w:type="continuationSeparator" w:id="0">
    <w:p w:rsidR="00AC28A4" w:rsidRDefault="00AC28A4">
      <w:r>
        <w:continuationSeparator/>
      </w:r>
    </w:p>
  </w:footnote>
  <w:footnote w:type="continuationNotice" w:id="1">
    <w:p w:rsidR="00AC28A4" w:rsidRDefault="00AC28A4"/>
  </w:footnote>
  <w:footnote w:id="2">
    <w:p w:rsidR="008E2A26" w:rsidRDefault="00AD0486">
      <w:pPr>
        <w:pStyle w:val="Przypisdoln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Brak"/>
          <w:sz w:val="24"/>
          <w:szCs w:val="24"/>
          <w:vertAlign w:val="superscript"/>
        </w:rPr>
        <w:footnoteRef/>
      </w:r>
      <w:r>
        <w:rPr>
          <w:rStyle w:val="Brak"/>
          <w:rFonts w:ascii="Calibri" w:hAnsi="Calibri"/>
          <w:sz w:val="20"/>
          <w:szCs w:val="20"/>
        </w:rPr>
        <w:t xml:space="preserve"> https://stat.gov.pl/metainformacje/slownik-pojec/pojecia-stosowane-w-statystyce-publicznej/76,pojecie.html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A26" w:rsidRDefault="008E2A26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26"/>
    <w:rsid w:val="000A6E2F"/>
    <w:rsid w:val="000F39CE"/>
    <w:rsid w:val="00140556"/>
    <w:rsid w:val="00204907"/>
    <w:rsid w:val="0028377A"/>
    <w:rsid w:val="002F7FA1"/>
    <w:rsid w:val="00300E37"/>
    <w:rsid w:val="00370DB8"/>
    <w:rsid w:val="00573037"/>
    <w:rsid w:val="00655CDD"/>
    <w:rsid w:val="0068586F"/>
    <w:rsid w:val="006A12DC"/>
    <w:rsid w:val="00735101"/>
    <w:rsid w:val="0073694D"/>
    <w:rsid w:val="007B053B"/>
    <w:rsid w:val="007F56A2"/>
    <w:rsid w:val="00827DD8"/>
    <w:rsid w:val="00841840"/>
    <w:rsid w:val="008A44FD"/>
    <w:rsid w:val="008E2A26"/>
    <w:rsid w:val="0096052F"/>
    <w:rsid w:val="00997D07"/>
    <w:rsid w:val="009E010F"/>
    <w:rsid w:val="009F65F4"/>
    <w:rsid w:val="00AB5ABD"/>
    <w:rsid w:val="00AC28A4"/>
    <w:rsid w:val="00AD0486"/>
    <w:rsid w:val="00AE1C8A"/>
    <w:rsid w:val="00C33E30"/>
    <w:rsid w:val="00D83490"/>
    <w:rsid w:val="00DB36A9"/>
    <w:rsid w:val="00DF384F"/>
    <w:rsid w:val="00F20ACD"/>
    <w:rsid w:val="00FD1B7B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13CD"/>
  <w15:docId w15:val="{19FF8104-5E95-4264-86E9-0FB0F5EF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 w:after="160" w:line="259" w:lineRule="auto"/>
      <w:outlineLvl w:val="0"/>
    </w:pPr>
    <w:rPr>
      <w:rFonts w:ascii="Calibri" w:hAnsi="Calibri" w:cs="Arial Unicode MS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ogrubienie">
    <w:name w:val="Strong"/>
    <w:uiPriority w:val="22"/>
    <w:qFormat/>
    <w:rPr>
      <w:rFonts w:ascii="Calibri" w:hAnsi="Calibri"/>
      <w:b/>
      <w:bCs/>
    </w:rPr>
  </w:style>
  <w:style w:type="paragraph" w:customStyle="1" w:styleId="DomylneA">
    <w:name w:val="Domyślne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u w:color="000000"/>
    </w:rPr>
  </w:style>
  <w:style w:type="character" w:customStyle="1" w:styleId="markedcontent">
    <w:name w:val="markedcontent"/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zypisdolnyA">
    <w:name w:val="Przypis dolny A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B8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FA1"/>
    <w:rPr>
      <w:rFonts w:ascii="Calibri" w:hAnsi="Calibri" w:cs="Arial Unicode MS"/>
      <w:b/>
      <w:bCs/>
      <w:color w:val="000000"/>
      <w:u w:color="000000"/>
    </w:rPr>
  </w:style>
  <w:style w:type="character" w:customStyle="1" w:styleId="highlight">
    <w:name w:val="highlight"/>
    <w:basedOn w:val="Domylnaczcionkaakapitu"/>
    <w:rsid w:val="0099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a_nowicka@par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84B7-B743-4085-91C6-E3ACFBB1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11314</Characters>
  <Application>Microsoft Office Word</Application>
  <DocSecurity>0</DocSecurity>
  <Lines>174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Luiza</dc:creator>
  <cp:lastModifiedBy>Nowicka Luiza</cp:lastModifiedBy>
  <cp:revision>2</cp:revision>
  <dcterms:created xsi:type="dcterms:W3CDTF">2023-03-24T13:51:00Z</dcterms:created>
  <dcterms:modified xsi:type="dcterms:W3CDTF">2023-03-24T13:51:00Z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5b3b55f8d46eed0fe19ae97965f5f3584437d80b7d8f31dacba86ff1c563b216</vt:lpwstr>
  </property>
</Properties>
</file>