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892F7" w14:textId="77777777" w:rsidR="003D4894" w:rsidRDefault="003D4894" w:rsidP="003D4894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120" w:line="276" w:lineRule="auto"/>
        <w:rPr>
          <w:rFonts w:ascii="Calibri" w:hAnsi="Calibri"/>
        </w:rPr>
      </w:pPr>
      <w:bookmarkStart w:id="0" w:name="_Hlk73018783"/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 wp14:anchorId="43A3277D" wp14:editId="652EB3CF">
            <wp:extent cx="5760720" cy="575310"/>
            <wp:effectExtent l="0" t="0" r="0" b="0"/>
            <wp:docPr id="1073741825" name="officeArt object" descr="Logo PARP Grupa P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PARP Grupa PFR" descr="Logo PARP Grupa PFR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14:paraId="011B0851" w14:textId="77777777" w:rsidR="003D4894" w:rsidRDefault="003D4894" w:rsidP="003D4894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12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Kontakt dla </w:t>
      </w:r>
      <w:proofErr w:type="spellStart"/>
      <w:r>
        <w:rPr>
          <w:rFonts w:ascii="Calibri" w:hAnsi="Calibri"/>
        </w:rPr>
        <w:t>medi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w:</w:t>
      </w:r>
    </w:p>
    <w:p w14:paraId="051AC533" w14:textId="77777777" w:rsidR="003D4894" w:rsidRDefault="003D4894" w:rsidP="003D4894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12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Luiza Nowicka, PARP                                                                                              Informacja prasowa</w:t>
      </w:r>
    </w:p>
    <w:p w14:paraId="6F0BEABA" w14:textId="2702731B" w:rsidR="003D4894" w:rsidRDefault="003D4894" w:rsidP="003D4894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120" w:line="276" w:lineRule="auto"/>
        <w:rPr>
          <w:rStyle w:val="Hyperlink0"/>
        </w:rPr>
      </w:pPr>
      <w:r>
        <w:rPr>
          <w:rFonts w:ascii="Calibri" w:hAnsi="Calibri"/>
        </w:rPr>
        <w:t xml:space="preserve">e-mail: </w:t>
      </w:r>
      <w:hyperlink r:id="rId6" w:history="1">
        <w:r>
          <w:rPr>
            <w:rStyle w:val="Hyperlink0"/>
          </w:rPr>
          <w:t>luiza_nowicka@parp.gov.pl</w:t>
        </w:r>
      </w:hyperlink>
      <w:r>
        <w:rPr>
          <w:rStyle w:val="Hyperlink0"/>
        </w:rPr>
        <w:t xml:space="preserve">                                                           Warszawa, </w:t>
      </w:r>
      <w:r w:rsidR="00962C6E">
        <w:rPr>
          <w:rStyle w:val="Hyperlink0"/>
        </w:rPr>
        <w:t>04</w:t>
      </w:r>
      <w:r>
        <w:rPr>
          <w:rStyle w:val="Hyperlink0"/>
        </w:rPr>
        <w:t>.03.2023 r.</w:t>
      </w:r>
    </w:p>
    <w:p w14:paraId="3738C58F" w14:textId="77777777" w:rsidR="003D4894" w:rsidRPr="003D4894" w:rsidRDefault="003D4894" w:rsidP="003D4894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lang w:val="pt-PT"/>
        </w:rPr>
        <w:t>tel.: 880 524 959</w:t>
      </w:r>
    </w:p>
    <w:p w14:paraId="17FFCD67" w14:textId="77777777" w:rsidR="00F80333" w:rsidRPr="002016F8" w:rsidRDefault="001D4CCE" w:rsidP="002016F8">
      <w:pPr>
        <w:pStyle w:val="Nagwek1"/>
      </w:pPr>
      <w:r w:rsidRPr="002016F8">
        <w:t>Aktualizacja harmonogramu naborów na 2023 rok w programie Fundusze Europejskie dla Nowoczesnej Gospodarki</w:t>
      </w:r>
    </w:p>
    <w:p w14:paraId="4B77A2B6" w14:textId="34116EC5" w:rsidR="001D4CCE" w:rsidRPr="002016F8" w:rsidRDefault="009347DD" w:rsidP="002016F8">
      <w:pPr>
        <w:spacing w:before="120" w:after="120" w:line="276" w:lineRule="auto"/>
        <w:rPr>
          <w:rStyle w:val="Pogrubienie"/>
          <w:rFonts w:ascii="Calibri" w:hAnsi="Calibri" w:cs="Calibri"/>
          <w:sz w:val="24"/>
          <w:szCs w:val="24"/>
        </w:rPr>
      </w:pPr>
      <w:r>
        <w:rPr>
          <w:rStyle w:val="Pogrubienie"/>
          <w:rFonts w:ascii="Calibri" w:hAnsi="Calibri" w:cs="Calibri"/>
          <w:sz w:val="24"/>
          <w:szCs w:val="24"/>
        </w:rPr>
        <w:t>30</w:t>
      </w:r>
      <w:r w:rsidRPr="002016F8">
        <w:rPr>
          <w:rStyle w:val="Pogrubienie"/>
          <w:rFonts w:ascii="Calibri" w:hAnsi="Calibri" w:cs="Calibri"/>
          <w:sz w:val="24"/>
          <w:szCs w:val="24"/>
        </w:rPr>
        <w:t xml:space="preserve"> </w:t>
      </w:r>
      <w:r w:rsidR="001D4CCE" w:rsidRPr="002016F8">
        <w:rPr>
          <w:rStyle w:val="Pogrubienie"/>
          <w:rFonts w:ascii="Calibri" w:hAnsi="Calibri" w:cs="Calibri"/>
          <w:sz w:val="24"/>
          <w:szCs w:val="24"/>
        </w:rPr>
        <w:t xml:space="preserve">marca opublikowano zaktualizowany harmonogram naborów wniosków o dofinansowanie w programie Fundusze Europejskie dla Nowoczesnej Gospodarki (FENG) na ten rok. Uwzględnia on terminy wszystkich planowanych w 2023 r. konkursów, finansowanych w ramach nowej polityki spójności na lata 2021-2027. Dłuższy termin pierwszych naborów wniosków w „Ścieżce SMART”, nowe terminy naborów dla takich konkursów jak: „Granty na </w:t>
      </w:r>
      <w:proofErr w:type="spellStart"/>
      <w:r w:rsidR="001D4CCE" w:rsidRPr="002016F8">
        <w:rPr>
          <w:rStyle w:val="Pogrubienie"/>
          <w:rFonts w:ascii="Calibri" w:hAnsi="Calibri" w:cs="Calibri"/>
          <w:sz w:val="24"/>
          <w:szCs w:val="24"/>
        </w:rPr>
        <w:t>Eurogranty</w:t>
      </w:r>
      <w:proofErr w:type="spellEnd"/>
      <w:r w:rsidR="001D4CCE" w:rsidRPr="002016F8">
        <w:rPr>
          <w:rStyle w:val="Pogrubienie"/>
          <w:rFonts w:ascii="Calibri" w:hAnsi="Calibri" w:cs="Calibri"/>
          <w:sz w:val="24"/>
          <w:szCs w:val="24"/>
        </w:rPr>
        <w:t>”, „Promocja marki innowacyjnych MŚP” – sprawdź zmiany w harmonogramie dla programu FENG.</w:t>
      </w:r>
    </w:p>
    <w:p w14:paraId="47AA0618" w14:textId="77777777" w:rsidR="001D4CCE" w:rsidRPr="002016F8" w:rsidRDefault="001D4CCE" w:rsidP="002016F8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2016F8">
        <w:rPr>
          <w:rFonts w:ascii="Calibri" w:hAnsi="Calibri" w:cs="Calibri"/>
          <w:sz w:val="24"/>
          <w:szCs w:val="24"/>
        </w:rPr>
        <w:t xml:space="preserve">Fundusze Europejskie dla Nowoczesnej Gospodarki (FENG) to program o łącznym budżecie wynoszącym blisko 8 mld euro. Inicjatywa oferuje przedsiębiorcom wsparcie na każdym etapie rozwoju, m.in. w obszarach działalności badawczo-rozwojowej (B+R), automatyzacji i robotyzacji, umiędzynarodowienia firmy, wspieraniu projektów o strategicznym znaczeniu dla polskiej gospodarki czy wsparciu projektów bezpośrednio przyczyniających się do realizacji celów Europejskiego Zielonego Ładu. Celami program są: zwiększenie potencjału w zakresie badań i innowacji oraz wykorzystywanie zaawansowanych technologii, wzrost konkurencyjności MŚP, rozwinięcie umiejętności na rzecz inteligentnej specjalizacji, transformacji przemysłowej i przedsiębiorczości oraz transformacja gospodarki w kierunku Przemysłu 4.0 i zielonych technologii. </w:t>
      </w:r>
    </w:p>
    <w:p w14:paraId="60B8A8B9" w14:textId="77777777" w:rsidR="001D4CCE" w:rsidRPr="002016F8" w:rsidRDefault="001D4CCE" w:rsidP="002016F8">
      <w:pPr>
        <w:pStyle w:val="Nagwek2"/>
      </w:pPr>
      <w:r w:rsidRPr="002016F8">
        <w:t xml:space="preserve">Zmiany w harmonogramie </w:t>
      </w:r>
    </w:p>
    <w:p w14:paraId="272DB187" w14:textId="77777777" w:rsidR="002B69DA" w:rsidRPr="002016F8" w:rsidRDefault="002B69DA" w:rsidP="002016F8">
      <w:pPr>
        <w:pStyle w:val="NormalnyWeb"/>
        <w:spacing w:before="120" w:beforeAutospacing="0" w:after="120" w:afterAutospacing="0" w:line="276" w:lineRule="auto"/>
        <w:rPr>
          <w:rStyle w:val="Pogrubienie"/>
          <w:rFonts w:ascii="Calibri" w:eastAsiaTheme="majorEastAsia" w:hAnsi="Calibri" w:cs="Calibri"/>
        </w:rPr>
      </w:pPr>
      <w:r w:rsidRPr="002016F8">
        <w:rPr>
          <w:rStyle w:val="Pogrubienie"/>
          <w:rFonts w:ascii="Calibri" w:eastAsiaTheme="majorEastAsia" w:hAnsi="Calibri" w:cs="Calibri"/>
        </w:rPr>
        <w:t xml:space="preserve">Ścieżka SMART </w:t>
      </w:r>
    </w:p>
    <w:p w14:paraId="1F00463C" w14:textId="790C6036" w:rsidR="002B69DA" w:rsidRPr="002016F8" w:rsidRDefault="002B69DA" w:rsidP="002016F8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2016F8">
        <w:rPr>
          <w:rFonts w:ascii="Calibri" w:hAnsi="Calibri" w:cs="Calibri"/>
        </w:rPr>
        <w:t>Zgodnie z nowym harmonogramem pierwszy nabór, prowadzony w ramach „Ścieżki SMART”, przedłużono do 9 maja 2023 r., a start kolejnego naboru dla pojedynczych firm, przesunięto na 10 maja br., bez zmiany terminu jego ogłoszenia.</w:t>
      </w:r>
      <w:r w:rsidR="006A67A5">
        <w:rPr>
          <w:rFonts w:ascii="Calibri" w:hAnsi="Calibri" w:cs="Calibri"/>
        </w:rPr>
        <w:t xml:space="preserve"> Wnioski w drugim naborze będzie można składać do 30 czerwca br.</w:t>
      </w:r>
      <w:r w:rsidRPr="002016F8">
        <w:rPr>
          <w:rFonts w:ascii="Calibri" w:hAnsi="Calibri" w:cs="Calibri"/>
        </w:rPr>
        <w:t xml:space="preserve"> Ponadto przesunięto nabór dla konsorcjów na jesień (ogłoszenie 2 października 2023 r.) i dodano nowy konkursu dla pojedynczych firm w pierwszym kwartale 2024 r.</w:t>
      </w:r>
    </w:p>
    <w:p w14:paraId="73849FA9" w14:textId="608D7A02" w:rsidR="002B69DA" w:rsidRDefault="002B69DA" w:rsidP="002016F8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2016F8">
        <w:rPr>
          <w:rFonts w:ascii="Calibri" w:hAnsi="Calibri" w:cs="Calibri"/>
        </w:rPr>
        <w:lastRenderedPageBreak/>
        <w:t>W jego ramach przewidziano kompleksowe wsparcie projektów obejmujących m.in. działalność badawczo-rozwojową, wdrażanie innowacji, cyfryzację, zazielenienie przedsiębiorstw, internacjonalizację oraz podwyższanie kompetencji.</w:t>
      </w:r>
    </w:p>
    <w:p w14:paraId="105364FA" w14:textId="0DB53E1B" w:rsidR="006E3AD5" w:rsidRPr="006E3AD5" w:rsidRDefault="006A67A5" w:rsidP="006E3AD5">
      <w:pPr>
        <w:spacing w:before="120" w:after="120" w:line="276" w:lineRule="auto"/>
        <w:rPr>
          <w:sz w:val="24"/>
          <w:szCs w:val="24"/>
        </w:rPr>
      </w:pPr>
      <w:r w:rsidRPr="00962C6E">
        <w:rPr>
          <w:rFonts w:ascii="Calibri" w:hAnsi="Calibri" w:cs="Calibri"/>
          <w:sz w:val="24"/>
          <w:szCs w:val="24"/>
        </w:rPr>
        <w:t xml:space="preserve">Przedsiębiorcy będą mogli </w:t>
      </w:r>
      <w:r w:rsidR="006E3AD5" w:rsidRPr="00962C6E">
        <w:rPr>
          <w:rFonts w:ascii="Calibri" w:hAnsi="Calibri" w:cs="Calibri"/>
          <w:sz w:val="24"/>
          <w:szCs w:val="24"/>
        </w:rPr>
        <w:t xml:space="preserve">prowadzić </w:t>
      </w:r>
      <w:r w:rsidRPr="006E3AD5">
        <w:rPr>
          <w:rFonts w:eastAsia="Times New Roman"/>
          <w:bCs/>
          <w:sz w:val="24"/>
          <w:szCs w:val="24"/>
        </w:rPr>
        <w:t>prac</w:t>
      </w:r>
      <w:r w:rsidRPr="00962C6E">
        <w:rPr>
          <w:bCs/>
          <w:sz w:val="24"/>
          <w:szCs w:val="24"/>
        </w:rPr>
        <w:t>e</w:t>
      </w:r>
      <w:r w:rsidRPr="006E3AD5">
        <w:rPr>
          <w:rFonts w:eastAsia="Times New Roman"/>
          <w:bCs/>
          <w:sz w:val="24"/>
          <w:szCs w:val="24"/>
        </w:rPr>
        <w:t xml:space="preserve"> badawczo-rozwojow</w:t>
      </w:r>
      <w:r w:rsidR="006E3AD5" w:rsidRPr="00962C6E">
        <w:rPr>
          <w:bCs/>
          <w:sz w:val="24"/>
          <w:szCs w:val="24"/>
        </w:rPr>
        <w:t>e</w:t>
      </w:r>
      <w:r w:rsidR="006E3AD5" w:rsidRPr="006E3AD5">
        <w:rPr>
          <w:rFonts w:eastAsia="Times New Roman"/>
          <w:bCs/>
          <w:sz w:val="24"/>
          <w:szCs w:val="24"/>
        </w:rPr>
        <w:t xml:space="preserve">, których wynikiem będzie </w:t>
      </w:r>
      <w:r w:rsidRPr="006E3AD5">
        <w:rPr>
          <w:rFonts w:eastAsia="Times New Roman"/>
          <w:bCs/>
          <w:sz w:val="24"/>
          <w:szCs w:val="24"/>
        </w:rPr>
        <w:t>opracowani</w:t>
      </w:r>
      <w:r w:rsidR="006E3AD5" w:rsidRPr="006E3AD5">
        <w:rPr>
          <w:rFonts w:eastAsia="Times New Roman"/>
          <w:bCs/>
          <w:sz w:val="24"/>
          <w:szCs w:val="24"/>
        </w:rPr>
        <w:t>e</w:t>
      </w:r>
      <w:r w:rsidRPr="006E3AD5">
        <w:rPr>
          <w:rFonts w:eastAsia="Times New Roman"/>
          <w:bCs/>
          <w:sz w:val="24"/>
          <w:szCs w:val="24"/>
        </w:rPr>
        <w:t xml:space="preserve"> innowacji produktowej lub procesowej</w:t>
      </w:r>
      <w:r w:rsidR="006E3AD5" w:rsidRPr="006E3AD5">
        <w:rPr>
          <w:rFonts w:eastAsia="Times New Roman"/>
          <w:bCs/>
          <w:sz w:val="24"/>
          <w:szCs w:val="24"/>
        </w:rPr>
        <w:t>, a następnie jej wdrożenie</w:t>
      </w:r>
      <w:r w:rsidR="006E3AD5" w:rsidRPr="00962C6E">
        <w:rPr>
          <w:bCs/>
          <w:sz w:val="24"/>
          <w:szCs w:val="24"/>
        </w:rPr>
        <w:t xml:space="preserve">. Ponadto mogą </w:t>
      </w:r>
      <w:r w:rsidR="006E3AD5" w:rsidRPr="006E3AD5">
        <w:rPr>
          <w:rFonts w:eastAsia="Times New Roman"/>
          <w:bCs/>
          <w:sz w:val="24"/>
          <w:szCs w:val="24"/>
        </w:rPr>
        <w:t>sfinansować m. in.  koszty w</w:t>
      </w:r>
      <w:r w:rsidR="006E3AD5" w:rsidRPr="006E3AD5">
        <w:rPr>
          <w:sz w:val="24"/>
          <w:szCs w:val="24"/>
        </w:rPr>
        <w:t>ynagrodzenia personelu badawczo-rozwojowego, koszty amortyzacji aparatury naukowo-badawczej oraz amortyzacji budynków, nabycie wartości niematerialnych i prawnych.</w:t>
      </w:r>
    </w:p>
    <w:p w14:paraId="7D1C5B16" w14:textId="167133B2" w:rsidR="006E3AD5" w:rsidRPr="006E3AD5" w:rsidRDefault="006E3AD5" w:rsidP="006E3AD5">
      <w:pPr>
        <w:spacing w:before="120" w:after="120" w:line="276" w:lineRule="auto"/>
        <w:rPr>
          <w:rStyle w:val="Pogrubienie"/>
          <w:b w:val="0"/>
          <w:sz w:val="24"/>
          <w:szCs w:val="24"/>
        </w:rPr>
      </w:pPr>
      <w:r w:rsidRPr="006E3AD5">
        <w:rPr>
          <w:sz w:val="24"/>
          <w:szCs w:val="24"/>
        </w:rPr>
        <w:t xml:space="preserve">W „Ścieżce SMART” dofinansowanie może również obejmować </w:t>
      </w:r>
      <w:r w:rsidRPr="00962C6E">
        <w:rPr>
          <w:rStyle w:val="Pogrubienie"/>
          <w:b w:val="0"/>
          <w:sz w:val="24"/>
          <w:szCs w:val="24"/>
        </w:rPr>
        <w:t>utworzenie lub rozbudowy centrum badawczo-rozwojowego, transformację cyfrową oraz zapewnienie cyberbezpieczeństwa działalności przedsiębiorstwa</w:t>
      </w:r>
      <w:r w:rsidRPr="006E3AD5">
        <w:rPr>
          <w:rStyle w:val="Pogrubienie"/>
          <w:b w:val="0"/>
          <w:sz w:val="24"/>
          <w:szCs w:val="24"/>
        </w:rPr>
        <w:t>.</w:t>
      </w:r>
    </w:p>
    <w:p w14:paraId="0FD8F049" w14:textId="6CCC207C" w:rsidR="006E3AD5" w:rsidRPr="006E3AD5" w:rsidRDefault="006E3AD5" w:rsidP="006E3AD5">
      <w:pPr>
        <w:spacing w:before="120" w:after="120" w:line="276" w:lineRule="auto"/>
        <w:rPr>
          <w:rStyle w:val="Pogrubienie"/>
          <w:b w:val="0"/>
          <w:sz w:val="24"/>
          <w:szCs w:val="24"/>
        </w:rPr>
      </w:pPr>
      <w:r w:rsidRPr="00962C6E">
        <w:rPr>
          <w:rStyle w:val="Pogrubienie"/>
          <w:b w:val="0"/>
          <w:sz w:val="24"/>
          <w:szCs w:val="24"/>
        </w:rPr>
        <w:t xml:space="preserve">SMART to także dofinansowanie działań ukierunkowanych na zieloną transformację przedsiębiorstwa: usprawnienia gospodarki odpadami, zwiększenia efektywności energetycznej, zmniejszenia zanieczyszczeń, efektywniejszej gospodarki materiałowej, </w:t>
      </w:r>
      <w:proofErr w:type="spellStart"/>
      <w:r w:rsidRPr="00962C6E">
        <w:rPr>
          <w:rStyle w:val="Pogrubienie"/>
          <w:b w:val="0"/>
          <w:sz w:val="24"/>
          <w:szCs w:val="24"/>
        </w:rPr>
        <w:t>ekoprojektowania</w:t>
      </w:r>
      <w:proofErr w:type="spellEnd"/>
      <w:r w:rsidRPr="00962C6E">
        <w:rPr>
          <w:rStyle w:val="Pogrubienie"/>
          <w:b w:val="0"/>
          <w:sz w:val="24"/>
          <w:szCs w:val="24"/>
        </w:rPr>
        <w:t xml:space="preserve"> czy weryfikacji technologii środowiskowych.</w:t>
      </w:r>
    </w:p>
    <w:p w14:paraId="6E0735FF" w14:textId="404517D8" w:rsidR="006E3AD5" w:rsidRDefault="006E3AD5" w:rsidP="006E3AD5">
      <w:pPr>
        <w:spacing w:before="120" w:after="120" w:line="276" w:lineRule="auto"/>
        <w:rPr>
          <w:rStyle w:val="Pogrubienie"/>
          <w:b w:val="0"/>
          <w:sz w:val="24"/>
          <w:szCs w:val="24"/>
        </w:rPr>
      </w:pPr>
      <w:r w:rsidRPr="00962C6E">
        <w:rPr>
          <w:sz w:val="24"/>
          <w:szCs w:val="24"/>
        </w:rPr>
        <w:t xml:space="preserve">Kompleksowość i modułowość wskazanego konkursu pozwala również sfinansować koszty związane z </w:t>
      </w:r>
      <w:r w:rsidRPr="00962C6E">
        <w:rPr>
          <w:rStyle w:val="Pogrubienie"/>
          <w:b w:val="0"/>
          <w:sz w:val="24"/>
          <w:szCs w:val="24"/>
        </w:rPr>
        <w:t>doskonaleniem kompetencji pracowników i osób zarządzających, zdobywaniem przez nich nowych umiejętności, a także nabywaniem kwalifikacji.</w:t>
      </w:r>
    </w:p>
    <w:p w14:paraId="0D92DBAB" w14:textId="6273E74E" w:rsidR="006E3AD5" w:rsidRPr="00045306" w:rsidRDefault="006E3AD5" w:rsidP="006E3AD5">
      <w:pPr>
        <w:spacing w:before="120" w:after="120" w:line="276" w:lineRule="auto"/>
        <w:rPr>
          <w:rFonts w:eastAsia="Times New Roman"/>
          <w:sz w:val="24"/>
          <w:szCs w:val="24"/>
        </w:rPr>
      </w:pPr>
      <w:r w:rsidRPr="00962C6E">
        <w:rPr>
          <w:sz w:val="24"/>
          <w:szCs w:val="24"/>
        </w:rPr>
        <w:t xml:space="preserve">Zainteresowani naborami znajdą też wsparcie na </w:t>
      </w:r>
      <w:r w:rsidRPr="00962C6E">
        <w:rPr>
          <w:rStyle w:val="Pogrubienie"/>
          <w:b w:val="0"/>
          <w:sz w:val="24"/>
          <w:szCs w:val="24"/>
        </w:rPr>
        <w:t xml:space="preserve">działania związane z promocją zagraniczną produktów wnioskodawcy oraz działania dotyczące uzyskania ochrony praw własności przemysłowej lub ich obrony w przypadku ich naruszenia. Przedsiębiorcy mogą pokryć koszty </w:t>
      </w:r>
      <w:r w:rsidRPr="00045306">
        <w:rPr>
          <w:sz w:val="24"/>
          <w:szCs w:val="24"/>
        </w:rPr>
        <w:t>udziału w targach lub imprezach targowo-konferencyjnych czy podróży służbowych pracowników.</w:t>
      </w:r>
    </w:p>
    <w:p w14:paraId="41EE1A32" w14:textId="47DF675F" w:rsidR="002016F8" w:rsidRPr="003D4894" w:rsidRDefault="002016F8" w:rsidP="002016F8">
      <w:pPr>
        <w:pStyle w:val="NormalnyWeb"/>
        <w:spacing w:before="120" w:beforeAutospacing="0" w:after="120" w:afterAutospacing="0" w:line="276" w:lineRule="auto"/>
        <w:rPr>
          <w:rStyle w:val="Pogrubienie"/>
          <w:rFonts w:ascii="Calibri" w:hAnsi="Calibri" w:cs="Calibri"/>
          <w:b w:val="0"/>
          <w:bCs w:val="0"/>
        </w:rPr>
      </w:pPr>
      <w:r w:rsidRPr="002016F8">
        <w:rPr>
          <w:rFonts w:ascii="Calibri" w:hAnsi="Calibri" w:cs="Calibri"/>
        </w:rPr>
        <w:t>Nabory kierowane są do instytucji wspierających biznes, instytucji nauki i edukacji oraz przedsiębiorstw.</w:t>
      </w:r>
    </w:p>
    <w:p w14:paraId="666FB71E" w14:textId="77777777" w:rsidR="002B69DA" w:rsidRPr="002016F8" w:rsidRDefault="002B69DA" w:rsidP="002016F8">
      <w:pPr>
        <w:pStyle w:val="NormalnyWeb"/>
        <w:spacing w:before="120" w:beforeAutospacing="0" w:after="120" w:afterAutospacing="0" w:line="276" w:lineRule="auto"/>
        <w:rPr>
          <w:rStyle w:val="Pogrubienie"/>
          <w:rFonts w:ascii="Calibri" w:hAnsi="Calibri" w:cs="Calibri"/>
        </w:rPr>
      </w:pPr>
      <w:r w:rsidRPr="002016F8">
        <w:rPr>
          <w:rStyle w:val="Pogrubienie"/>
          <w:rFonts w:ascii="Calibri" w:hAnsi="Calibri" w:cs="Calibri"/>
        </w:rPr>
        <w:t xml:space="preserve">Granty na </w:t>
      </w:r>
      <w:proofErr w:type="spellStart"/>
      <w:r w:rsidRPr="002016F8">
        <w:rPr>
          <w:rStyle w:val="Pogrubienie"/>
          <w:rFonts w:ascii="Calibri" w:hAnsi="Calibri" w:cs="Calibri"/>
        </w:rPr>
        <w:t>Eurogranty</w:t>
      </w:r>
      <w:proofErr w:type="spellEnd"/>
      <w:r w:rsidRPr="002016F8">
        <w:rPr>
          <w:rStyle w:val="Pogrubienie"/>
          <w:rFonts w:ascii="Calibri" w:hAnsi="Calibri" w:cs="Calibri"/>
        </w:rPr>
        <w:t xml:space="preserve"> </w:t>
      </w:r>
    </w:p>
    <w:p w14:paraId="66D0FAA0" w14:textId="77777777" w:rsidR="002016F8" w:rsidRPr="002016F8" w:rsidRDefault="002016F8" w:rsidP="002016F8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2016F8">
        <w:rPr>
          <w:rFonts w:ascii="Calibri" w:hAnsi="Calibri" w:cs="Calibri"/>
        </w:rPr>
        <w:t xml:space="preserve">Przesunięto termin naboru przeznaczony dla mikro, małych i średnich firm. Ogłoszenie konkursu planowane jest w styczniu 2024 r., a jego start 20 lutego 2024 r. </w:t>
      </w:r>
    </w:p>
    <w:p w14:paraId="7A2BA835" w14:textId="77777777" w:rsidR="002016F8" w:rsidRPr="002016F8" w:rsidRDefault="002016F8" w:rsidP="002016F8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2016F8">
        <w:rPr>
          <w:rFonts w:ascii="Calibri" w:hAnsi="Calibri" w:cs="Calibri"/>
        </w:rPr>
        <w:t>Jego celem jest wzrost innowacyjności i umiędzynarodowienia polskich przedsiębiorców z sektora MŚP oraz organizacji badawczych, poprzez zwiększenie udziału tych podmiotów w programach Unii Europejskiej (UE) zarządzanych przez Komisję Europejską.</w:t>
      </w:r>
    </w:p>
    <w:p w14:paraId="77E10285" w14:textId="77777777" w:rsidR="002016F8" w:rsidRPr="002016F8" w:rsidRDefault="002016F8" w:rsidP="002016F8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2016F8">
        <w:rPr>
          <w:rFonts w:ascii="Calibri" w:hAnsi="Calibri" w:cs="Calibri"/>
        </w:rPr>
        <w:t xml:space="preserve">Działania objęte </w:t>
      </w:r>
      <w:bookmarkStart w:id="1" w:name="_GoBack"/>
      <w:bookmarkEnd w:id="1"/>
      <w:r w:rsidRPr="002016F8">
        <w:rPr>
          <w:rFonts w:ascii="Calibri" w:hAnsi="Calibri" w:cs="Calibri"/>
        </w:rPr>
        <w:t>dofinansowaniem to: kompleksowe wsparcie dla MŚP i grup MŚP w przygotowaniu projektu realizowanego w ramach jednego z Programów UE (poszukiwanie partnerów do projektu, przygotowanie, korekta i prezentacja tego projektu).</w:t>
      </w:r>
    </w:p>
    <w:p w14:paraId="0E2A9F88" w14:textId="77777777" w:rsidR="002016F8" w:rsidRPr="002016F8" w:rsidRDefault="002016F8" w:rsidP="002016F8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2016F8">
        <w:rPr>
          <w:rFonts w:ascii="Calibri" w:hAnsi="Calibri" w:cs="Calibri"/>
        </w:rPr>
        <w:t>Beneficjentami konkursu mogą być MŚP, organizacje badawcze, uczelnie wyższe, jednostki naukowe.</w:t>
      </w:r>
    </w:p>
    <w:p w14:paraId="43390761" w14:textId="77777777" w:rsidR="00962C6E" w:rsidRDefault="00962C6E" w:rsidP="002016F8">
      <w:pPr>
        <w:pStyle w:val="NormalnyWeb"/>
        <w:spacing w:before="120" w:beforeAutospacing="0" w:after="120" w:afterAutospacing="0" w:line="276" w:lineRule="auto"/>
        <w:rPr>
          <w:rStyle w:val="Pogrubienie"/>
          <w:rFonts w:ascii="Calibri" w:hAnsi="Calibri" w:cs="Calibri"/>
        </w:rPr>
      </w:pPr>
    </w:p>
    <w:p w14:paraId="1436D796" w14:textId="7474E318" w:rsidR="002016F8" w:rsidRPr="002016F8" w:rsidRDefault="002016F8" w:rsidP="002016F8">
      <w:pPr>
        <w:pStyle w:val="NormalnyWeb"/>
        <w:spacing w:before="120" w:beforeAutospacing="0" w:after="120" w:afterAutospacing="0" w:line="276" w:lineRule="auto"/>
        <w:rPr>
          <w:rStyle w:val="Pogrubienie"/>
          <w:rFonts w:ascii="Calibri" w:hAnsi="Calibri" w:cs="Calibri"/>
        </w:rPr>
      </w:pPr>
      <w:r w:rsidRPr="002016F8">
        <w:rPr>
          <w:rStyle w:val="Pogrubienie"/>
          <w:rFonts w:ascii="Calibri" w:hAnsi="Calibri" w:cs="Calibri"/>
        </w:rPr>
        <w:lastRenderedPageBreak/>
        <w:t>Promocja marki innowacyjnych MŚP</w:t>
      </w:r>
    </w:p>
    <w:p w14:paraId="16F94B4B" w14:textId="77777777" w:rsidR="002016F8" w:rsidRPr="002016F8" w:rsidRDefault="002016F8" w:rsidP="002016F8">
      <w:pPr>
        <w:pStyle w:val="NormalnyWeb"/>
        <w:spacing w:before="120" w:beforeAutospacing="0" w:after="120" w:afterAutospacing="0" w:line="276" w:lineRule="auto"/>
        <w:rPr>
          <w:rStyle w:val="Pogrubienie"/>
          <w:rFonts w:ascii="Calibri" w:hAnsi="Calibri" w:cs="Calibri"/>
          <w:b w:val="0"/>
        </w:rPr>
      </w:pPr>
      <w:r w:rsidRPr="002016F8">
        <w:rPr>
          <w:rStyle w:val="Pogrubienie"/>
          <w:rFonts w:ascii="Calibri" w:hAnsi="Calibri" w:cs="Calibri"/>
          <w:b w:val="0"/>
        </w:rPr>
        <w:t>Nowa data ogłoszenia konkursu to 14 września 2023 r., a jego start to – 16 października br.</w:t>
      </w:r>
    </w:p>
    <w:p w14:paraId="74CA3FC1" w14:textId="77777777" w:rsidR="002016F8" w:rsidRPr="002016F8" w:rsidRDefault="002016F8" w:rsidP="002016F8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2016F8">
        <w:rPr>
          <w:rFonts w:ascii="Calibri" w:hAnsi="Calibri" w:cs="Calibri"/>
        </w:rPr>
        <w:t>Celem konkursu jest rozwój działalności i umiędzynarodowienie MŚP w celu zwiększenia ich dostępu do tradycyjnych oraz perspektywicznych rynków, poprzez wzmocnienie potencjału eksportowego, wspieranie trwałego wzrostu i konkurencyjności MŚP oraz tworzenie miejsc pracy w tym sektorze.</w:t>
      </w:r>
    </w:p>
    <w:p w14:paraId="0DFCC235" w14:textId="77777777" w:rsidR="002016F8" w:rsidRPr="002016F8" w:rsidRDefault="002016F8" w:rsidP="002016F8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2016F8">
        <w:rPr>
          <w:rFonts w:ascii="Calibri" w:hAnsi="Calibri" w:cs="Calibri"/>
        </w:rPr>
        <w:t>Działania objęte dofinansowaniem to: promowanie polskich marek produktowych z sektora MŚP poprzez Markę Polskiej Gospodarki, wsparcie w realizacji strategii ekspansji zagranicznej oraz dopasowania produktów i usług do konkretnych rynków docelowych, segmentów klientów i kanałów sprzedaży. Ponadto wsparcie projektów przedsiębiorców posiadających znaczący potencjał eksportowy na rynkach międzynarodowych, przewidujących udział w wydarzeniach targowych i konferencyjnych, wyjazdowe misje gospodarcze.</w:t>
      </w:r>
    </w:p>
    <w:p w14:paraId="34B31EBB" w14:textId="77777777" w:rsidR="002016F8" w:rsidRPr="002016F8" w:rsidRDefault="002016F8" w:rsidP="002016F8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2016F8">
        <w:rPr>
          <w:rStyle w:val="Pogrubienie"/>
          <w:rFonts w:ascii="Calibri" w:hAnsi="Calibri" w:cs="Calibri"/>
        </w:rPr>
        <w:t>Startup Booster Poland</w:t>
      </w:r>
    </w:p>
    <w:p w14:paraId="56AEBD9B" w14:textId="77777777" w:rsidR="002B69DA" w:rsidRPr="002016F8" w:rsidRDefault="002016F8" w:rsidP="002016F8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2016F8">
        <w:rPr>
          <w:rFonts w:ascii="Calibri" w:hAnsi="Calibri" w:cs="Calibri"/>
        </w:rPr>
        <w:t xml:space="preserve">Przesunięcie ogłoszenia naboru w Startup Booster Poland (ścieżka </w:t>
      </w:r>
      <w:proofErr w:type="spellStart"/>
      <w:r w:rsidRPr="002016F8">
        <w:rPr>
          <w:rFonts w:ascii="Calibri" w:hAnsi="Calibri" w:cs="Calibri"/>
        </w:rPr>
        <w:t>SmartUP</w:t>
      </w:r>
      <w:proofErr w:type="spellEnd"/>
      <w:r w:rsidRPr="002016F8">
        <w:rPr>
          <w:rFonts w:ascii="Calibri" w:hAnsi="Calibri" w:cs="Calibri"/>
        </w:rPr>
        <w:t>). Nowa data ogłoszenie konkursu to 24 maja br.</w:t>
      </w:r>
    </w:p>
    <w:p w14:paraId="08ACBCB4" w14:textId="77777777" w:rsidR="002016F8" w:rsidRPr="002016F8" w:rsidRDefault="002016F8" w:rsidP="002016F8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2016F8">
        <w:rPr>
          <w:rFonts w:ascii="Calibri" w:hAnsi="Calibri" w:cs="Calibri"/>
        </w:rPr>
        <w:t xml:space="preserve">W ramach konkursu, dofinansowanie obejmuje takie działania jak: programy rozwojowe o charakterze akceleracyjnym i post-akceleracyjnym dla innowacyjnych przedsiębiorstw na wczesnym etapie rozwoju (startupów), realizowane przez wyspecjalizowane podmioty (w szczególności akceleratory i inne ośrodki innowacyjności). Programy realizowane będą przy zaangażowaniu operatorów – akceleratorów, w zależności od rodzaju programu akceleracyjnego przewiduje się finansowanie w formie grantu dla startupów z przeznaczeniem na m.in. mentoringi specjalistyczne, </w:t>
      </w:r>
      <w:proofErr w:type="spellStart"/>
      <w:r w:rsidRPr="002016F8">
        <w:rPr>
          <w:rFonts w:ascii="Calibri" w:hAnsi="Calibri" w:cs="Calibri"/>
        </w:rPr>
        <w:t>match-making</w:t>
      </w:r>
      <w:proofErr w:type="spellEnd"/>
      <w:r w:rsidRPr="002016F8">
        <w:rPr>
          <w:rFonts w:ascii="Calibri" w:hAnsi="Calibri" w:cs="Calibri"/>
        </w:rPr>
        <w:t xml:space="preserve"> z korporacjami, wsparcie w skalowaniu działalności na arenie międzynarodowej, wsparcie </w:t>
      </w:r>
      <w:proofErr w:type="spellStart"/>
      <w:r w:rsidRPr="002016F8">
        <w:rPr>
          <w:rFonts w:ascii="Calibri" w:hAnsi="Calibri" w:cs="Calibri"/>
        </w:rPr>
        <w:t>soft-landingowe</w:t>
      </w:r>
      <w:proofErr w:type="spellEnd"/>
      <w:r w:rsidRPr="002016F8">
        <w:rPr>
          <w:rFonts w:ascii="Calibri" w:hAnsi="Calibri" w:cs="Calibri"/>
        </w:rPr>
        <w:t xml:space="preserve"> dla startupów spoza Polski oraz budowanie gotowości inwestycyjnej (zaangażowanie podmiotów VC).</w:t>
      </w:r>
    </w:p>
    <w:p w14:paraId="65CFED40" w14:textId="77777777" w:rsidR="002016F8" w:rsidRPr="002016F8" w:rsidRDefault="002016F8" w:rsidP="002016F8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2016F8">
        <w:rPr>
          <w:rFonts w:ascii="Calibri" w:hAnsi="Calibri" w:cs="Calibri"/>
        </w:rPr>
        <w:t xml:space="preserve">Wnioski mogą składać MŚP oraz instytucje otoczenia biznesu. </w:t>
      </w:r>
    </w:p>
    <w:p w14:paraId="74CDA25D" w14:textId="77777777" w:rsidR="002016F8" w:rsidRPr="002016F8" w:rsidRDefault="00962C6E" w:rsidP="002016F8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hyperlink r:id="rId7" w:history="1">
        <w:r w:rsidR="002016F8" w:rsidRPr="002016F8">
          <w:rPr>
            <w:rStyle w:val="Hipercze"/>
            <w:rFonts w:ascii="Calibri" w:hAnsi="Calibri" w:cs="Calibri"/>
          </w:rPr>
          <w:t>Zaktualizowany harmonogram znajduje się na stronie.</w:t>
        </w:r>
      </w:hyperlink>
    </w:p>
    <w:p w14:paraId="0FDABC21" w14:textId="77777777" w:rsidR="002016F8" w:rsidRDefault="002016F8" w:rsidP="002B69DA">
      <w:pPr>
        <w:pStyle w:val="Normalny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B4FE64" wp14:editId="79901545">
            <wp:simplePos x="0" y="0"/>
            <wp:positionH relativeFrom="page">
              <wp:posOffset>-231140</wp:posOffset>
            </wp:positionH>
            <wp:positionV relativeFrom="paragraph">
              <wp:posOffset>215265</wp:posOffset>
            </wp:positionV>
            <wp:extent cx="7848248" cy="93345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248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FF8A8" w14:textId="77777777" w:rsidR="002B69DA" w:rsidRPr="002B69DA" w:rsidRDefault="002B69DA" w:rsidP="002B69DA"/>
    <w:sectPr w:rsidR="002B69DA" w:rsidRPr="002B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CE"/>
    <w:rsid w:val="001D4CCE"/>
    <w:rsid w:val="002016F8"/>
    <w:rsid w:val="002B69DA"/>
    <w:rsid w:val="003D4894"/>
    <w:rsid w:val="006A67A5"/>
    <w:rsid w:val="006E3AD5"/>
    <w:rsid w:val="00770DA6"/>
    <w:rsid w:val="009347DD"/>
    <w:rsid w:val="00962C6E"/>
    <w:rsid w:val="00AA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58F9"/>
  <w15:chartTrackingRefBased/>
  <w15:docId w15:val="{B0F2C0FD-26D2-4CAB-998F-602D7736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4CCE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4CCE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4CCE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1D4CC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D4CCE"/>
    <w:rPr>
      <w:rFonts w:ascii="Calibri" w:eastAsiaTheme="majorEastAsia" w:hAnsi="Calibri" w:cstheme="majorBidi"/>
      <w:b/>
      <w:sz w:val="28"/>
      <w:szCs w:val="26"/>
    </w:rPr>
  </w:style>
  <w:style w:type="paragraph" w:styleId="NormalnyWeb">
    <w:name w:val="Normal (Web)"/>
    <w:basedOn w:val="Normalny"/>
    <w:uiPriority w:val="99"/>
    <w:semiHidden/>
    <w:unhideWhenUsed/>
    <w:rsid w:val="002B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16F8"/>
    <w:rPr>
      <w:color w:val="605E5C"/>
      <w:shd w:val="clear" w:color="auto" w:fill="E1DFDD"/>
    </w:rPr>
  </w:style>
  <w:style w:type="paragraph" w:customStyle="1" w:styleId="DomylneA">
    <w:name w:val="Domyślne A"/>
    <w:rsid w:val="003D4894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3D4894"/>
  </w:style>
  <w:style w:type="character" w:customStyle="1" w:styleId="Hyperlink0">
    <w:name w:val="Hyperlink.0"/>
    <w:basedOn w:val="Brak"/>
    <w:rsid w:val="003D4894"/>
    <w:rPr>
      <w:rFonts w:ascii="Calibri" w:eastAsia="Calibri" w:hAnsi="Calibri" w:cs="Calibri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4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7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7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7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7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7D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A67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nowoczesnagospodarka.gov.pl/strony/dowiedz-sie-wiecej-o-programie/nabory-wniosko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uiza_nowicka@parp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8DA37-165D-4EC4-A3F0-5AB47F62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 Luiza</dc:creator>
  <cp:keywords/>
  <dc:description/>
  <cp:lastModifiedBy>Nowicka Luiza</cp:lastModifiedBy>
  <cp:revision>2</cp:revision>
  <dcterms:created xsi:type="dcterms:W3CDTF">2023-04-03T15:26:00Z</dcterms:created>
  <dcterms:modified xsi:type="dcterms:W3CDTF">2023-04-03T15:26:00Z</dcterms:modified>
</cp:coreProperties>
</file>