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CBF4" w14:textId="77777777" w:rsidR="003A355C" w:rsidRDefault="003A355C">
      <w:pPr>
        <w:pBdr>
          <w:top w:val="nil"/>
          <w:left w:val="nil"/>
          <w:bottom w:val="nil"/>
          <w:right w:val="nil"/>
          <w:between w:val="nil"/>
        </w:pBdr>
        <w:rPr>
          <w:b/>
          <w:color w:val="000000"/>
          <w:sz w:val="24"/>
          <w:szCs w:val="24"/>
        </w:rPr>
      </w:pPr>
    </w:p>
    <w:p w14:paraId="1A025457" w14:textId="77777777" w:rsidR="003A355C" w:rsidRPr="009515E0" w:rsidRDefault="00000000">
      <w:pPr>
        <w:pBdr>
          <w:top w:val="nil"/>
          <w:left w:val="nil"/>
          <w:bottom w:val="nil"/>
          <w:right w:val="nil"/>
          <w:between w:val="nil"/>
        </w:pBdr>
        <w:rPr>
          <w:color w:val="000000"/>
          <w:sz w:val="24"/>
          <w:szCs w:val="24"/>
        </w:rPr>
      </w:pPr>
      <w:r w:rsidRPr="009515E0">
        <w:rPr>
          <w:color w:val="000000"/>
          <w:sz w:val="24"/>
          <w:szCs w:val="24"/>
        </w:rPr>
        <w:t xml:space="preserve">Informacja prasowa                                                                                  </w:t>
      </w:r>
      <w:r w:rsidRPr="009515E0">
        <w:rPr>
          <w:sz w:val="24"/>
          <w:szCs w:val="24"/>
        </w:rPr>
        <w:t>19</w:t>
      </w:r>
      <w:r w:rsidRPr="009515E0">
        <w:rPr>
          <w:color w:val="000000"/>
          <w:sz w:val="24"/>
          <w:szCs w:val="24"/>
        </w:rPr>
        <w:t>.0</w:t>
      </w:r>
      <w:r w:rsidRPr="009515E0">
        <w:rPr>
          <w:sz w:val="24"/>
          <w:szCs w:val="24"/>
        </w:rPr>
        <w:t>4</w:t>
      </w:r>
      <w:r w:rsidRPr="009515E0">
        <w:rPr>
          <w:color w:val="000000"/>
          <w:sz w:val="24"/>
          <w:szCs w:val="24"/>
        </w:rPr>
        <w:t xml:space="preserve">.2023 r. </w:t>
      </w:r>
    </w:p>
    <w:p w14:paraId="666A5B74" w14:textId="77777777" w:rsidR="003A355C" w:rsidRPr="009515E0" w:rsidRDefault="003A355C">
      <w:pPr>
        <w:pBdr>
          <w:top w:val="nil"/>
          <w:left w:val="nil"/>
          <w:bottom w:val="nil"/>
          <w:right w:val="nil"/>
          <w:between w:val="nil"/>
        </w:pBdr>
        <w:rPr>
          <w:b/>
          <w:color w:val="000000"/>
          <w:sz w:val="26"/>
          <w:szCs w:val="26"/>
        </w:rPr>
      </w:pPr>
    </w:p>
    <w:p w14:paraId="194366C8" w14:textId="77777777" w:rsidR="003A355C" w:rsidRPr="009515E0" w:rsidRDefault="003A355C">
      <w:pPr>
        <w:pBdr>
          <w:top w:val="nil"/>
          <w:left w:val="nil"/>
          <w:bottom w:val="nil"/>
          <w:right w:val="nil"/>
          <w:between w:val="nil"/>
        </w:pBdr>
        <w:jc w:val="center"/>
        <w:rPr>
          <w:b/>
          <w:sz w:val="26"/>
          <w:szCs w:val="26"/>
        </w:rPr>
      </w:pPr>
    </w:p>
    <w:p w14:paraId="49CAC0E0" w14:textId="77777777" w:rsidR="003A355C" w:rsidRPr="009515E0" w:rsidRDefault="00000000">
      <w:pPr>
        <w:spacing w:line="240" w:lineRule="auto"/>
        <w:jc w:val="center"/>
        <w:rPr>
          <w:b/>
          <w:sz w:val="30"/>
          <w:szCs w:val="30"/>
        </w:rPr>
      </w:pPr>
      <w:r w:rsidRPr="009515E0">
        <w:rPr>
          <w:b/>
          <w:sz w:val="30"/>
          <w:szCs w:val="30"/>
        </w:rPr>
        <w:t xml:space="preserve">Rolnictwo </w:t>
      </w:r>
      <w:r w:rsidRPr="009515E0">
        <w:rPr>
          <w:b/>
          <w:noProof/>
          <w:sz w:val="30"/>
          <w:szCs w:val="30"/>
        </w:rPr>
        <w:t>węglowe</w:t>
      </w:r>
      <w:r w:rsidRPr="009515E0">
        <w:rPr>
          <w:b/>
          <w:sz w:val="30"/>
          <w:szCs w:val="30"/>
        </w:rPr>
        <w:t xml:space="preserve"> sposobem na poprawę koniunktury polskich gospodarstw rolnych</w:t>
      </w:r>
    </w:p>
    <w:p w14:paraId="02563063" w14:textId="77777777" w:rsidR="003A355C" w:rsidRPr="009515E0" w:rsidRDefault="003A355C">
      <w:pPr>
        <w:spacing w:line="240" w:lineRule="auto"/>
        <w:jc w:val="center"/>
        <w:rPr>
          <w:b/>
          <w:sz w:val="30"/>
          <w:szCs w:val="30"/>
        </w:rPr>
      </w:pPr>
    </w:p>
    <w:p w14:paraId="3F8B05BB" w14:textId="77777777" w:rsidR="003A355C" w:rsidRPr="009515E0" w:rsidRDefault="003A355C">
      <w:pPr>
        <w:spacing w:line="240" w:lineRule="auto"/>
        <w:jc w:val="center"/>
        <w:rPr>
          <w:b/>
          <w:sz w:val="30"/>
          <w:szCs w:val="30"/>
        </w:rPr>
      </w:pPr>
    </w:p>
    <w:p w14:paraId="5367A084" w14:textId="77777777" w:rsidR="003A355C" w:rsidRPr="009515E0" w:rsidRDefault="00000000">
      <w:pPr>
        <w:spacing w:line="240" w:lineRule="auto"/>
        <w:jc w:val="both"/>
        <w:rPr>
          <w:b/>
          <w:sz w:val="26"/>
          <w:szCs w:val="26"/>
        </w:rPr>
      </w:pPr>
      <w:r w:rsidRPr="009515E0">
        <w:rPr>
          <w:b/>
          <w:sz w:val="26"/>
          <w:szCs w:val="26"/>
        </w:rPr>
        <w:t>Nastroje w polskim rolnictwie w ostatnim czasie nie są optymistyczne. Potwierdzają to najnowsze dane GUS - w II półroczu 2022 r. pogorszenie koniunktury sygnalizowało 43,6% kierujących gospodarstwami rolnymi, a poprawę jedynie około 6%</w:t>
      </w:r>
      <w:r w:rsidRPr="009515E0">
        <w:rPr>
          <w:b/>
          <w:sz w:val="26"/>
          <w:szCs w:val="26"/>
          <w:vertAlign w:val="superscript"/>
        </w:rPr>
        <w:footnoteReference w:id="1"/>
      </w:r>
      <w:r w:rsidRPr="009515E0">
        <w:rPr>
          <w:b/>
          <w:sz w:val="26"/>
          <w:szCs w:val="26"/>
        </w:rPr>
        <w:t xml:space="preserve">. Sposobem na realne polepszenie sytuacji finansowej rolników może być sprzedaż certyfikatów węglowych, uzyskiwanych dzięki wdrożeniu działań w ramach zrównoważonego rolnictwa. </w:t>
      </w:r>
    </w:p>
    <w:p w14:paraId="4985C0AB" w14:textId="77777777" w:rsidR="003A355C" w:rsidRPr="009515E0" w:rsidRDefault="003A355C">
      <w:pPr>
        <w:spacing w:line="240" w:lineRule="auto"/>
        <w:jc w:val="both"/>
        <w:rPr>
          <w:b/>
          <w:sz w:val="26"/>
          <w:szCs w:val="26"/>
        </w:rPr>
      </w:pPr>
    </w:p>
    <w:p w14:paraId="2B3D3C5C" w14:textId="77777777" w:rsidR="003A355C" w:rsidRPr="009515E0" w:rsidRDefault="00000000">
      <w:pPr>
        <w:spacing w:line="240" w:lineRule="auto"/>
        <w:jc w:val="both"/>
        <w:rPr>
          <w:sz w:val="26"/>
          <w:szCs w:val="26"/>
        </w:rPr>
      </w:pPr>
      <w:r w:rsidRPr="009515E0">
        <w:rPr>
          <w:sz w:val="26"/>
          <w:szCs w:val="26"/>
        </w:rPr>
        <w:t>Na ulicach polskich miast od wielu dni trwają protesty rolników, którzy domagają się zdecydowanych i konkretnych rozwiązań, mających poskutkować zwiększeniem popytu na wytwarzane przez nich produkty. Strajki wynikają m.in. z obniżających się już od dłuższego czasu nastrojów w polskim rolnictwie. W przeprowadzonym przez GUS</w:t>
      </w:r>
      <w:r w:rsidRPr="009515E0">
        <w:rPr>
          <w:sz w:val="26"/>
          <w:szCs w:val="26"/>
          <w:vertAlign w:val="superscript"/>
        </w:rPr>
        <w:footnoteReference w:id="2"/>
      </w:r>
      <w:r w:rsidRPr="009515E0">
        <w:rPr>
          <w:sz w:val="26"/>
          <w:szCs w:val="26"/>
        </w:rPr>
        <w:t xml:space="preserve"> badaniu koniunktury w gospodarstwach rolnych w drugiej połowie 2022 roku najbardziej pesymistyczne oceny wyrażali użytkownicy gospodarstw specjalizujących się w uprawie roślin (przewaga opinii negatywnych nad pozytywnymi wyniosła minus 18,4 p. proc.). </w:t>
      </w:r>
    </w:p>
    <w:p w14:paraId="67415FE6" w14:textId="77777777" w:rsidR="003A355C" w:rsidRPr="009515E0" w:rsidRDefault="003A355C">
      <w:pPr>
        <w:spacing w:line="240" w:lineRule="auto"/>
        <w:jc w:val="both"/>
        <w:rPr>
          <w:sz w:val="26"/>
          <w:szCs w:val="26"/>
        </w:rPr>
      </w:pPr>
    </w:p>
    <w:p w14:paraId="5208E986" w14:textId="77777777" w:rsidR="003A355C" w:rsidRPr="009515E0" w:rsidRDefault="00000000">
      <w:pPr>
        <w:spacing w:line="240" w:lineRule="auto"/>
        <w:jc w:val="both"/>
        <w:rPr>
          <w:b/>
          <w:sz w:val="26"/>
          <w:szCs w:val="26"/>
        </w:rPr>
      </w:pPr>
      <w:r w:rsidRPr="009515E0">
        <w:rPr>
          <w:b/>
          <w:sz w:val="26"/>
          <w:szCs w:val="26"/>
        </w:rPr>
        <w:t xml:space="preserve">Jakie czynniki wpływają na tę sytuację? </w:t>
      </w:r>
    </w:p>
    <w:p w14:paraId="3AF393E5" w14:textId="77777777" w:rsidR="003A355C" w:rsidRPr="009515E0" w:rsidRDefault="00000000">
      <w:pPr>
        <w:spacing w:line="240" w:lineRule="auto"/>
        <w:jc w:val="both"/>
        <w:rPr>
          <w:sz w:val="26"/>
          <w:szCs w:val="26"/>
        </w:rPr>
      </w:pPr>
      <w:r w:rsidRPr="009515E0">
        <w:rPr>
          <w:sz w:val="26"/>
          <w:szCs w:val="26"/>
        </w:rPr>
        <w:t xml:space="preserve">Jako główną barierę ograniczającą rozwój gospodarstwa rolnego w analizowanym okresie rolnicy wskazali zbyt wysokie koszty produkcji (26,5%). Wśród pozostałych czynników negatywnie wpływających na rozwój gospodarstw najczęściej wskazywane były niekorzystne warunki atmosferyczne. Dodatkowo tylko 27,8% rolników w 2022 r. przeznaczyło posiadane środki finansowe na inwestycje, które mogłyby poprawić wydajność ich działalności, a zdecydowana większość użytkowników gospodarstw rolnych w 2022 r., przeznaczyła posiadane środki na wydatki związane z prowadzeniem bieżącej działalności rolniczej. </w:t>
      </w:r>
    </w:p>
    <w:p w14:paraId="2D7D8658" w14:textId="77777777" w:rsidR="003A355C" w:rsidRPr="009515E0" w:rsidRDefault="003A355C">
      <w:pPr>
        <w:spacing w:line="240" w:lineRule="auto"/>
        <w:jc w:val="both"/>
        <w:rPr>
          <w:b/>
          <w:sz w:val="26"/>
          <w:szCs w:val="26"/>
        </w:rPr>
      </w:pPr>
    </w:p>
    <w:p w14:paraId="4397A2C1" w14:textId="77777777" w:rsidR="003A355C" w:rsidRPr="009515E0" w:rsidRDefault="00000000">
      <w:pPr>
        <w:spacing w:line="240" w:lineRule="auto"/>
        <w:jc w:val="both"/>
        <w:rPr>
          <w:b/>
          <w:sz w:val="26"/>
          <w:szCs w:val="26"/>
        </w:rPr>
      </w:pPr>
      <w:r w:rsidRPr="009515E0">
        <w:rPr>
          <w:b/>
          <w:sz w:val="26"/>
          <w:szCs w:val="26"/>
        </w:rPr>
        <w:t xml:space="preserve">Jakie kroki mogą podjąć rolnicy, aby poprawić wyniki gospodarstwa? </w:t>
      </w:r>
    </w:p>
    <w:p w14:paraId="2B4B9637" w14:textId="07F8F5D6" w:rsidR="003A355C" w:rsidRPr="009515E0" w:rsidRDefault="00000000">
      <w:pPr>
        <w:spacing w:line="240" w:lineRule="auto"/>
        <w:jc w:val="both"/>
        <w:rPr>
          <w:sz w:val="26"/>
          <w:szCs w:val="26"/>
        </w:rPr>
      </w:pPr>
      <w:r w:rsidRPr="009515E0">
        <w:rPr>
          <w:sz w:val="26"/>
          <w:szCs w:val="26"/>
        </w:rPr>
        <w:t xml:space="preserve">Gospodarstwa rolne mogą podjąć konkretne działania, aby realnie poprawić swoją sytuacją finansową. Jednym z nich jest przejście na rolnictwo węglowe, które długofalowo niweluje wskazane wyżej czynniki pogarszające koniunkturę. Polega ono na wprowadzeniu takich rozwiązań, jak uprawa </w:t>
      </w:r>
      <w:proofErr w:type="spellStart"/>
      <w:r w:rsidRPr="009515E0">
        <w:rPr>
          <w:sz w:val="26"/>
          <w:szCs w:val="26"/>
        </w:rPr>
        <w:t>bezorkowa</w:t>
      </w:r>
      <w:proofErr w:type="spellEnd"/>
      <w:r w:rsidRPr="009515E0">
        <w:rPr>
          <w:sz w:val="26"/>
          <w:szCs w:val="26"/>
        </w:rPr>
        <w:t xml:space="preserve">, pasowa lub minimalna, a także płodozmian i zarządzanie resztkami pożniwnymi. </w:t>
      </w:r>
      <w:r w:rsidRPr="009515E0">
        <w:rPr>
          <w:sz w:val="26"/>
          <w:szCs w:val="26"/>
        </w:rPr>
        <w:lastRenderedPageBreak/>
        <w:t xml:space="preserve">Stosowanie tych praktyk obniża koszty uzyskiwania plonów, wpływa na ich zwiększenie oraz wzrost ich odporności na skutki zmian klimatycznych. Przykładowo, uprawa </w:t>
      </w:r>
      <w:proofErr w:type="spellStart"/>
      <w:r w:rsidRPr="009515E0">
        <w:rPr>
          <w:sz w:val="26"/>
          <w:szCs w:val="26"/>
        </w:rPr>
        <w:t>bezorkowa</w:t>
      </w:r>
      <w:proofErr w:type="spellEnd"/>
      <w:r w:rsidRPr="009515E0">
        <w:rPr>
          <w:sz w:val="26"/>
          <w:szCs w:val="26"/>
        </w:rPr>
        <w:t xml:space="preserve"> może znacząco poprawić stan zdegradowanych gleb. Stosowanie większej liczby zrównoważonych praktyk minimalizuje także erozję gleby, oczyszcza wody powierzchniowe i gruntowe, sprawiając, że wszelkie substancje odżywcze nie spływają i zwiększają wydolność plonów. Wprowadzenie wymienionych praktyk pozwala</w:t>
      </w:r>
      <w:r w:rsidR="003F3D21" w:rsidRPr="009515E0">
        <w:rPr>
          <w:sz w:val="26"/>
          <w:szCs w:val="26"/>
        </w:rPr>
        <w:t xml:space="preserve"> na</w:t>
      </w:r>
      <w:r w:rsidRPr="009515E0">
        <w:rPr>
          <w:sz w:val="26"/>
          <w:szCs w:val="26"/>
        </w:rPr>
        <w:t xml:space="preserve"> znaczne ograniczenie kosztów poprzez zmniejszenie wydatków na nawozy syntetyczne oraz pestycydy. Warto jednak zaznaczyć, że największą zaletą zrównoważonych metod uprawnych jest możliwość generowania przez rolników dodatkowego przychodu poprzez sprzedaż certyfikatów węglowych w ramach rolnictwa węglowego. </w:t>
      </w:r>
    </w:p>
    <w:p w14:paraId="0DCE7621" w14:textId="77777777" w:rsidR="003A355C" w:rsidRPr="009515E0" w:rsidRDefault="003A355C">
      <w:pPr>
        <w:spacing w:line="240" w:lineRule="auto"/>
        <w:jc w:val="both"/>
        <w:rPr>
          <w:sz w:val="26"/>
          <w:szCs w:val="26"/>
        </w:rPr>
      </w:pPr>
    </w:p>
    <w:p w14:paraId="449681AA" w14:textId="77777777" w:rsidR="003A355C" w:rsidRPr="009515E0" w:rsidRDefault="00000000">
      <w:pPr>
        <w:spacing w:line="240" w:lineRule="auto"/>
        <w:jc w:val="both"/>
        <w:rPr>
          <w:i/>
          <w:sz w:val="26"/>
          <w:szCs w:val="26"/>
        </w:rPr>
      </w:pPr>
      <w:r w:rsidRPr="009515E0">
        <w:rPr>
          <w:b/>
          <w:sz w:val="26"/>
          <w:szCs w:val="26"/>
        </w:rPr>
        <w:t xml:space="preserve">Jak zostać rolnikiem węglowym? </w:t>
      </w:r>
    </w:p>
    <w:p w14:paraId="5CF94101" w14:textId="20A0587D" w:rsidR="003A355C" w:rsidRPr="009515E0" w:rsidRDefault="00000000">
      <w:pPr>
        <w:spacing w:line="240" w:lineRule="auto"/>
        <w:jc w:val="both"/>
        <w:rPr>
          <w:sz w:val="26"/>
          <w:szCs w:val="26"/>
        </w:rPr>
      </w:pPr>
      <w:r w:rsidRPr="009515E0">
        <w:rPr>
          <w:sz w:val="26"/>
          <w:szCs w:val="26"/>
        </w:rPr>
        <w:t xml:space="preserve">Proces przejścia na zrównoważone rolnictwo wymaga kilku zmian w stosunku do konwencjonalnych praktyk rolniczych. - </w:t>
      </w:r>
      <w:r w:rsidRPr="009515E0">
        <w:rPr>
          <w:i/>
          <w:sz w:val="26"/>
          <w:szCs w:val="26"/>
        </w:rPr>
        <w:t>Pierwszym krokiem jest zawsze zapoznanie się z obecnie stosowanymi w gospodarstwie praktykami. Następnie pobierane są próbki z gleby z pól, które są oceniane przez międzynarodowy zespół naukowców pod kątem jej potencjału w zakresie pochłaniania węgla i oszacowania jej jakości. Ten czynnik w dużej mierze wpływa na możliwości zarobkowe gospodarstwa. W kolejnych krokach, w formie konsultacji, przedstawiane są jasne wytyczne co do wprowadzenia</w:t>
      </w:r>
      <w:r w:rsidR="00431BBF">
        <w:rPr>
          <w:i/>
          <w:sz w:val="26"/>
          <w:szCs w:val="26"/>
        </w:rPr>
        <w:t xml:space="preserve"> </w:t>
      </w:r>
      <w:r w:rsidRPr="009515E0">
        <w:rPr>
          <w:i/>
          <w:sz w:val="26"/>
          <w:szCs w:val="26"/>
        </w:rPr>
        <w:t xml:space="preserve">lub rozszerzenia konkretnych praktyk w danym przypadku. Ma to na celu zmaksymalizowanie korzyści dla rolnika. Efekty stosowanych praktyk są później okresowo mierzone, a od ich poziomu zależy liczba przyznanych certyfikatów węglowych, zapewniających rolnikom stały pasywny dochód - </w:t>
      </w:r>
      <w:r w:rsidRPr="009515E0">
        <w:rPr>
          <w:b/>
          <w:sz w:val="26"/>
          <w:szCs w:val="26"/>
        </w:rPr>
        <w:t xml:space="preserve">mówi Eryk Frontczak, Carbon Product Manager z </w:t>
      </w:r>
      <w:proofErr w:type="spellStart"/>
      <w:r w:rsidRPr="009515E0">
        <w:rPr>
          <w:b/>
          <w:sz w:val="26"/>
          <w:szCs w:val="26"/>
        </w:rPr>
        <w:t>HeavyFinance</w:t>
      </w:r>
      <w:proofErr w:type="spellEnd"/>
      <w:r w:rsidRPr="009515E0">
        <w:rPr>
          <w:b/>
          <w:sz w:val="26"/>
          <w:szCs w:val="26"/>
        </w:rPr>
        <w:t xml:space="preserve">, </w:t>
      </w:r>
      <w:r w:rsidRPr="009515E0">
        <w:rPr>
          <w:sz w:val="26"/>
          <w:szCs w:val="26"/>
        </w:rPr>
        <w:t>platformy łączącej inwestorów z europejskimi gospodarstwami rolnymi potrzebującymi zewnętrznego finansowania na rozwój oraz przejście na rolnictwo regeneracyjne.</w:t>
      </w:r>
    </w:p>
    <w:p w14:paraId="613FB2EE" w14:textId="77777777" w:rsidR="003A355C" w:rsidRPr="009515E0" w:rsidRDefault="003A355C">
      <w:pPr>
        <w:spacing w:line="240" w:lineRule="auto"/>
        <w:jc w:val="both"/>
        <w:rPr>
          <w:b/>
          <w:sz w:val="26"/>
          <w:szCs w:val="26"/>
        </w:rPr>
      </w:pPr>
    </w:p>
    <w:p w14:paraId="63C0400E" w14:textId="77777777" w:rsidR="003A355C" w:rsidRPr="009515E0" w:rsidRDefault="00000000">
      <w:pPr>
        <w:spacing w:line="240" w:lineRule="auto"/>
        <w:jc w:val="both"/>
        <w:rPr>
          <w:b/>
          <w:sz w:val="26"/>
          <w:szCs w:val="26"/>
        </w:rPr>
      </w:pPr>
      <w:r w:rsidRPr="009515E0">
        <w:rPr>
          <w:b/>
          <w:sz w:val="26"/>
          <w:szCs w:val="26"/>
        </w:rPr>
        <w:t xml:space="preserve">Pożyczka 0%, a procentujące zyski </w:t>
      </w:r>
    </w:p>
    <w:p w14:paraId="616652FE" w14:textId="77777777" w:rsidR="003A355C" w:rsidRPr="009515E0" w:rsidRDefault="00000000">
      <w:pPr>
        <w:spacing w:line="240" w:lineRule="auto"/>
        <w:jc w:val="both"/>
        <w:rPr>
          <w:b/>
          <w:sz w:val="26"/>
          <w:szCs w:val="26"/>
        </w:rPr>
      </w:pPr>
      <w:r w:rsidRPr="009515E0">
        <w:rPr>
          <w:sz w:val="26"/>
          <w:szCs w:val="26"/>
        </w:rPr>
        <w:t xml:space="preserve">Uprawa </w:t>
      </w:r>
      <w:proofErr w:type="spellStart"/>
      <w:r w:rsidRPr="009515E0">
        <w:rPr>
          <w:sz w:val="26"/>
          <w:szCs w:val="26"/>
        </w:rPr>
        <w:t>bezorkowa</w:t>
      </w:r>
      <w:proofErr w:type="spellEnd"/>
      <w:r w:rsidRPr="009515E0">
        <w:rPr>
          <w:sz w:val="26"/>
          <w:szCs w:val="26"/>
        </w:rPr>
        <w:t xml:space="preserve">, często wiąże się z wysokimi nakładami inwestycyjnymi związanymi między innymi z rozbudową parków maszynowych. Polscy rolnicy, którzy chcieliby rozwinąć swoje gospodarstwa w oparciu o rolnictwo węglowe, bez płacenia jakichkolwiek odsetek, mogą od niedawna skorzystać z finansowania pozyskanego w ramach tzw. “zielonej pożyczki 0%”. - </w:t>
      </w:r>
      <w:r w:rsidRPr="009515E0">
        <w:rPr>
          <w:i/>
          <w:sz w:val="26"/>
          <w:szCs w:val="26"/>
        </w:rPr>
        <w:t>Jesteśmy dedykowanym pożyczkodawcą dla branży rolniczej, dlatego nasze programy dofinansowania rolnictwa są zaprojektowane tak, aby były przejrzyste, co ma eliminować problemy z uzyskaniem potrzebnego dofinansowania. Pożyczki 0% są finansowane przez inwestorów prywatnych oraz firmy, które otrzymują w zamian procent od sprzedaży wytworzonych certyfikatów węglowych lub wykorzystują ich część do redukcji swojego śladu węglowego - jest to w pełni klarowne źródło finansowania</w:t>
      </w:r>
      <w:r w:rsidRPr="009515E0">
        <w:rPr>
          <w:sz w:val="26"/>
          <w:szCs w:val="26"/>
        </w:rPr>
        <w:t xml:space="preserve"> -</w:t>
      </w:r>
      <w:r w:rsidRPr="009515E0">
        <w:rPr>
          <w:b/>
          <w:sz w:val="26"/>
          <w:szCs w:val="26"/>
        </w:rPr>
        <w:t xml:space="preserve"> dodaje Frontczak. </w:t>
      </w:r>
    </w:p>
    <w:p w14:paraId="2D8AC86B" w14:textId="77777777" w:rsidR="003A355C" w:rsidRPr="009515E0" w:rsidRDefault="003A355C">
      <w:pPr>
        <w:spacing w:line="240" w:lineRule="auto"/>
        <w:jc w:val="both"/>
        <w:rPr>
          <w:sz w:val="26"/>
          <w:szCs w:val="26"/>
        </w:rPr>
      </w:pPr>
    </w:p>
    <w:p w14:paraId="40378B29" w14:textId="77777777" w:rsidR="003A355C" w:rsidRPr="009515E0" w:rsidRDefault="00000000">
      <w:pPr>
        <w:spacing w:line="240" w:lineRule="auto"/>
        <w:jc w:val="both"/>
        <w:rPr>
          <w:sz w:val="26"/>
          <w:szCs w:val="26"/>
        </w:rPr>
      </w:pPr>
      <w:r w:rsidRPr="009515E0">
        <w:rPr>
          <w:sz w:val="26"/>
          <w:szCs w:val="26"/>
        </w:rPr>
        <w:t xml:space="preserve">Rolnicy, którzy stosują zrównoważone praktyki w ramach rolnictwa regeneracyjnego, otrzymują certyfikaty handlowe, czyli kredyty węglowe, za </w:t>
      </w:r>
      <w:r w:rsidRPr="009515E0">
        <w:rPr>
          <w:sz w:val="26"/>
          <w:szCs w:val="26"/>
        </w:rPr>
        <w:lastRenderedPageBreak/>
        <w:t xml:space="preserve">każdą tonę dwutlenku węgla, którą magazynują w glebie. Kredyty te mogą być sprzedawane firmom takim jak np. firmy transportowe, które chcą zrównoważyć swoją emisję dwutlenku węgla. Tworzy to nowe źródło dochodów dla rolników, co jest niezwykle istotne zwłaszcza w obecnej sytuacji gwałtownego spadku przychodów generowanych ze sprzedaży plonów. </w:t>
      </w:r>
    </w:p>
    <w:p w14:paraId="2DE27904" w14:textId="77777777" w:rsidR="003A355C" w:rsidRPr="009515E0" w:rsidRDefault="003A355C">
      <w:pPr>
        <w:spacing w:line="240" w:lineRule="auto"/>
        <w:jc w:val="both"/>
        <w:rPr>
          <w:sz w:val="26"/>
          <w:szCs w:val="26"/>
        </w:rPr>
      </w:pPr>
    </w:p>
    <w:p w14:paraId="64494F1D" w14:textId="77777777" w:rsidR="003A355C" w:rsidRPr="009515E0" w:rsidRDefault="00000000">
      <w:pPr>
        <w:spacing w:line="240" w:lineRule="auto"/>
        <w:jc w:val="both"/>
        <w:rPr>
          <w:sz w:val="26"/>
          <w:szCs w:val="26"/>
        </w:rPr>
      </w:pPr>
      <w:r w:rsidRPr="009515E0">
        <w:rPr>
          <w:sz w:val="26"/>
          <w:szCs w:val="26"/>
        </w:rPr>
        <w:t>Posiadając odpowiednie wskazówki, niezbędny sprzęt i środki finansowe, przejście na rolnictwo bez orki wymaga jedynie cierpliwości i zaangażowania.</w:t>
      </w:r>
    </w:p>
    <w:p w14:paraId="6B6D025E" w14:textId="77777777" w:rsidR="003A355C" w:rsidRPr="009515E0" w:rsidRDefault="003A355C">
      <w:pPr>
        <w:spacing w:line="240" w:lineRule="auto"/>
        <w:jc w:val="both"/>
        <w:rPr>
          <w:sz w:val="26"/>
          <w:szCs w:val="26"/>
        </w:rPr>
      </w:pPr>
    </w:p>
    <w:p w14:paraId="5000D37F" w14:textId="77777777" w:rsidR="003A355C" w:rsidRPr="009515E0" w:rsidRDefault="00000000">
      <w:pPr>
        <w:spacing w:line="240" w:lineRule="auto"/>
        <w:jc w:val="both"/>
        <w:rPr>
          <w:b/>
        </w:rPr>
      </w:pPr>
      <w:r w:rsidRPr="009515E0">
        <w:rPr>
          <w:b/>
        </w:rPr>
        <w:t xml:space="preserve">O </w:t>
      </w:r>
      <w:proofErr w:type="spellStart"/>
      <w:r w:rsidRPr="009515E0">
        <w:rPr>
          <w:b/>
        </w:rPr>
        <w:t>HeavyFinance</w:t>
      </w:r>
      <w:proofErr w:type="spellEnd"/>
    </w:p>
    <w:p w14:paraId="4ABE9903" w14:textId="77777777" w:rsidR="003A355C" w:rsidRPr="009515E0" w:rsidRDefault="003A355C">
      <w:pPr>
        <w:spacing w:line="240" w:lineRule="auto"/>
        <w:jc w:val="both"/>
        <w:rPr>
          <w:b/>
        </w:rPr>
      </w:pPr>
    </w:p>
    <w:p w14:paraId="0D00D4D2" w14:textId="77777777" w:rsidR="003A355C" w:rsidRPr="009515E0" w:rsidRDefault="00000000">
      <w:pPr>
        <w:spacing w:line="240" w:lineRule="auto"/>
        <w:jc w:val="both"/>
      </w:pPr>
      <w:r w:rsidRPr="009515E0">
        <w:t xml:space="preserve">Misją </w:t>
      </w:r>
      <w:proofErr w:type="spellStart"/>
      <w:r w:rsidRPr="009515E0">
        <w:t>HeavyFinance</w:t>
      </w:r>
      <w:proofErr w:type="spellEnd"/>
      <w:r w:rsidRPr="009515E0">
        <w:t xml:space="preserve"> jest usunięcie 1 gigatony CO2 z atmosfery do 2050 roku poprzez dostarczanie finansowania dla zrównoważonego rolnictwa. Firma działa jako platforma łącząca inwestorów - od detalicznych po instytucjonalnych - z europejskimi gospodarstwami rolnymi potrzebującymi zewnętrznego finansowania na rozwój oraz przejście na rolnictwo regeneracyjne. Do tej pory </w:t>
      </w:r>
      <w:proofErr w:type="spellStart"/>
      <w:r w:rsidRPr="009515E0">
        <w:t>HeavyFinance</w:t>
      </w:r>
      <w:proofErr w:type="spellEnd"/>
      <w:r w:rsidRPr="009515E0">
        <w:t xml:space="preserve"> sfinansowało już ponad 1000 przedsięwzięć rolniczych w Bułgarii, Łotwie, Litwie, Polsce i Portugalii. Więcej informacji dostępnych jest na </w:t>
      </w:r>
      <w:hyperlink r:id="rId6">
        <w:r w:rsidRPr="009515E0">
          <w:rPr>
            <w:color w:val="1155CC"/>
            <w:u w:val="single"/>
          </w:rPr>
          <w:t>www.heavyfinance.pl</w:t>
        </w:r>
      </w:hyperlink>
      <w:r w:rsidRPr="009515E0">
        <w:t xml:space="preserve">. </w:t>
      </w:r>
    </w:p>
    <w:p w14:paraId="73F12FC3" w14:textId="77777777" w:rsidR="003A355C" w:rsidRPr="009515E0" w:rsidRDefault="003A355C">
      <w:pPr>
        <w:spacing w:line="240" w:lineRule="auto"/>
        <w:jc w:val="both"/>
        <w:rPr>
          <w:sz w:val="24"/>
          <w:szCs w:val="24"/>
        </w:rPr>
      </w:pPr>
    </w:p>
    <w:p w14:paraId="06C243E1" w14:textId="77777777" w:rsidR="003A355C" w:rsidRPr="009515E0" w:rsidRDefault="003A355C">
      <w:pPr>
        <w:spacing w:line="240" w:lineRule="auto"/>
        <w:jc w:val="both"/>
        <w:rPr>
          <w:sz w:val="24"/>
          <w:szCs w:val="24"/>
        </w:rPr>
      </w:pPr>
    </w:p>
    <w:p w14:paraId="65B2C1EA" w14:textId="77777777" w:rsidR="003A355C" w:rsidRPr="009515E0" w:rsidRDefault="003A355C">
      <w:pPr>
        <w:spacing w:line="240" w:lineRule="auto"/>
        <w:jc w:val="both"/>
        <w:rPr>
          <w:sz w:val="24"/>
          <w:szCs w:val="24"/>
        </w:rPr>
      </w:pPr>
    </w:p>
    <w:p w14:paraId="15C60A2C" w14:textId="77777777" w:rsidR="003A355C" w:rsidRPr="009515E0" w:rsidRDefault="003A355C">
      <w:pPr>
        <w:pBdr>
          <w:top w:val="nil"/>
          <w:left w:val="nil"/>
          <w:bottom w:val="nil"/>
          <w:right w:val="nil"/>
          <w:between w:val="nil"/>
        </w:pBdr>
        <w:jc w:val="both"/>
        <w:rPr>
          <w:b/>
          <w:sz w:val="28"/>
          <w:szCs w:val="28"/>
        </w:rPr>
      </w:pPr>
    </w:p>
    <w:p w14:paraId="6980FD7E" w14:textId="77777777" w:rsidR="003A355C" w:rsidRPr="009515E0" w:rsidRDefault="003A355C">
      <w:pPr>
        <w:pBdr>
          <w:top w:val="nil"/>
          <w:left w:val="nil"/>
          <w:bottom w:val="nil"/>
          <w:right w:val="nil"/>
          <w:between w:val="nil"/>
        </w:pBdr>
        <w:jc w:val="both"/>
        <w:rPr>
          <w:color w:val="000000"/>
          <w:sz w:val="24"/>
          <w:szCs w:val="24"/>
        </w:rPr>
      </w:pPr>
    </w:p>
    <w:p w14:paraId="1489BDDE" w14:textId="77777777" w:rsidR="003A355C" w:rsidRPr="009515E0" w:rsidRDefault="003A355C">
      <w:pPr>
        <w:pBdr>
          <w:top w:val="nil"/>
          <w:left w:val="nil"/>
          <w:bottom w:val="nil"/>
          <w:right w:val="nil"/>
          <w:between w:val="nil"/>
        </w:pBdr>
        <w:rPr>
          <w:b/>
          <w:color w:val="000000"/>
          <w:sz w:val="24"/>
          <w:szCs w:val="24"/>
        </w:rPr>
      </w:pPr>
    </w:p>
    <w:sectPr w:rsidR="003A355C" w:rsidRPr="009515E0">
      <w:headerReference w:type="default" r:id="rId7"/>
      <w:pgSz w:w="11906" w:h="16838"/>
      <w:pgMar w:top="1440" w:right="1440" w:bottom="1440" w:left="1440" w:header="72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F883" w14:textId="77777777" w:rsidR="00632599" w:rsidRDefault="00632599">
      <w:pPr>
        <w:spacing w:line="240" w:lineRule="auto"/>
      </w:pPr>
      <w:r>
        <w:separator/>
      </w:r>
    </w:p>
  </w:endnote>
  <w:endnote w:type="continuationSeparator" w:id="0">
    <w:p w14:paraId="0351E992" w14:textId="77777777" w:rsidR="00632599" w:rsidRDefault="00632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ABF5" w14:textId="77777777" w:rsidR="00632599" w:rsidRDefault="00632599">
      <w:pPr>
        <w:spacing w:line="240" w:lineRule="auto"/>
      </w:pPr>
      <w:r>
        <w:separator/>
      </w:r>
    </w:p>
  </w:footnote>
  <w:footnote w:type="continuationSeparator" w:id="0">
    <w:p w14:paraId="53BACD6E" w14:textId="77777777" w:rsidR="00632599" w:rsidRDefault="00632599">
      <w:pPr>
        <w:spacing w:line="240" w:lineRule="auto"/>
      </w:pPr>
      <w:r>
        <w:continuationSeparator/>
      </w:r>
    </w:p>
  </w:footnote>
  <w:footnote w:id="1">
    <w:p w14:paraId="306B2D28" w14:textId="77777777" w:rsidR="003A355C" w:rsidRDefault="00000000">
      <w:pPr>
        <w:spacing w:line="240" w:lineRule="auto"/>
        <w:rPr>
          <w:sz w:val="20"/>
          <w:szCs w:val="20"/>
        </w:rPr>
      </w:pPr>
      <w:r>
        <w:rPr>
          <w:vertAlign w:val="superscript"/>
        </w:rPr>
        <w:footnoteRef/>
      </w:r>
      <w:r>
        <w:rPr>
          <w:sz w:val="20"/>
          <w:szCs w:val="20"/>
        </w:rPr>
        <w:t xml:space="preserve"> https://stat.gov.pl/obszary-tematyczne/rolnictwo-lesnictwo/rolnictwo/koniunktura-w-gospodarstwach-rolnych-w-drugim-polroczu-2022-roku,10,21.html</w:t>
      </w:r>
    </w:p>
  </w:footnote>
  <w:footnote w:id="2">
    <w:p w14:paraId="1AB03305" w14:textId="77777777" w:rsidR="003A355C" w:rsidRDefault="00000000">
      <w:pPr>
        <w:spacing w:line="240" w:lineRule="auto"/>
        <w:rPr>
          <w:sz w:val="20"/>
          <w:szCs w:val="20"/>
        </w:rPr>
      </w:pPr>
      <w:r>
        <w:rPr>
          <w:vertAlign w:val="superscript"/>
        </w:rPr>
        <w:footnoteRef/>
      </w:r>
      <w:r>
        <w:rPr>
          <w:sz w:val="20"/>
          <w:szCs w:val="20"/>
        </w:rPr>
        <w:t xml:space="preserve"> jw.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55D3" w14:textId="77777777" w:rsidR="003A355C" w:rsidRDefault="00000000">
    <w:pPr>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918F0C8" wp14:editId="5CD9F3CF">
          <wp:simplePos x="0" y="0"/>
          <wp:positionH relativeFrom="column">
            <wp:posOffset>1762125</wp:posOffset>
          </wp:positionH>
          <wp:positionV relativeFrom="paragraph">
            <wp:posOffset>-95245</wp:posOffset>
          </wp:positionV>
          <wp:extent cx="1662430" cy="358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2430" cy="3587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5C"/>
    <w:rsid w:val="003A355C"/>
    <w:rsid w:val="003F3D21"/>
    <w:rsid w:val="00431BBF"/>
    <w:rsid w:val="00632599"/>
    <w:rsid w:val="009515E0"/>
    <w:rsid w:val="00EE5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4EFD"/>
  <w15:docId w15:val="{527FB55A-D04A-4A38-96B7-1558BD9A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uiPriority w:val="9"/>
    <w:qFormat/>
    <w:pPr>
      <w:keepNext/>
      <w:keepLines/>
      <w:pBdr>
        <w:top w:val="nil"/>
        <w:left w:val="nil"/>
        <w:bottom w:val="nil"/>
        <w:right w:val="nil"/>
        <w:between w:val="nil"/>
      </w:pBdr>
      <w:spacing w:before="400" w:after="120" w:line="240" w:lineRule="auto"/>
      <w:outlineLvl w:val="0"/>
    </w:pPr>
    <w:rPr>
      <w:color w:val="000000"/>
      <w:sz w:val="40"/>
      <w:szCs w:val="40"/>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120" w:line="240" w:lineRule="auto"/>
      <w:outlineLvl w:val="1"/>
    </w:pPr>
    <w:rPr>
      <w:color w:val="000000"/>
      <w:sz w:val="32"/>
      <w:szCs w:val="32"/>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80" w:after="80" w:line="240" w:lineRule="auto"/>
      <w:outlineLvl w:val="3"/>
    </w:pPr>
    <w:rPr>
      <w:color w:val="666666"/>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after="60" w:line="240" w:lineRule="auto"/>
    </w:pPr>
    <w:rPr>
      <w:color w:val="000000"/>
      <w:sz w:val="52"/>
      <w:szCs w:val="52"/>
    </w:rPr>
  </w:style>
  <w:style w:type="paragraph" w:styleId="Podtytu">
    <w:name w:val="Subtitle"/>
    <w:basedOn w:val="Normalny"/>
    <w:next w:val="Normalny"/>
    <w:uiPriority w:val="11"/>
    <w:qFormat/>
    <w:pPr>
      <w:keepNext/>
      <w:keepLines/>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vyfinance.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5385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2023-04-19T09:42:00Z</dcterms:created>
  <dcterms:modified xsi:type="dcterms:W3CDTF">2023-04-19T09:49:00Z</dcterms:modified>
</cp:coreProperties>
</file>