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CDBA" w14:textId="77777777" w:rsidR="00774AF5" w:rsidRDefault="00CB3501">
      <w:pPr>
        <w:pStyle w:val="Nagwek1"/>
        <w:spacing w:before="120" w:after="120" w:line="276" w:lineRule="auto"/>
      </w:pPr>
      <w:bookmarkStart w:id="0" w:name="_Hlk73018783"/>
      <w:r>
        <w:rPr>
          <w:rFonts w:ascii="Times New Roman" w:hAnsi="Times New Roman"/>
          <w:b w:val="0"/>
          <w:bCs w:val="0"/>
          <w:noProof/>
        </w:rPr>
        <w:drawing>
          <wp:inline distT="0" distB="0" distL="0" distR="0" wp14:anchorId="73547299" wp14:editId="09BD419C">
            <wp:extent cx="5760721" cy="575310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575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6FEC3973" w14:textId="77777777" w:rsidR="00774AF5" w:rsidRDefault="00CB3501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14:paraId="5464EBA9" w14:textId="77777777" w:rsidR="00774AF5" w:rsidRDefault="00CB3501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Luiza Nowicka, PARP                                                                                              Informacja prasowa</w:t>
      </w:r>
    </w:p>
    <w:p w14:paraId="3EB1880A" w14:textId="63E16763" w:rsidR="00774AF5" w:rsidRDefault="00CB3501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Style w:val="Hyperlink0"/>
        </w:rPr>
      </w:pPr>
      <w:r>
        <w:rPr>
          <w:rFonts w:ascii="Calibri" w:hAnsi="Calibri"/>
        </w:rPr>
        <w:t xml:space="preserve">e-mail: </w:t>
      </w:r>
      <w:hyperlink r:id="rId7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Warszawa, 0</w:t>
      </w:r>
      <w:r w:rsidR="004B471D">
        <w:rPr>
          <w:rStyle w:val="Hyperlink0"/>
        </w:rPr>
        <w:t>9</w:t>
      </w:r>
      <w:r>
        <w:rPr>
          <w:rStyle w:val="Hyperlink0"/>
        </w:rPr>
        <w:t>.05.2023 r.</w:t>
      </w:r>
    </w:p>
    <w:p w14:paraId="3BBCB2B6" w14:textId="77777777" w:rsidR="00774AF5" w:rsidRDefault="00CB3501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lang w:val="pt-PT"/>
        </w:rPr>
        <w:t>tel.: 880 524 959</w:t>
      </w:r>
    </w:p>
    <w:p w14:paraId="5120CA1B" w14:textId="77777777" w:rsidR="00774AF5" w:rsidRDefault="00774AF5"/>
    <w:p w14:paraId="71F64D6A" w14:textId="7519CDE9" w:rsidR="00774AF5" w:rsidRPr="004B471D" w:rsidRDefault="00CB3501" w:rsidP="004B471D">
      <w:pPr>
        <w:pStyle w:val="Nagwek1"/>
        <w:rPr>
          <w:rStyle w:val="Brak"/>
        </w:rPr>
      </w:pPr>
      <w:r w:rsidRPr="004B471D">
        <w:rPr>
          <w:rStyle w:val="Brak"/>
        </w:rPr>
        <w:t xml:space="preserve">Dzień Europy. Święto </w:t>
      </w:r>
      <w:r w:rsidR="00AC327A" w:rsidRPr="004B471D">
        <w:rPr>
          <w:rStyle w:val="Brak"/>
        </w:rPr>
        <w:t>wszystkich</w:t>
      </w:r>
      <w:r w:rsidRPr="004B471D">
        <w:rPr>
          <w:rStyle w:val="Brak"/>
        </w:rPr>
        <w:t xml:space="preserve"> przedsiębiorców</w:t>
      </w:r>
    </w:p>
    <w:p w14:paraId="1104D306" w14:textId="60FC1010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b/>
          <w:bCs/>
          <w:sz w:val="24"/>
          <w:szCs w:val="24"/>
        </w:rPr>
        <w:t xml:space="preserve">9 maja obchodzimy Dzień Europy. To właśnie ten dzień z 1950 roku uznaje się za symboliczny początek procesu integracji europejskiej. Święto jest doskonałą okazją, by przypomnieć sobie, dlaczego na dzieleniu wspólnych celów i wartości zyskują wszyscy </w:t>
      </w:r>
      <w:r w:rsidR="00E410FB" w:rsidRPr="004B471D">
        <w:rPr>
          <w:rStyle w:val="Brak"/>
          <w:b/>
          <w:bCs/>
          <w:sz w:val="24"/>
          <w:szCs w:val="24"/>
        </w:rPr>
        <w:t>E</w:t>
      </w:r>
      <w:r w:rsidRPr="004B471D">
        <w:rPr>
          <w:rStyle w:val="Brak"/>
          <w:b/>
          <w:bCs/>
          <w:sz w:val="24"/>
          <w:szCs w:val="24"/>
        </w:rPr>
        <w:t xml:space="preserve">uropejczycy. Celebracja nie powinna ominąć także polskich przedsiębiorców, którzy dzięki </w:t>
      </w:r>
      <w:r w:rsidR="004B471D" w:rsidRPr="004B471D">
        <w:rPr>
          <w:rStyle w:val="Brak"/>
          <w:b/>
          <w:bCs/>
          <w:sz w:val="24"/>
          <w:szCs w:val="24"/>
        </w:rPr>
        <w:t>Unii Europejskiej (</w:t>
      </w:r>
      <w:r w:rsidR="000A338B" w:rsidRPr="004B471D">
        <w:rPr>
          <w:rStyle w:val="Brak"/>
          <w:b/>
          <w:bCs/>
          <w:sz w:val="24"/>
          <w:szCs w:val="24"/>
        </w:rPr>
        <w:t>UE</w:t>
      </w:r>
      <w:r w:rsidR="004B471D" w:rsidRPr="004B471D">
        <w:rPr>
          <w:rStyle w:val="Brak"/>
          <w:b/>
          <w:bCs/>
          <w:sz w:val="24"/>
          <w:szCs w:val="24"/>
        </w:rPr>
        <w:t>)</w:t>
      </w:r>
      <w:r w:rsidRPr="004B471D">
        <w:rPr>
          <w:rStyle w:val="Brak"/>
          <w:b/>
          <w:bCs/>
          <w:sz w:val="24"/>
          <w:szCs w:val="24"/>
        </w:rPr>
        <w:t xml:space="preserve"> mogą liczyć na wsparcie</w:t>
      </w:r>
      <w:r w:rsidR="004B471D" w:rsidRPr="004B471D">
        <w:rPr>
          <w:rStyle w:val="Brak"/>
          <w:b/>
          <w:bCs/>
          <w:sz w:val="24"/>
          <w:szCs w:val="24"/>
        </w:rPr>
        <w:t xml:space="preserve"> </w:t>
      </w:r>
      <w:r w:rsidRPr="004B471D">
        <w:rPr>
          <w:rStyle w:val="Brak"/>
          <w:b/>
          <w:bCs/>
          <w:sz w:val="24"/>
          <w:szCs w:val="24"/>
        </w:rPr>
        <w:t>w realizacji swoich pomysłów biznesowych.</w:t>
      </w:r>
    </w:p>
    <w:p w14:paraId="012035DF" w14:textId="0A0294B2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>9 maja jest Dniem Europy, potocznie zwanym też Dniem Unii Europejskiej. Tego dnia swoją europejskość świętują kraje przynależące do Wspólnoty Unii Europejskiej. Święto ustanowione zostało w r</w:t>
      </w:r>
      <w:r w:rsidRPr="004B471D">
        <w:rPr>
          <w:sz w:val="24"/>
          <w:szCs w:val="24"/>
        </w:rPr>
        <w:t>ocznicę przedstawienia Planu Schumana, czyli planu utworzenia Europejskiej Wspólnoty Węgla i Stali, będącej zalążkiem dzisiejszej Unii Europejskiej. Część państw, niebędących członkami UE, dzień ten świętuje w rocznicę ustanowienia Rady Europy, czyli 5 maja.</w:t>
      </w:r>
    </w:p>
    <w:p w14:paraId="4BBF5153" w14:textId="77777777" w:rsidR="00774AF5" w:rsidRPr="004B471D" w:rsidRDefault="00CB3501" w:rsidP="004B471D">
      <w:pPr>
        <w:pStyle w:val="Nagwek2"/>
        <w:rPr>
          <w:rStyle w:val="Brak"/>
        </w:rPr>
      </w:pPr>
      <w:r w:rsidRPr="004B471D">
        <w:rPr>
          <w:rStyle w:val="Brak"/>
        </w:rPr>
        <w:t>Geneza Dnia Europy</w:t>
      </w:r>
    </w:p>
    <w:p w14:paraId="059FC888" w14:textId="77777777" w:rsidR="00774AF5" w:rsidRPr="004B471D" w:rsidRDefault="00CB3501">
      <w:pPr>
        <w:spacing w:before="120" w:after="120" w:line="276" w:lineRule="auto"/>
        <w:rPr>
          <w:sz w:val="24"/>
          <w:szCs w:val="24"/>
        </w:rPr>
      </w:pPr>
      <w:r w:rsidRPr="004B471D">
        <w:rPr>
          <w:sz w:val="24"/>
          <w:szCs w:val="24"/>
        </w:rPr>
        <w:t>„</w:t>
      </w:r>
      <w:proofErr w:type="spellStart"/>
      <w:r w:rsidRPr="004B471D">
        <w:rPr>
          <w:sz w:val="24"/>
          <w:szCs w:val="24"/>
          <w:lang w:val="de-DE"/>
        </w:rPr>
        <w:t>Wk</w:t>
      </w:r>
      <w:proofErr w:type="spellEnd"/>
      <w:r w:rsidRPr="004B471D">
        <w:rPr>
          <w:sz w:val="24"/>
          <w:szCs w:val="24"/>
        </w:rPr>
        <w:t xml:space="preserve">ład, jaki zorganizowana i żyjąca Europa może wnieść w cywilizację, jest niezbędny dla utrzymania pokojowych </w:t>
      </w:r>
      <w:proofErr w:type="spellStart"/>
      <w:r w:rsidRPr="004B471D">
        <w:rPr>
          <w:sz w:val="24"/>
          <w:szCs w:val="24"/>
        </w:rPr>
        <w:t>stosunk</w:t>
      </w:r>
      <w:proofErr w:type="spellEnd"/>
      <w:r w:rsidRPr="004B471D">
        <w:rPr>
          <w:sz w:val="24"/>
          <w:szCs w:val="24"/>
          <w:lang w:val="es-ES_tradnl"/>
        </w:rPr>
        <w:t>ó</w:t>
      </w:r>
      <w:r w:rsidRPr="004B471D">
        <w:rPr>
          <w:sz w:val="24"/>
          <w:szCs w:val="24"/>
        </w:rPr>
        <w:t xml:space="preserve">w. (…) Europa nie powstanie od razu ani w </w:t>
      </w:r>
      <w:proofErr w:type="spellStart"/>
      <w:r w:rsidRPr="004B471D">
        <w:rPr>
          <w:sz w:val="24"/>
          <w:szCs w:val="24"/>
        </w:rPr>
        <w:t>całoś</w:t>
      </w:r>
      <w:proofErr w:type="spellEnd"/>
      <w:r w:rsidRPr="004B471D">
        <w:rPr>
          <w:sz w:val="24"/>
          <w:szCs w:val="24"/>
          <w:lang w:val="it-IT"/>
        </w:rPr>
        <w:t>ci: b</w:t>
      </w:r>
      <w:proofErr w:type="spellStart"/>
      <w:r w:rsidRPr="004B471D">
        <w:rPr>
          <w:sz w:val="24"/>
          <w:szCs w:val="24"/>
        </w:rPr>
        <w:t>ędzie</w:t>
      </w:r>
      <w:proofErr w:type="spellEnd"/>
      <w:r w:rsidRPr="004B471D">
        <w:rPr>
          <w:sz w:val="24"/>
          <w:szCs w:val="24"/>
        </w:rPr>
        <w:t xml:space="preserve"> powstawała przez konkretne realizacje, tworząc najpierw rzeczywistą solidarność” – brzmiał fragment deklaracji Roberta Schumana, francuskiego ministra spraw zagranicznych, wygłoszonej na posiedzeniu tamtejszego rządu w 1950 roku. </w:t>
      </w:r>
    </w:p>
    <w:p w14:paraId="5DDCAD25" w14:textId="77777777" w:rsidR="00774AF5" w:rsidRPr="004B471D" w:rsidRDefault="00CB3501">
      <w:pPr>
        <w:spacing w:before="120" w:after="120" w:line="276" w:lineRule="auto"/>
        <w:rPr>
          <w:sz w:val="24"/>
          <w:szCs w:val="24"/>
        </w:rPr>
      </w:pPr>
      <w:r w:rsidRPr="004B471D">
        <w:rPr>
          <w:sz w:val="24"/>
          <w:szCs w:val="24"/>
        </w:rPr>
        <w:t>Nie bez powodu dzisiaj Schumana uznaje się za jednego z ojców i pionierów Unii Europejskiej. Jego plan zakładał koordynację produkcji stali i wydobycia węgla, a więc także funkcjonowanie przemysłu zbrojeniowego, między Francją a Niemcami. Idea ta miała na celu ekonomiczne uzależnienie tych dwóch krajów od siebie, uniemożliwiając tym samym powtórzenie w przyszłości konfliktu takiego jak zakończona zaledwie 5 lat wcześniej II wojna światowa.</w:t>
      </w:r>
    </w:p>
    <w:p w14:paraId="75EB56EE" w14:textId="2154B9D9" w:rsidR="00774AF5" w:rsidRPr="004B471D" w:rsidRDefault="00CB3501">
      <w:pPr>
        <w:spacing w:before="120" w:after="120" w:line="276" w:lineRule="auto"/>
        <w:rPr>
          <w:sz w:val="24"/>
          <w:szCs w:val="24"/>
        </w:rPr>
      </w:pPr>
      <w:r w:rsidRPr="004B471D">
        <w:rPr>
          <w:sz w:val="24"/>
          <w:szCs w:val="24"/>
        </w:rPr>
        <w:t>Koncepcja powojennej integracji ekonomicznej, politycznej i gospodarczej Francji i Niemiec Zachodnich (RFN) w efekcie zaowocowała podpisaniem</w:t>
      </w:r>
      <w:r w:rsidR="004B471D">
        <w:rPr>
          <w:sz w:val="24"/>
          <w:szCs w:val="24"/>
        </w:rPr>
        <w:t>,</w:t>
      </w:r>
      <w:r w:rsidRPr="004B471D">
        <w:rPr>
          <w:sz w:val="24"/>
          <w:szCs w:val="24"/>
        </w:rPr>
        <w:t xml:space="preserve"> niespełna rok później</w:t>
      </w:r>
      <w:r w:rsidR="004B471D">
        <w:rPr>
          <w:sz w:val="24"/>
          <w:szCs w:val="24"/>
        </w:rPr>
        <w:t>,</w:t>
      </w:r>
      <w:r w:rsidRPr="004B471D">
        <w:rPr>
          <w:sz w:val="24"/>
          <w:szCs w:val="24"/>
        </w:rPr>
        <w:t xml:space="preserve"> traktatu paryskiego. Oprócz tych państw dokument podpisały także Belgia, Holandia, Włochy oraz Luksemburg. W</w:t>
      </w:r>
      <w:r w:rsidR="00E410FB" w:rsidRPr="004B471D">
        <w:rPr>
          <w:sz w:val="24"/>
          <w:szCs w:val="24"/>
        </w:rPr>
        <w:t xml:space="preserve">ówczas </w:t>
      </w:r>
      <w:r w:rsidRPr="004B471D">
        <w:rPr>
          <w:sz w:val="24"/>
          <w:szCs w:val="24"/>
        </w:rPr>
        <w:t xml:space="preserve">powstała Europejska Wspólnota Węgla i Stali. </w:t>
      </w:r>
    </w:p>
    <w:p w14:paraId="6072D747" w14:textId="77777777" w:rsidR="00774AF5" w:rsidRPr="004B471D" w:rsidRDefault="00CB3501">
      <w:pPr>
        <w:spacing w:before="120" w:after="120" w:line="276" w:lineRule="auto"/>
        <w:rPr>
          <w:sz w:val="24"/>
          <w:szCs w:val="24"/>
        </w:rPr>
      </w:pPr>
      <w:r w:rsidRPr="004B471D">
        <w:rPr>
          <w:sz w:val="24"/>
          <w:szCs w:val="24"/>
        </w:rPr>
        <w:lastRenderedPageBreak/>
        <w:t xml:space="preserve">Niecałe 7 lat po wygłoszeniu Deklaracji Schumana na mocy tzw. traktatów rzymskich, podpisanych przez te same kraje, powstała z kolei Europejska Wspólnota Gospodarcza i Europejska Wspólnota Energii Atomowej. 3 listopada 1993 roku na mocy traktatu z </w:t>
      </w:r>
      <w:proofErr w:type="spellStart"/>
      <w:r w:rsidRPr="004B471D">
        <w:rPr>
          <w:sz w:val="24"/>
          <w:szCs w:val="24"/>
        </w:rPr>
        <w:t>Maastricht</w:t>
      </w:r>
      <w:proofErr w:type="spellEnd"/>
      <w:r w:rsidRPr="004B471D">
        <w:rPr>
          <w:sz w:val="24"/>
          <w:szCs w:val="24"/>
        </w:rPr>
        <w:t xml:space="preserve"> oficjalnie powstała Unia Europejska. Jej pierwotnymi członkami, poza sygnatariuszami traktatu paryskiego (w tym zjednoczonych w 1990 roku Niemiec), były: Dania, Irlandia, Wielka Brytania, Grecja, Hiszpania oraz Portugalia.</w:t>
      </w:r>
    </w:p>
    <w:p w14:paraId="30B9B182" w14:textId="77777777" w:rsidR="00774AF5" w:rsidRPr="004B471D" w:rsidRDefault="00CB3501" w:rsidP="004B471D">
      <w:pPr>
        <w:pStyle w:val="Nagwek2"/>
        <w:rPr>
          <w:rStyle w:val="Brak"/>
        </w:rPr>
      </w:pPr>
      <w:r w:rsidRPr="004B471D">
        <w:rPr>
          <w:rStyle w:val="Brak"/>
        </w:rPr>
        <w:t>Spójny rozwój – Fundusze Europejskie</w:t>
      </w:r>
    </w:p>
    <w:p w14:paraId="5EDBA596" w14:textId="77777777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 xml:space="preserve">Unia Europejska wraz ze swoim wzrostem stała się wspólnotą krajów znajdujących się na różnych poziomach rozwoju i mierzących się z różnymi wyzwaniami. Jednym z celów organizacji stało się tym samym wyrównywanie szans i zmniejszenie różnic w funkcjonowaniu gospodarek członkowskich, co realizowane jest poprzez politykę rozwoju regionalnego, zwaną też polityką </w:t>
      </w:r>
      <w:proofErr w:type="spellStart"/>
      <w:r w:rsidRPr="004B471D">
        <w:rPr>
          <w:rStyle w:val="Brak"/>
          <w:sz w:val="24"/>
          <w:szCs w:val="24"/>
        </w:rPr>
        <w:t>sp</w:t>
      </w:r>
      <w:proofErr w:type="spellEnd"/>
      <w:r w:rsidRPr="004B471D">
        <w:rPr>
          <w:rStyle w:val="Brak"/>
          <w:sz w:val="24"/>
          <w:szCs w:val="24"/>
          <w:lang w:val="es-ES_tradnl"/>
        </w:rPr>
        <w:t>ó</w:t>
      </w:r>
      <w:proofErr w:type="spellStart"/>
      <w:r w:rsidRPr="004B471D">
        <w:rPr>
          <w:rStyle w:val="Brak"/>
          <w:sz w:val="24"/>
          <w:szCs w:val="24"/>
        </w:rPr>
        <w:t>jności</w:t>
      </w:r>
      <w:proofErr w:type="spellEnd"/>
      <w:r w:rsidRPr="004B471D">
        <w:rPr>
          <w:rStyle w:val="Brak"/>
          <w:sz w:val="24"/>
          <w:szCs w:val="24"/>
        </w:rPr>
        <w:t xml:space="preserve"> lub polityką strukturalną. </w:t>
      </w:r>
    </w:p>
    <w:p w14:paraId="2B6C51C5" w14:textId="77777777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>Unia Europejska realizuje politykę spójności za sprawą tworzonego od lat budżetu UE. Dzięki wspólnym środkom finansowym sprostanie wyzwaniom rozwojowym poszczególnych krajów jest tańsze i skuteczniejsze, niż gdyby każ</w:t>
      </w:r>
      <w:r w:rsidRPr="004B471D">
        <w:rPr>
          <w:rStyle w:val="Brak"/>
          <w:sz w:val="24"/>
          <w:szCs w:val="24"/>
          <w:lang w:val="fr-FR"/>
        </w:rPr>
        <w:t>de pa</w:t>
      </w:r>
      <w:proofErr w:type="spellStart"/>
      <w:r w:rsidRPr="004B471D">
        <w:rPr>
          <w:rStyle w:val="Brak"/>
          <w:sz w:val="24"/>
          <w:szCs w:val="24"/>
        </w:rPr>
        <w:t>ństwo</w:t>
      </w:r>
      <w:proofErr w:type="spellEnd"/>
      <w:r w:rsidRPr="004B471D">
        <w:rPr>
          <w:rStyle w:val="Brak"/>
          <w:sz w:val="24"/>
          <w:szCs w:val="24"/>
        </w:rPr>
        <w:t xml:space="preserve"> członkowskie miało stawiać im czoła samemu.</w:t>
      </w:r>
    </w:p>
    <w:p w14:paraId="7589CA14" w14:textId="3EF11A3B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 xml:space="preserve">Cele, na które Unia Europejska przeznacza fundusze, są ściśle powiązane z aktualną strategią jej rozwoju. </w:t>
      </w:r>
      <w:r w:rsidR="004C0EA5" w:rsidRPr="004B471D">
        <w:rPr>
          <w:rStyle w:val="Brak"/>
          <w:sz w:val="24"/>
          <w:szCs w:val="24"/>
        </w:rPr>
        <w:t xml:space="preserve">Obecnie </w:t>
      </w:r>
      <w:r w:rsidRPr="004B471D">
        <w:rPr>
          <w:rStyle w:val="Brak"/>
          <w:sz w:val="24"/>
          <w:szCs w:val="24"/>
        </w:rPr>
        <w:t>realizowana jest perspektywa Funduszy Europejskich na lata 2021-2027. To już czwarta, której beneficjentem jest Polska</w:t>
      </w:r>
      <w:r w:rsidRPr="004B471D">
        <w:rPr>
          <w:rStyle w:val="Brak"/>
          <w:sz w:val="24"/>
          <w:szCs w:val="24"/>
          <w:vertAlign w:val="superscript"/>
        </w:rPr>
        <w:footnoteReference w:id="2"/>
      </w:r>
      <w:r w:rsidRPr="004B471D">
        <w:rPr>
          <w:rStyle w:val="Brak"/>
          <w:sz w:val="24"/>
          <w:szCs w:val="24"/>
        </w:rPr>
        <w:t>. Warto odnotować, że nasz kraj rozpoczął właśnie 20. rok członkostwa w strukturach UE.</w:t>
      </w:r>
    </w:p>
    <w:p w14:paraId="421A6776" w14:textId="77777777" w:rsidR="00774AF5" w:rsidRPr="004B471D" w:rsidRDefault="00CB3501" w:rsidP="004B471D">
      <w:pPr>
        <w:pStyle w:val="Nagwek2"/>
        <w:rPr>
          <w:rStyle w:val="Brak"/>
        </w:rPr>
      </w:pPr>
      <w:r w:rsidRPr="004B471D">
        <w:rPr>
          <w:rStyle w:val="Brak"/>
        </w:rPr>
        <w:t>Szereg możliwości dla biznesu</w:t>
      </w:r>
    </w:p>
    <w:p w14:paraId="1C8D8ACF" w14:textId="77777777" w:rsid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 xml:space="preserve">Polskie członkostwo w Unii Europejskiej to lata dynamicznego rozwoju społeczno-gospodarczego naszego kraju. Środki unijne płynące do krajowego budżetu </w:t>
      </w:r>
      <w:r w:rsidR="00022D27" w:rsidRPr="004B471D">
        <w:rPr>
          <w:rStyle w:val="Brak"/>
          <w:sz w:val="24"/>
          <w:szCs w:val="24"/>
        </w:rPr>
        <w:t xml:space="preserve">bez wątpienia </w:t>
      </w:r>
      <w:r w:rsidRPr="004B471D">
        <w:rPr>
          <w:rStyle w:val="Brak"/>
          <w:sz w:val="24"/>
          <w:szCs w:val="24"/>
        </w:rPr>
        <w:t>przyczyniły się do znacznego wzrostu PKB. Jak podsumowywał ekonomista Ignacy Morawski po 15 latach obecności Polski w UE</w:t>
      </w:r>
      <w:r w:rsidRPr="004B471D">
        <w:rPr>
          <w:rStyle w:val="Brak"/>
          <w:sz w:val="24"/>
          <w:szCs w:val="24"/>
          <w:vertAlign w:val="superscript"/>
        </w:rPr>
        <w:footnoteReference w:id="3"/>
      </w:r>
      <w:r w:rsidRPr="004B471D">
        <w:rPr>
          <w:rStyle w:val="Brak"/>
          <w:sz w:val="24"/>
          <w:szCs w:val="24"/>
        </w:rPr>
        <w:t xml:space="preserve">, w ostatnich dekadach rozwijaliśmy się o ok. 1,5-2 </w:t>
      </w:r>
      <w:proofErr w:type="spellStart"/>
      <w:r w:rsidRPr="004B471D">
        <w:rPr>
          <w:rStyle w:val="Brak"/>
          <w:sz w:val="24"/>
          <w:szCs w:val="24"/>
        </w:rPr>
        <w:t>p.p</w:t>
      </w:r>
      <w:proofErr w:type="spellEnd"/>
      <w:r w:rsidRPr="004B471D">
        <w:rPr>
          <w:rStyle w:val="Brak"/>
          <w:sz w:val="24"/>
          <w:szCs w:val="24"/>
        </w:rPr>
        <w:t xml:space="preserve">. szybciej niż kraje rozwinięte. </w:t>
      </w:r>
    </w:p>
    <w:p w14:paraId="0A000000" w14:textId="59AEF5BF" w:rsidR="00774AF5" w:rsidRPr="004B471D" w:rsidRDefault="004B471D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sz w:val="24"/>
          <w:szCs w:val="24"/>
        </w:rPr>
        <w:t xml:space="preserve">W 2004 roku, gdy Polska wchodziła do Unii Europejskiej, nasze PKB wyniosło 933,06 mln zł, a po 15 latach –  </w:t>
      </w:r>
      <w:r w:rsidRPr="004B471D">
        <w:rPr>
          <w:rStyle w:val="hgkelc"/>
          <w:bCs/>
          <w:sz w:val="24"/>
          <w:szCs w:val="24"/>
        </w:rPr>
        <w:t xml:space="preserve">2 116,4 mld zł. </w:t>
      </w:r>
      <w:r w:rsidRPr="004B471D">
        <w:rPr>
          <w:rStyle w:val="hgkelc"/>
          <w:b/>
          <w:bCs/>
          <w:sz w:val="24"/>
          <w:szCs w:val="24"/>
        </w:rPr>
        <w:t xml:space="preserve"> </w:t>
      </w:r>
      <w:r w:rsidRPr="004B471D">
        <w:rPr>
          <w:rStyle w:val="markedcontent"/>
          <w:sz w:val="24"/>
          <w:szCs w:val="24"/>
        </w:rPr>
        <w:t>Produkt krajowy brutto Polski wzrósł pomiędzy 2004 r. a 2018 r. o ponad 70%</w:t>
      </w:r>
      <w:r>
        <w:rPr>
          <w:rStyle w:val="markedcontent"/>
          <w:sz w:val="24"/>
          <w:szCs w:val="24"/>
        </w:rPr>
        <w:t xml:space="preserve">. </w:t>
      </w:r>
      <w:r w:rsidR="00CB3501" w:rsidRPr="004B471D">
        <w:rPr>
          <w:rStyle w:val="Brak"/>
          <w:sz w:val="24"/>
          <w:szCs w:val="24"/>
        </w:rPr>
        <w:t>Z kolei według wyliczeń Polskiego Instytutu Ekonomicznego (PIE) ze stycznia 2023 roku</w:t>
      </w:r>
      <w:r w:rsidR="00CB3501" w:rsidRPr="004B471D">
        <w:rPr>
          <w:rStyle w:val="Brak"/>
          <w:sz w:val="24"/>
          <w:szCs w:val="24"/>
          <w:vertAlign w:val="superscript"/>
        </w:rPr>
        <w:footnoteReference w:id="4"/>
      </w:r>
      <w:r w:rsidR="00CB3501" w:rsidRPr="004B471D">
        <w:rPr>
          <w:rStyle w:val="Brak"/>
          <w:sz w:val="24"/>
          <w:szCs w:val="24"/>
        </w:rPr>
        <w:t xml:space="preserve">, gdyby nie nasze członkostwo w UE, PKB Polski byłoby niższe o 31%. </w:t>
      </w:r>
    </w:p>
    <w:p w14:paraId="3D0CA338" w14:textId="77777777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>Oczywiście dane te to wynik nie tylko samego włączenia do struktur Wspólnoty, ale także całej transformacji ustrojowej Polski. To także ciężka praca każdej uczciwie pracującej osoby. Jednak gdyby nie wsparcie z Funduszy Europejskich, dzisiaj bez wątpienia nie bylibyśmy w tym samym miejscu, w którym jesteśmy.</w:t>
      </w:r>
    </w:p>
    <w:p w14:paraId="28DE5D0F" w14:textId="77777777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lastRenderedPageBreak/>
        <w:t xml:space="preserve">Z danych PIE wynika także, że dzięki popytowi państw UE, w 2018 r. w Polsce istniało 3,324 mln miejsc pracy. </w:t>
      </w:r>
    </w:p>
    <w:p w14:paraId="75A4C763" w14:textId="4759E4EA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sz w:val="24"/>
          <w:szCs w:val="24"/>
        </w:rPr>
        <w:t>78</w:t>
      </w:r>
      <w:r w:rsidR="004B471D">
        <w:rPr>
          <w:sz w:val="24"/>
          <w:szCs w:val="24"/>
        </w:rPr>
        <w:t>%</w:t>
      </w:r>
      <w:r w:rsidRPr="004B471D">
        <w:rPr>
          <w:sz w:val="24"/>
          <w:szCs w:val="24"/>
        </w:rPr>
        <w:t xml:space="preserve"> firm eksportujących, ankietowanych przez PIE we współpracy z GUS, zadeklarowało, że przynależność </w:t>
      </w:r>
      <w:r w:rsidRPr="004B471D">
        <w:rPr>
          <w:sz w:val="24"/>
          <w:szCs w:val="24"/>
          <w:lang w:val="es-ES_tradnl"/>
        </w:rPr>
        <w:t xml:space="preserve">do </w:t>
      </w:r>
      <w:r w:rsidRPr="004B471D">
        <w:rPr>
          <w:sz w:val="24"/>
          <w:szCs w:val="24"/>
        </w:rPr>
        <w:t xml:space="preserve">Unii Europejskiej daje im lepszą pozycję konkurencyjną niż firmom spoza UE. Z lepszej pozycji korzystają przede wszystkim duże firmy, w </w:t>
      </w:r>
      <w:proofErr w:type="spellStart"/>
      <w:r w:rsidRPr="004B471D">
        <w:rPr>
          <w:sz w:val="24"/>
          <w:szCs w:val="24"/>
        </w:rPr>
        <w:t>kt</w:t>
      </w:r>
      <w:proofErr w:type="spellEnd"/>
      <w:r w:rsidRPr="004B471D">
        <w:rPr>
          <w:sz w:val="24"/>
          <w:szCs w:val="24"/>
          <w:lang w:val="es-ES_tradnl"/>
        </w:rPr>
        <w:t>ó</w:t>
      </w:r>
      <w:proofErr w:type="spellStart"/>
      <w:r w:rsidRPr="004B471D">
        <w:rPr>
          <w:sz w:val="24"/>
          <w:szCs w:val="24"/>
        </w:rPr>
        <w:t>rych</w:t>
      </w:r>
      <w:proofErr w:type="spellEnd"/>
      <w:r w:rsidRPr="004B471D">
        <w:rPr>
          <w:sz w:val="24"/>
          <w:szCs w:val="24"/>
        </w:rPr>
        <w:t xml:space="preserve"> ponad połowę </w:t>
      </w:r>
      <w:proofErr w:type="spellStart"/>
      <w:r w:rsidRPr="004B471D">
        <w:rPr>
          <w:sz w:val="24"/>
          <w:szCs w:val="24"/>
        </w:rPr>
        <w:t>przychod</w:t>
      </w:r>
      <w:proofErr w:type="spellEnd"/>
      <w:r w:rsidRPr="004B471D">
        <w:rPr>
          <w:sz w:val="24"/>
          <w:szCs w:val="24"/>
          <w:lang w:val="es-ES_tradnl"/>
        </w:rPr>
        <w:t>ó</w:t>
      </w:r>
      <w:r w:rsidRPr="004B471D">
        <w:rPr>
          <w:sz w:val="24"/>
          <w:szCs w:val="24"/>
        </w:rPr>
        <w:t>w stanowi eksport oraz przedsiębiorstwa z udziałem kapitału zagranicznego</w:t>
      </w:r>
      <w:r w:rsidRPr="004B471D">
        <w:rPr>
          <w:rStyle w:val="Brak"/>
          <w:sz w:val="24"/>
          <w:szCs w:val="24"/>
          <w:vertAlign w:val="superscript"/>
        </w:rPr>
        <w:footnoteReference w:id="5"/>
      </w:r>
      <w:r w:rsidRPr="004B471D">
        <w:rPr>
          <w:sz w:val="24"/>
          <w:szCs w:val="24"/>
        </w:rPr>
        <w:t>.</w:t>
      </w:r>
    </w:p>
    <w:p w14:paraId="4D8210FB" w14:textId="28EC3196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 xml:space="preserve">W minionych latach tysiące przedsiębiorców uzyskało także dotacje za pośrednictwem Polskiej Agencji Rozwoju Przedsiębiorczości (PARP). Celem organizacji jest </w:t>
      </w:r>
      <w:r w:rsidR="00011834" w:rsidRPr="004B471D">
        <w:rPr>
          <w:rStyle w:val="x193iq5w"/>
          <w:sz w:val="24"/>
          <w:szCs w:val="24"/>
        </w:rPr>
        <w:t>realizacja programów rozwoju gospodarki wspierających działalność innowacyjną, inwestycyjną i badawczą małych i średnich przedsiębiorstw (MŚP), rozwój regionalny, wzrost eksportu, rozwój zasobów ludzkich oraz wykorzystywanie nowych technologii w działalności gospodarczej.</w:t>
      </w:r>
    </w:p>
    <w:p w14:paraId="11D25C4E" w14:textId="08370BD5" w:rsidR="00E410FB" w:rsidRPr="004B471D" w:rsidRDefault="00E410FB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 xml:space="preserve">Tylko w latach 2014-2022, PARP zawarła prawie 13,4 tys. umów o dofinansowanie, przyznała łącznie przedsiębiorcom, jednostkom samorządu terytorialnego, pomysłodawcom, ośrodkom innowacji, a także podmiotom świadczącym usługi szkoleniowe i doradcze </w:t>
      </w:r>
      <w:r w:rsidR="00133659" w:rsidRPr="004B471D">
        <w:rPr>
          <w:rStyle w:val="Brak"/>
          <w:sz w:val="24"/>
          <w:szCs w:val="24"/>
        </w:rPr>
        <w:t xml:space="preserve">ponad </w:t>
      </w:r>
      <w:r w:rsidRPr="004B471D">
        <w:rPr>
          <w:rStyle w:val="Brak"/>
          <w:sz w:val="24"/>
          <w:szCs w:val="24"/>
        </w:rPr>
        <w:t>15 mld zł dofinansowania z Funduszy Europejskich.</w:t>
      </w:r>
    </w:p>
    <w:p w14:paraId="4E2BDE1F" w14:textId="50D8C03D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 xml:space="preserve">Projekty wsparte przez PARP za sprawą Funduszy Europejskich pozwoliły polskim przedsiębiorcom m.in. na </w:t>
      </w:r>
      <w:r w:rsidR="00133659" w:rsidRPr="004B471D">
        <w:rPr>
          <w:rStyle w:val="Brak"/>
          <w:sz w:val="24"/>
          <w:szCs w:val="24"/>
        </w:rPr>
        <w:t xml:space="preserve">tworzenie i realizację często pionierskich wyrobów czy usług, </w:t>
      </w:r>
      <w:hyperlink r:id="rId8" w:history="1">
        <w:r w:rsidRPr="004B471D">
          <w:rPr>
            <w:rStyle w:val="Hyperlink1"/>
            <w:sz w:val="24"/>
            <w:szCs w:val="24"/>
          </w:rPr>
          <w:t>wdrożenie oszczędności</w:t>
        </w:r>
      </w:hyperlink>
      <w:r w:rsidRPr="004B471D">
        <w:rPr>
          <w:rStyle w:val="Brak"/>
          <w:sz w:val="24"/>
          <w:szCs w:val="24"/>
        </w:rPr>
        <w:t xml:space="preserve">, optymalizację wydatków i procesów, </w:t>
      </w:r>
      <w:hyperlink r:id="rId9" w:history="1">
        <w:r w:rsidRPr="004B471D">
          <w:rPr>
            <w:rStyle w:val="Hyperlink1"/>
            <w:sz w:val="24"/>
            <w:szCs w:val="24"/>
          </w:rPr>
          <w:t xml:space="preserve">realizację zrównoważonych i </w:t>
        </w:r>
        <w:proofErr w:type="spellStart"/>
        <w:r w:rsidRPr="004B471D">
          <w:rPr>
            <w:rStyle w:val="Hyperlink1"/>
            <w:sz w:val="24"/>
            <w:szCs w:val="24"/>
          </w:rPr>
          <w:t>prośrodowiskowych</w:t>
        </w:r>
        <w:proofErr w:type="spellEnd"/>
        <w:r w:rsidRPr="004B471D">
          <w:rPr>
            <w:rStyle w:val="Hyperlink1"/>
            <w:sz w:val="24"/>
            <w:szCs w:val="24"/>
          </w:rPr>
          <w:t xml:space="preserve"> rozwiązań</w:t>
        </w:r>
      </w:hyperlink>
      <w:r w:rsidRPr="004B471D">
        <w:rPr>
          <w:rStyle w:val="Brak"/>
          <w:sz w:val="24"/>
          <w:szCs w:val="24"/>
        </w:rPr>
        <w:t xml:space="preserve"> czy rozwój kompetencji kluczowych na rynku pracy. A to tylko przykłady.</w:t>
      </w:r>
    </w:p>
    <w:p w14:paraId="03F53789" w14:textId="77777777" w:rsidR="00774AF5" w:rsidRPr="004B471D" w:rsidRDefault="00CB3501" w:rsidP="004B471D">
      <w:pPr>
        <w:pStyle w:val="Nagwek2"/>
        <w:rPr>
          <w:rStyle w:val="Brak"/>
        </w:rPr>
      </w:pPr>
      <w:r w:rsidRPr="004B471D">
        <w:rPr>
          <w:rStyle w:val="Brak"/>
        </w:rPr>
        <w:t>76 miliardów euro na rozwój Polski</w:t>
      </w:r>
    </w:p>
    <w:p w14:paraId="7160484D" w14:textId="77777777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  <w:shd w:val="clear" w:color="auto" w:fill="FFFFFF"/>
        </w:rPr>
      </w:pPr>
      <w:r w:rsidRPr="004B471D">
        <w:rPr>
          <w:rStyle w:val="Brak"/>
          <w:sz w:val="24"/>
          <w:szCs w:val="24"/>
          <w:shd w:val="clear" w:color="auto" w:fill="FFFFFF"/>
        </w:rPr>
        <w:t xml:space="preserve">Polityka </w:t>
      </w:r>
      <w:proofErr w:type="spellStart"/>
      <w:r w:rsidRPr="004B471D">
        <w:rPr>
          <w:rStyle w:val="Brak"/>
          <w:sz w:val="24"/>
          <w:szCs w:val="24"/>
          <w:shd w:val="clear" w:color="auto" w:fill="FFFFFF"/>
        </w:rPr>
        <w:t>sp</w:t>
      </w:r>
      <w:proofErr w:type="spellEnd"/>
      <w:r w:rsidRPr="004B471D">
        <w:rPr>
          <w:rStyle w:val="Brak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4B471D">
        <w:rPr>
          <w:rStyle w:val="Brak"/>
          <w:sz w:val="24"/>
          <w:szCs w:val="24"/>
          <w:shd w:val="clear" w:color="auto" w:fill="FFFFFF"/>
        </w:rPr>
        <w:t>jności</w:t>
      </w:r>
      <w:proofErr w:type="spellEnd"/>
      <w:r w:rsidRPr="004B471D">
        <w:rPr>
          <w:rStyle w:val="Brak"/>
          <w:sz w:val="24"/>
          <w:szCs w:val="24"/>
          <w:shd w:val="clear" w:color="auto" w:fill="FFFFFF"/>
        </w:rPr>
        <w:t xml:space="preserve"> przyczyniła się do realizacji w całej Europie tysięcy projekt</w:t>
      </w:r>
      <w:r w:rsidRPr="004B471D">
        <w:rPr>
          <w:rStyle w:val="Brak"/>
          <w:sz w:val="24"/>
          <w:szCs w:val="24"/>
          <w:shd w:val="clear" w:color="auto" w:fill="FFFFFF"/>
          <w:lang w:val="es-ES_tradnl"/>
        </w:rPr>
        <w:t>ó</w:t>
      </w:r>
      <w:r w:rsidRPr="004B471D">
        <w:rPr>
          <w:rStyle w:val="Brak"/>
          <w:sz w:val="24"/>
          <w:szCs w:val="24"/>
          <w:shd w:val="clear" w:color="auto" w:fill="FFFFFF"/>
        </w:rPr>
        <w:t xml:space="preserve">w realizowanych ze </w:t>
      </w:r>
      <w:proofErr w:type="spellStart"/>
      <w:r w:rsidRPr="004B471D">
        <w:rPr>
          <w:rStyle w:val="Brak"/>
          <w:sz w:val="24"/>
          <w:szCs w:val="24"/>
          <w:shd w:val="clear" w:color="auto" w:fill="FFFFFF"/>
        </w:rPr>
        <w:t>środk</w:t>
      </w:r>
      <w:proofErr w:type="spellEnd"/>
      <w:r w:rsidRPr="004B471D">
        <w:rPr>
          <w:rStyle w:val="Brak"/>
          <w:sz w:val="24"/>
          <w:szCs w:val="24"/>
          <w:shd w:val="clear" w:color="auto" w:fill="FFFFFF"/>
          <w:lang w:val="es-ES_tradnl"/>
        </w:rPr>
        <w:t>ó</w:t>
      </w:r>
      <w:r w:rsidRPr="004B471D">
        <w:rPr>
          <w:rStyle w:val="Brak"/>
          <w:sz w:val="24"/>
          <w:szCs w:val="24"/>
          <w:shd w:val="clear" w:color="auto" w:fill="FFFFFF"/>
        </w:rPr>
        <w:t xml:space="preserve">w finansowych Europejskiego Funduszu Rozwoju Regionalnego (EFRR), Europejskiego Funduszu Społecznego (EFS) oraz Funduszu </w:t>
      </w:r>
      <w:proofErr w:type="spellStart"/>
      <w:r w:rsidRPr="004B471D">
        <w:rPr>
          <w:rStyle w:val="Brak"/>
          <w:sz w:val="24"/>
          <w:szCs w:val="24"/>
          <w:shd w:val="clear" w:color="auto" w:fill="FFFFFF"/>
        </w:rPr>
        <w:t>Sp</w:t>
      </w:r>
      <w:proofErr w:type="spellEnd"/>
      <w:r w:rsidRPr="004B471D">
        <w:rPr>
          <w:rStyle w:val="Brak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4B471D">
        <w:rPr>
          <w:rStyle w:val="Brak"/>
          <w:sz w:val="24"/>
          <w:szCs w:val="24"/>
          <w:shd w:val="clear" w:color="auto" w:fill="FFFFFF"/>
        </w:rPr>
        <w:t>jności</w:t>
      </w:r>
      <w:proofErr w:type="spellEnd"/>
      <w:r w:rsidRPr="004B471D">
        <w:rPr>
          <w:rStyle w:val="Brak"/>
          <w:sz w:val="24"/>
          <w:szCs w:val="24"/>
          <w:shd w:val="clear" w:color="auto" w:fill="FFFFFF"/>
          <w:vertAlign w:val="superscript"/>
        </w:rPr>
        <w:footnoteReference w:id="6"/>
      </w:r>
      <w:r w:rsidRPr="004B471D">
        <w:rPr>
          <w:rStyle w:val="Brak"/>
          <w:sz w:val="24"/>
          <w:szCs w:val="24"/>
          <w:shd w:val="clear" w:color="auto" w:fill="FFFFFF"/>
        </w:rPr>
        <w:t>. Kolejne zrealizowane zostaną w ramach nowej perspektywy finansowej na lata 2021-2027.</w:t>
      </w:r>
    </w:p>
    <w:p w14:paraId="15C2A165" w14:textId="77777777" w:rsidR="00774AF5" w:rsidRPr="004B471D" w:rsidRDefault="00CB3501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sz w:val="24"/>
          <w:szCs w:val="24"/>
        </w:rPr>
        <w:t xml:space="preserve">W nowym rozdaniu funduszy unijnych Polska otrzyma największe środki na realizację polityki spójności spośród wszystkich krajów europejskich. 72,2 miliarda euro zostanie przeznaczone na politykę </w:t>
      </w:r>
      <w:proofErr w:type="spellStart"/>
      <w:r w:rsidRPr="004B471D">
        <w:rPr>
          <w:sz w:val="24"/>
          <w:szCs w:val="24"/>
        </w:rPr>
        <w:t>sp</w:t>
      </w:r>
      <w:proofErr w:type="spellEnd"/>
      <w:r w:rsidRPr="004B471D">
        <w:rPr>
          <w:sz w:val="24"/>
          <w:szCs w:val="24"/>
          <w:lang w:val="es-ES_tradnl"/>
        </w:rPr>
        <w:t>ó</w:t>
      </w:r>
      <w:proofErr w:type="spellStart"/>
      <w:r w:rsidRPr="004B471D">
        <w:rPr>
          <w:sz w:val="24"/>
          <w:szCs w:val="24"/>
        </w:rPr>
        <w:t>jności</w:t>
      </w:r>
      <w:proofErr w:type="spellEnd"/>
      <w:r w:rsidRPr="004B471D">
        <w:rPr>
          <w:sz w:val="24"/>
          <w:szCs w:val="24"/>
        </w:rPr>
        <w:t xml:space="preserve">, zaś 3,8 mld euro </w:t>
      </w:r>
      <w:proofErr w:type="spellStart"/>
      <w:r w:rsidRPr="004B471D">
        <w:rPr>
          <w:sz w:val="24"/>
          <w:szCs w:val="24"/>
        </w:rPr>
        <w:t>środk</w:t>
      </w:r>
      <w:proofErr w:type="spellEnd"/>
      <w:r w:rsidRPr="004B471D">
        <w:rPr>
          <w:sz w:val="24"/>
          <w:szCs w:val="24"/>
          <w:lang w:val="es-ES_tradnl"/>
        </w:rPr>
        <w:t>ó</w:t>
      </w:r>
      <w:r w:rsidRPr="004B471D">
        <w:rPr>
          <w:sz w:val="24"/>
          <w:szCs w:val="24"/>
        </w:rPr>
        <w:t xml:space="preserve">w będzie pochodzić z Funduszu na rzecz Sprawiedliwej Transformacji. Łącznie to </w:t>
      </w:r>
      <w:proofErr w:type="spellStart"/>
      <w:r w:rsidRPr="004B471D">
        <w:rPr>
          <w:sz w:val="24"/>
          <w:szCs w:val="24"/>
        </w:rPr>
        <w:t>okoł</w:t>
      </w:r>
      <w:proofErr w:type="spellEnd"/>
      <w:r w:rsidRPr="004B471D">
        <w:rPr>
          <w:sz w:val="24"/>
          <w:szCs w:val="24"/>
          <w:lang w:val="it-IT"/>
        </w:rPr>
        <w:t>o 76 miliard</w:t>
      </w:r>
      <w:r w:rsidRPr="004B471D">
        <w:rPr>
          <w:sz w:val="24"/>
          <w:szCs w:val="24"/>
          <w:lang w:val="es-ES_tradnl"/>
        </w:rPr>
        <w:t>ó</w:t>
      </w:r>
      <w:r w:rsidRPr="004B471D">
        <w:rPr>
          <w:sz w:val="24"/>
          <w:szCs w:val="24"/>
        </w:rPr>
        <w:t>w euro dotacji</w:t>
      </w:r>
      <w:r w:rsidRPr="004B471D">
        <w:rPr>
          <w:rStyle w:val="Brak"/>
          <w:sz w:val="24"/>
          <w:szCs w:val="24"/>
          <w:vertAlign w:val="superscript"/>
        </w:rPr>
        <w:footnoteReference w:id="7"/>
      </w:r>
      <w:r w:rsidRPr="004B471D">
        <w:rPr>
          <w:sz w:val="24"/>
          <w:szCs w:val="24"/>
        </w:rPr>
        <w:t>.</w:t>
      </w:r>
    </w:p>
    <w:p w14:paraId="66B65710" w14:textId="77777777" w:rsidR="00774AF5" w:rsidRPr="004B471D" w:rsidRDefault="00CB3501">
      <w:pPr>
        <w:spacing w:before="120" w:after="120" w:line="276" w:lineRule="auto"/>
        <w:rPr>
          <w:rStyle w:val="Brak"/>
          <w:b/>
          <w:bCs/>
          <w:sz w:val="24"/>
          <w:szCs w:val="24"/>
        </w:rPr>
      </w:pPr>
      <w:r w:rsidRPr="004B471D">
        <w:rPr>
          <w:rStyle w:val="Brak"/>
          <w:b/>
          <w:bCs/>
          <w:sz w:val="24"/>
          <w:szCs w:val="24"/>
        </w:rPr>
        <w:lastRenderedPageBreak/>
        <w:t xml:space="preserve">Wśród programów, które finansowane będą do 2027 roku, znalazły się m.in. kontynuacje dotychczasowych realizacji, za które odpowiadać będzie Polska Agencja Rozwoju Przedsiębiorczości. </w:t>
      </w:r>
    </w:p>
    <w:p w14:paraId="7C36E391" w14:textId="77777777" w:rsidR="00774AF5" w:rsidRPr="004B471D" w:rsidRDefault="00CB3501" w:rsidP="004B471D">
      <w:pPr>
        <w:pStyle w:val="Nagwek2"/>
        <w:rPr>
          <w:rStyle w:val="Brak"/>
        </w:rPr>
      </w:pPr>
      <w:r w:rsidRPr="004B471D">
        <w:rPr>
          <w:rStyle w:val="Brak"/>
        </w:rPr>
        <w:t>Programy ukierunkowane na polskich przedsiębiorców</w:t>
      </w:r>
      <w:r w:rsidR="008C34A6" w:rsidRPr="004B471D">
        <w:rPr>
          <w:rStyle w:val="Brak"/>
        </w:rPr>
        <w:t xml:space="preserve"> realizowane przez PARP</w:t>
      </w:r>
    </w:p>
    <w:p w14:paraId="60C51AF3" w14:textId="6333C2FD" w:rsidR="00774AF5" w:rsidRPr="004B471D" w:rsidRDefault="00EB441F">
      <w:pPr>
        <w:spacing w:before="120" w:after="120" w:line="276" w:lineRule="auto"/>
        <w:rPr>
          <w:rStyle w:val="Brak"/>
          <w:sz w:val="24"/>
          <w:szCs w:val="24"/>
        </w:rPr>
      </w:pPr>
      <w:r w:rsidRPr="004B471D">
        <w:rPr>
          <w:rStyle w:val="Brak"/>
          <w:sz w:val="24"/>
          <w:szCs w:val="24"/>
        </w:rPr>
        <w:t>Programami, mającymi</w:t>
      </w:r>
      <w:r w:rsidR="00CB3501" w:rsidRPr="004B471D">
        <w:rPr>
          <w:rStyle w:val="Brak"/>
          <w:sz w:val="24"/>
          <w:szCs w:val="24"/>
        </w:rPr>
        <w:t xml:space="preserve"> na celu wsparcie rozwoju polskich biznesów w nadchodzących latach</w:t>
      </w:r>
      <w:r w:rsidRPr="004B471D">
        <w:rPr>
          <w:rStyle w:val="Brak"/>
          <w:sz w:val="24"/>
          <w:szCs w:val="24"/>
        </w:rPr>
        <w:t>, w które zaangażowana będzie Polska Agencja Rozwoju Przedsiębiorczości, są:</w:t>
      </w:r>
      <w:r w:rsidR="00CB3501" w:rsidRPr="004B471D">
        <w:rPr>
          <w:rStyle w:val="Brak"/>
          <w:sz w:val="24"/>
          <w:szCs w:val="24"/>
        </w:rPr>
        <w:t xml:space="preserve"> </w:t>
      </w:r>
    </w:p>
    <w:p w14:paraId="04A7BE10" w14:textId="628E4530" w:rsidR="00774AF5" w:rsidRPr="004B471D" w:rsidRDefault="00CB3501">
      <w:pPr>
        <w:spacing w:before="120" w:after="120" w:line="276" w:lineRule="auto"/>
        <w:rPr>
          <w:sz w:val="24"/>
          <w:szCs w:val="24"/>
        </w:rPr>
      </w:pPr>
      <w:r w:rsidRPr="004B471D">
        <w:rPr>
          <w:rStyle w:val="Brak"/>
          <w:sz w:val="24"/>
          <w:szCs w:val="24"/>
        </w:rPr>
        <w:t>–</w:t>
      </w:r>
      <w:r w:rsidRPr="004B471D">
        <w:rPr>
          <w:rStyle w:val="Hyperlink1"/>
          <w:sz w:val="24"/>
          <w:szCs w:val="24"/>
        </w:rPr>
        <w:t xml:space="preserve"> </w:t>
      </w:r>
      <w:hyperlink r:id="rId10" w:history="1">
        <w:r w:rsidRPr="004B471D">
          <w:rPr>
            <w:rStyle w:val="Hyperlink1"/>
            <w:sz w:val="24"/>
            <w:szCs w:val="24"/>
          </w:rPr>
          <w:t>Program Fundusze Europejskie dla Nowoczesnej Gospodarki (FENG)</w:t>
        </w:r>
      </w:hyperlink>
      <w:r w:rsidRPr="004B471D">
        <w:rPr>
          <w:sz w:val="24"/>
          <w:szCs w:val="24"/>
        </w:rPr>
        <w:t>, zorientowany na inwestycje w projekty badawczo-rozwojowe, innowacyjne i zwiększające konkurencyjność polskiej gospodarki (budżet</w:t>
      </w:r>
      <w:r w:rsidR="00E410FB" w:rsidRPr="004B471D">
        <w:rPr>
          <w:sz w:val="24"/>
          <w:szCs w:val="24"/>
        </w:rPr>
        <w:t xml:space="preserve"> PARP: </w:t>
      </w:r>
      <w:r w:rsidR="00E410FB" w:rsidRPr="004B471D">
        <w:rPr>
          <w:bCs/>
          <w:sz w:val="24"/>
          <w:szCs w:val="24"/>
        </w:rPr>
        <w:t>2,82 mld euro</w:t>
      </w:r>
      <w:r w:rsidRPr="004B471D">
        <w:rPr>
          <w:sz w:val="24"/>
          <w:szCs w:val="24"/>
        </w:rPr>
        <w:t>);</w:t>
      </w:r>
    </w:p>
    <w:p w14:paraId="323320DD" w14:textId="6D6BE75A" w:rsidR="00774AF5" w:rsidRPr="004B471D" w:rsidRDefault="00CB3501">
      <w:pPr>
        <w:spacing w:before="120" w:after="120" w:line="276" w:lineRule="auto"/>
        <w:rPr>
          <w:sz w:val="24"/>
          <w:szCs w:val="24"/>
        </w:rPr>
      </w:pPr>
      <w:r w:rsidRPr="004B471D">
        <w:rPr>
          <w:rStyle w:val="Brak"/>
          <w:sz w:val="24"/>
          <w:szCs w:val="24"/>
        </w:rPr>
        <w:t xml:space="preserve">– </w:t>
      </w:r>
      <w:hyperlink r:id="rId11" w:history="1">
        <w:r w:rsidRPr="004B471D">
          <w:rPr>
            <w:rStyle w:val="Hyperlink1"/>
            <w:sz w:val="24"/>
            <w:szCs w:val="24"/>
          </w:rPr>
          <w:t>Program Fundusze Europejskie dla Rozwoju Społecznego (FERS)</w:t>
        </w:r>
      </w:hyperlink>
      <w:r w:rsidRPr="004B471D">
        <w:rPr>
          <w:sz w:val="24"/>
          <w:szCs w:val="24"/>
        </w:rPr>
        <w:t>, skupiający się na wzmacnianiu rynku pracy, rozwoju edukacji i usług zdrowotnych (budżet</w:t>
      </w:r>
      <w:r w:rsidR="00E410FB" w:rsidRPr="004B471D">
        <w:rPr>
          <w:sz w:val="24"/>
          <w:szCs w:val="24"/>
        </w:rPr>
        <w:t xml:space="preserve"> PARP</w:t>
      </w:r>
      <w:r w:rsidRPr="004B471D">
        <w:rPr>
          <w:sz w:val="24"/>
          <w:szCs w:val="24"/>
        </w:rPr>
        <w:t>: </w:t>
      </w:r>
      <w:r w:rsidR="00422F79" w:rsidRPr="004B471D">
        <w:rPr>
          <w:bCs/>
          <w:sz w:val="24"/>
          <w:szCs w:val="24"/>
        </w:rPr>
        <w:t>1,37 mld zł</w:t>
      </w:r>
      <w:bookmarkStart w:id="1" w:name="_GoBack"/>
      <w:bookmarkEnd w:id="1"/>
      <w:r w:rsidRPr="004B471D">
        <w:rPr>
          <w:sz w:val="24"/>
          <w:szCs w:val="24"/>
        </w:rPr>
        <w:t>);</w:t>
      </w:r>
    </w:p>
    <w:p w14:paraId="6E8088D6" w14:textId="14D0D6BD" w:rsidR="00774AF5" w:rsidRPr="004B471D" w:rsidRDefault="00CB3501">
      <w:pPr>
        <w:spacing w:before="120" w:after="120" w:line="276" w:lineRule="auto"/>
        <w:rPr>
          <w:sz w:val="24"/>
          <w:szCs w:val="24"/>
        </w:rPr>
      </w:pPr>
      <w:r w:rsidRPr="004B471D">
        <w:rPr>
          <w:sz w:val="24"/>
          <w:szCs w:val="24"/>
        </w:rPr>
        <w:t xml:space="preserve">– </w:t>
      </w:r>
      <w:hyperlink r:id="rId12" w:history="1">
        <w:r w:rsidRPr="004B471D">
          <w:rPr>
            <w:rStyle w:val="Hyperlink1"/>
            <w:sz w:val="24"/>
            <w:szCs w:val="24"/>
          </w:rPr>
          <w:t>Program Fundusze Europejskie dla Polski Wschodniej (FEPW)</w:t>
        </w:r>
      </w:hyperlink>
      <w:r w:rsidRPr="004B471D">
        <w:rPr>
          <w:sz w:val="24"/>
          <w:szCs w:val="24"/>
        </w:rPr>
        <w:t xml:space="preserve">, nastawiony na wsparcie </w:t>
      </w:r>
      <w:proofErr w:type="spellStart"/>
      <w:r w:rsidRPr="004B471D">
        <w:rPr>
          <w:sz w:val="24"/>
          <w:szCs w:val="24"/>
        </w:rPr>
        <w:t>wojew</w:t>
      </w:r>
      <w:proofErr w:type="spellEnd"/>
      <w:r w:rsidRPr="004B471D">
        <w:rPr>
          <w:sz w:val="24"/>
          <w:szCs w:val="24"/>
          <w:lang w:val="es-ES_tradnl"/>
        </w:rPr>
        <w:t>ó</w:t>
      </w:r>
      <w:proofErr w:type="spellStart"/>
      <w:r w:rsidRPr="004B471D">
        <w:rPr>
          <w:sz w:val="24"/>
          <w:szCs w:val="24"/>
        </w:rPr>
        <w:t>dztw</w:t>
      </w:r>
      <w:proofErr w:type="spellEnd"/>
      <w:r w:rsidR="008C34A6" w:rsidRPr="004B471D">
        <w:rPr>
          <w:sz w:val="24"/>
          <w:szCs w:val="24"/>
        </w:rPr>
        <w:t xml:space="preserve"> ściany wschodniej</w:t>
      </w:r>
      <w:r w:rsidRPr="004B471D">
        <w:rPr>
          <w:sz w:val="24"/>
          <w:szCs w:val="24"/>
        </w:rPr>
        <w:t>: lubelskie</w:t>
      </w:r>
      <w:r w:rsidR="008C34A6" w:rsidRPr="004B471D">
        <w:rPr>
          <w:sz w:val="24"/>
          <w:szCs w:val="24"/>
        </w:rPr>
        <w:t>go</w:t>
      </w:r>
      <w:r w:rsidRPr="004B471D">
        <w:rPr>
          <w:sz w:val="24"/>
          <w:szCs w:val="24"/>
        </w:rPr>
        <w:t xml:space="preserve">, </w:t>
      </w:r>
      <w:proofErr w:type="spellStart"/>
      <w:r w:rsidRPr="004B471D">
        <w:rPr>
          <w:sz w:val="24"/>
          <w:szCs w:val="24"/>
        </w:rPr>
        <w:t>podlaski</w:t>
      </w:r>
      <w:r w:rsidR="008C34A6" w:rsidRPr="004B471D">
        <w:rPr>
          <w:sz w:val="24"/>
          <w:szCs w:val="24"/>
        </w:rPr>
        <w:t>go</w:t>
      </w:r>
      <w:r w:rsidRPr="004B471D">
        <w:rPr>
          <w:sz w:val="24"/>
          <w:szCs w:val="24"/>
        </w:rPr>
        <w:t>e</w:t>
      </w:r>
      <w:proofErr w:type="spellEnd"/>
      <w:r w:rsidRPr="004B471D">
        <w:rPr>
          <w:sz w:val="24"/>
          <w:szCs w:val="24"/>
        </w:rPr>
        <w:t>, podkarpackie</w:t>
      </w:r>
      <w:r w:rsidR="008C34A6" w:rsidRPr="004B471D">
        <w:rPr>
          <w:sz w:val="24"/>
          <w:szCs w:val="24"/>
        </w:rPr>
        <w:t>go</w:t>
      </w:r>
      <w:r w:rsidRPr="004B471D">
        <w:rPr>
          <w:sz w:val="24"/>
          <w:szCs w:val="24"/>
        </w:rPr>
        <w:t>, świętokrzyskie</w:t>
      </w:r>
      <w:r w:rsidR="008C34A6" w:rsidRPr="004B471D">
        <w:rPr>
          <w:sz w:val="24"/>
          <w:szCs w:val="24"/>
        </w:rPr>
        <w:t>go</w:t>
      </w:r>
      <w:r w:rsidRPr="004B471D">
        <w:rPr>
          <w:sz w:val="24"/>
          <w:szCs w:val="24"/>
        </w:rPr>
        <w:t xml:space="preserve"> i warmińsko-mazurskie</w:t>
      </w:r>
      <w:r w:rsidR="008C34A6" w:rsidRPr="004B471D">
        <w:rPr>
          <w:sz w:val="24"/>
          <w:szCs w:val="24"/>
        </w:rPr>
        <w:t>go</w:t>
      </w:r>
      <w:r w:rsidRPr="004B471D">
        <w:rPr>
          <w:sz w:val="24"/>
          <w:szCs w:val="24"/>
        </w:rPr>
        <w:t xml:space="preserve"> oraz </w:t>
      </w:r>
      <w:r w:rsidR="008C34A6" w:rsidRPr="004B471D">
        <w:rPr>
          <w:sz w:val="24"/>
          <w:szCs w:val="24"/>
        </w:rPr>
        <w:t xml:space="preserve">części województwa </w:t>
      </w:r>
      <w:r w:rsidRPr="004B471D">
        <w:rPr>
          <w:sz w:val="24"/>
          <w:szCs w:val="24"/>
        </w:rPr>
        <w:t xml:space="preserve">mazowieckiego. Program ułatwia </w:t>
      </w:r>
      <w:proofErr w:type="spellStart"/>
      <w:r w:rsidRPr="004B471D">
        <w:rPr>
          <w:sz w:val="24"/>
          <w:szCs w:val="24"/>
        </w:rPr>
        <w:t>rozw</w:t>
      </w:r>
      <w:proofErr w:type="spellEnd"/>
      <w:r w:rsidRPr="004B471D">
        <w:rPr>
          <w:sz w:val="24"/>
          <w:szCs w:val="24"/>
          <w:lang w:val="es-ES_tradnl"/>
        </w:rPr>
        <w:t>ó</w:t>
      </w:r>
      <w:r w:rsidRPr="004B471D">
        <w:rPr>
          <w:sz w:val="24"/>
          <w:szCs w:val="24"/>
        </w:rPr>
        <w:t>j biznesu, transportu, obejmuje też inwestycje w sieci energetyczne, ochronę środowiska i turystykę (budżet</w:t>
      </w:r>
      <w:r w:rsidR="00E410FB" w:rsidRPr="004B471D">
        <w:rPr>
          <w:sz w:val="24"/>
          <w:szCs w:val="24"/>
        </w:rPr>
        <w:t xml:space="preserve"> PARP: </w:t>
      </w:r>
      <w:r w:rsidR="00422F79" w:rsidRPr="004B471D">
        <w:rPr>
          <w:sz w:val="24"/>
          <w:szCs w:val="24"/>
        </w:rPr>
        <w:t>1,39 mld euro</w:t>
      </w:r>
      <w:r w:rsidRPr="004B471D">
        <w:rPr>
          <w:sz w:val="24"/>
          <w:szCs w:val="24"/>
        </w:rPr>
        <w:t>).</w:t>
      </w:r>
    </w:p>
    <w:p w14:paraId="48DF3C74" w14:textId="2ACADCF0" w:rsidR="00774AF5" w:rsidRPr="004B471D" w:rsidRDefault="00CB3501">
      <w:pPr>
        <w:spacing w:before="120" w:after="120" w:line="276" w:lineRule="auto"/>
        <w:rPr>
          <w:sz w:val="24"/>
          <w:szCs w:val="24"/>
        </w:rPr>
      </w:pPr>
      <w:r w:rsidRPr="004B471D">
        <w:rPr>
          <w:sz w:val="24"/>
          <w:szCs w:val="24"/>
        </w:rPr>
        <w:t>Wszystkie te programy realizowane są przy udziale Polskiej Agencji Rozwoju Przedsiębiorczości.</w:t>
      </w:r>
    </w:p>
    <w:p w14:paraId="52E40B96" w14:textId="77777777" w:rsidR="004B471D" w:rsidRDefault="00CB3501">
      <w:pPr>
        <w:spacing w:before="120" w:after="120" w:line="276" w:lineRule="auto"/>
        <w:rPr>
          <w:rStyle w:val="Brak"/>
          <w:b/>
          <w:bCs/>
          <w:sz w:val="24"/>
          <w:szCs w:val="24"/>
        </w:rPr>
      </w:pPr>
      <w:r w:rsidRPr="004B471D">
        <w:rPr>
          <w:rStyle w:val="Brak"/>
          <w:b/>
          <w:bCs/>
          <w:sz w:val="24"/>
          <w:szCs w:val="24"/>
        </w:rPr>
        <w:t xml:space="preserve">Szczegółowe informacje o dostępnych programach, finansowanych z Funduszy Europejskich, skierowanych do przedsiębiorców i realizowanych za pośrednictwem PARP można poznać w ramach trwającego właśnie cyklu spotkań regionalnych. </w:t>
      </w:r>
    </w:p>
    <w:p w14:paraId="3CE69554" w14:textId="60BD2291" w:rsidR="00774AF5" w:rsidRPr="004B471D" w:rsidRDefault="00D62E32">
      <w:pPr>
        <w:spacing w:before="120" w:after="120" w:line="276" w:lineRule="auto"/>
        <w:rPr>
          <w:rStyle w:val="Brak"/>
          <w:b/>
          <w:bCs/>
          <w:sz w:val="24"/>
          <w:szCs w:val="24"/>
        </w:rPr>
      </w:pPr>
      <w:hyperlink r:id="rId13" w:history="1">
        <w:r w:rsidR="00CB3501" w:rsidRPr="004B471D">
          <w:rPr>
            <w:rStyle w:val="Hyperlink1"/>
            <w:b/>
            <w:bCs/>
            <w:sz w:val="24"/>
            <w:szCs w:val="24"/>
          </w:rPr>
          <w:t>Więcej informacji znajduje się na stronie PARP.</w:t>
        </w:r>
      </w:hyperlink>
      <w:r w:rsidR="00CB3501" w:rsidRPr="004B471D">
        <w:rPr>
          <w:b/>
          <w:bCs/>
          <w:sz w:val="24"/>
          <w:szCs w:val="24"/>
        </w:rPr>
        <w:t> </w:t>
      </w:r>
    </w:p>
    <w:p w14:paraId="74FB9A1E" w14:textId="3972A37A" w:rsidR="00774AF5" w:rsidRDefault="004B471D">
      <w:pPr>
        <w:spacing w:before="120" w:after="12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F65D47" wp14:editId="2C6E6C9A">
            <wp:simplePos x="0" y="0"/>
            <wp:positionH relativeFrom="column">
              <wp:posOffset>-299720</wp:posOffset>
            </wp:positionH>
            <wp:positionV relativeFrom="paragraph">
              <wp:posOffset>160020</wp:posOffset>
            </wp:positionV>
            <wp:extent cx="6540689" cy="7524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ólna belka nowa z POW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68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AF5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97AB" w14:textId="77777777" w:rsidR="00D62E32" w:rsidRDefault="00D62E32">
      <w:pPr>
        <w:spacing w:after="0" w:line="240" w:lineRule="auto"/>
      </w:pPr>
      <w:r>
        <w:separator/>
      </w:r>
    </w:p>
  </w:endnote>
  <w:endnote w:type="continuationSeparator" w:id="0">
    <w:p w14:paraId="587844CC" w14:textId="77777777" w:rsidR="00D62E32" w:rsidRDefault="00D6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22AF" w14:textId="77777777" w:rsidR="00774AF5" w:rsidRDefault="00774AF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9ED9" w14:textId="77777777" w:rsidR="00D62E32" w:rsidRDefault="00D62E32">
      <w:r>
        <w:separator/>
      </w:r>
    </w:p>
  </w:footnote>
  <w:footnote w:type="continuationSeparator" w:id="0">
    <w:p w14:paraId="67446CDB" w14:textId="77777777" w:rsidR="00D62E32" w:rsidRDefault="00D62E32">
      <w:r>
        <w:continuationSeparator/>
      </w:r>
    </w:p>
  </w:footnote>
  <w:footnote w:type="continuationNotice" w:id="1">
    <w:p w14:paraId="743E4407" w14:textId="77777777" w:rsidR="00D62E32" w:rsidRDefault="00D62E32"/>
  </w:footnote>
  <w:footnote w:id="2">
    <w:p w14:paraId="6980FD6C" w14:textId="77777777" w:rsidR="00774AF5" w:rsidRDefault="00CB3501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https://www.gov.pl/web/fundusze-regiony/fundusze-ue-2021-27</w:t>
      </w:r>
    </w:p>
  </w:footnote>
  <w:footnote w:id="3">
    <w:p w14:paraId="14870A47" w14:textId="77777777" w:rsidR="00774AF5" w:rsidRDefault="00CB3501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http://ineuropa.pl/in15/wplyw-integracji-europejskiej/</w:t>
      </w:r>
    </w:p>
  </w:footnote>
  <w:footnote w:id="4">
    <w:p w14:paraId="1BA20ACE" w14:textId="77777777" w:rsidR="00774AF5" w:rsidRDefault="00CB3501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https://pie.net.pl/gdyby-nie-czlonkostwo-w-ue-pkb-polski-byloby-nizsze-o-31-proc-nizsze/</w:t>
      </w:r>
    </w:p>
  </w:footnote>
  <w:footnote w:id="5">
    <w:p w14:paraId="32853F7A" w14:textId="77777777" w:rsidR="00774AF5" w:rsidRDefault="00CB3501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https://polskieradio24.pl/42/259/artykul/3097723,czy-polska-gospodarka-skorzystala-na-wejsciu-do-unii-zobacz-analize-ekspertow-pie</w:t>
      </w:r>
    </w:p>
  </w:footnote>
  <w:footnote w:id="6">
    <w:p w14:paraId="3CE0FF77" w14:textId="77777777" w:rsidR="00774AF5" w:rsidRDefault="00CB3501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https://poland.representation.ec.europa.eu/strategie-i-priorytety/kluczowe-dzialania-ue-dla-polski/polityka-spojnosci_pl</w:t>
      </w:r>
    </w:p>
  </w:footnote>
  <w:footnote w:id="7">
    <w:p w14:paraId="1EB55166" w14:textId="77777777" w:rsidR="00774AF5" w:rsidRDefault="00CB3501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https://www.funduszeeuropejskie.gov.pl/strony/o-funduszach/fundusze-2021-2027/aktualnosci/podsumowanie-2022-ponad-76-mld-euro-z-polityki-spojnosci-zatwierdzenie-programow-przez-ke-i-wyplata-zaliczek/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EA13" w14:textId="77777777" w:rsidR="00774AF5" w:rsidRDefault="00774AF5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F5"/>
    <w:rsid w:val="00011834"/>
    <w:rsid w:val="00022D27"/>
    <w:rsid w:val="000A338B"/>
    <w:rsid w:val="001260B0"/>
    <w:rsid w:val="00133659"/>
    <w:rsid w:val="00262814"/>
    <w:rsid w:val="003D1BE7"/>
    <w:rsid w:val="00422F79"/>
    <w:rsid w:val="004B471D"/>
    <w:rsid w:val="004C0EA5"/>
    <w:rsid w:val="00513927"/>
    <w:rsid w:val="00593CFF"/>
    <w:rsid w:val="005E162C"/>
    <w:rsid w:val="006310CD"/>
    <w:rsid w:val="0066520B"/>
    <w:rsid w:val="00774AF5"/>
    <w:rsid w:val="007A4D5E"/>
    <w:rsid w:val="007E2528"/>
    <w:rsid w:val="00817CD9"/>
    <w:rsid w:val="00825FAA"/>
    <w:rsid w:val="008C34A6"/>
    <w:rsid w:val="009A7C06"/>
    <w:rsid w:val="00AC327A"/>
    <w:rsid w:val="00AF5802"/>
    <w:rsid w:val="00CB3501"/>
    <w:rsid w:val="00CB44F9"/>
    <w:rsid w:val="00D62E32"/>
    <w:rsid w:val="00E1622C"/>
    <w:rsid w:val="00E410FB"/>
    <w:rsid w:val="00EB441F"/>
    <w:rsid w:val="00E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1420"/>
  <w15:docId w15:val="{55F9F640-878C-424F-AF91-1E60CBB3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59" w:lineRule="auto"/>
      <w:outlineLvl w:val="0"/>
    </w:pPr>
    <w:rPr>
      <w:rFonts w:ascii="Calibri" w:hAnsi="Calibri" w:cs="Arial Unicode MS"/>
      <w:b/>
      <w:bCs/>
      <w:color w:val="000000"/>
      <w:sz w:val="32"/>
      <w:szCs w:val="3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1D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u w:color="000000"/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1">
    <w:name w:val="Hyperlink.1"/>
    <w:basedOn w:val="cze"/>
    <w:rPr>
      <w:outline w:val="0"/>
      <w:color w:val="0433FF"/>
      <w:u w:val="single" w:color="0563C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8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CD9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CD9"/>
    <w:rPr>
      <w:rFonts w:ascii="Calibri" w:hAnsi="Calibri" w:cs="Arial Unicode MS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80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5802"/>
  </w:style>
  <w:style w:type="character" w:customStyle="1" w:styleId="hgkelc">
    <w:name w:val="hgkelc"/>
    <w:basedOn w:val="Domylnaczcionkaakapitu"/>
    <w:rsid w:val="00011834"/>
  </w:style>
  <w:style w:type="character" w:customStyle="1" w:styleId="x193iq5w">
    <w:name w:val="x193iq5w"/>
    <w:basedOn w:val="Domylnaczcionkaakapitu"/>
    <w:rsid w:val="00011834"/>
  </w:style>
  <w:style w:type="character" w:customStyle="1" w:styleId="Nagwek2Znak">
    <w:name w:val="Nagłówek 2 Znak"/>
    <w:basedOn w:val="Domylnaczcionkaakapitu"/>
    <w:link w:val="Nagwek2"/>
    <w:uiPriority w:val="9"/>
    <w:rsid w:val="004B471D"/>
    <w:rPr>
      <w:rFonts w:ascii="Calibri" w:eastAsiaTheme="majorEastAsia" w:hAnsi="Calibri" w:cstheme="majorBidi"/>
      <w:b/>
      <w:sz w:val="28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content/article/84196:jak-przedsiebiorcy-daza-do-oszczednosci-poznaj-ich-pomysly-2" TargetMode="External"/><Relationship Id="rId13" Type="http://schemas.openxmlformats.org/officeDocument/2006/relationships/hyperlink" Target="https://www.parp.gov.pl/component/site/site/spotkania-regional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iza_nowicka@parp.gov.pl" TargetMode="External"/><Relationship Id="rId12" Type="http://schemas.openxmlformats.org/officeDocument/2006/relationships/hyperlink" Target="https://fepw.parp.gov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ers.parp.gov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feng.parp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arp.gov.pl/component/content/article/83572:swietokrzyskie-firmy-inwestuja-w-pomysly-korzystne-dla-srodowiska-i-uzyteczne-na-co-dzie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Natalia</dc:creator>
  <cp:lastModifiedBy>Nowicka Luiza</cp:lastModifiedBy>
  <cp:revision>3</cp:revision>
  <dcterms:created xsi:type="dcterms:W3CDTF">2023-05-08T12:59:00Z</dcterms:created>
  <dcterms:modified xsi:type="dcterms:W3CDTF">2023-05-08T13:06:00Z</dcterms:modified>
</cp:coreProperties>
</file>