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3A" w:rsidRPr="00A06B34" w:rsidRDefault="00F95550" w:rsidP="00CD723A">
      <w:pPr>
        <w:rPr>
          <w:lang w:val="en-US"/>
        </w:rPr>
      </w:pPr>
      <w:r>
        <w:rPr>
          <w:lang w:val="en-US"/>
        </w:rPr>
        <w:t>Warszawa</w:t>
      </w:r>
      <w:r w:rsidR="00CD723A" w:rsidRPr="00A06B34">
        <w:rPr>
          <w:lang w:val="en-US"/>
        </w:rPr>
        <w:t xml:space="preserve">, </w:t>
      </w:r>
      <w:r>
        <w:rPr>
          <w:lang w:val="en-US"/>
        </w:rPr>
        <w:t>10.05.</w:t>
      </w:r>
      <w:r w:rsidR="004249F9" w:rsidRPr="00A06B34">
        <w:rPr>
          <w:lang w:val="en-US"/>
        </w:rPr>
        <w:t>20</w:t>
      </w:r>
      <w:r w:rsidR="00A10E01">
        <w:rPr>
          <w:lang w:val="en-US"/>
        </w:rPr>
        <w:t>23</w:t>
      </w:r>
    </w:p>
    <w:p w:rsidR="00422A2C" w:rsidRPr="007B3AFB" w:rsidRDefault="00422A2C" w:rsidP="00CD723A">
      <w:pPr>
        <w:rPr>
          <w:sz w:val="20"/>
          <w:lang w:val="en-US"/>
        </w:rPr>
      </w:pPr>
    </w:p>
    <w:p w:rsidR="00543036" w:rsidRPr="00F74E49" w:rsidRDefault="00991878" w:rsidP="00752921">
      <w:pPr>
        <w:rPr>
          <w:lang w:val="en-US"/>
        </w:rPr>
      </w:pPr>
      <w:r w:rsidRPr="00752921"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77E79888" wp14:editId="0AD39557">
                <wp:extent cx="6479177" cy="2700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77" cy="27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4CD" w:rsidRDefault="001174CD" w:rsidP="008C4C01">
                            <w:pPr>
                              <w:pStyle w:val="Subtitle"/>
                            </w:pPr>
                            <w: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79888" id="Rectangle 6" o:spid="_x0000_s1026" style="width:510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" fillcolor="#00a76c [3204]" stroked="f" strokeweight=".25pt">
                <v:textbox inset="0,0,0,0">
                  <w:txbxContent>
                    <w:p w:rsidR="001174CD" w:rsidRDefault="001174CD" w:rsidP="008C4C01">
                      <w:pPr>
                        <w:pStyle w:val="Subtitle"/>
                      </w:pPr>
                      <w:r>
                        <w:t>press RELEASe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E79DF" w:rsidRPr="00CA07DF" w:rsidRDefault="00CE79DF" w:rsidP="00CE79DF">
      <w:pPr>
        <w:jc w:val="center"/>
        <w:rPr>
          <w:rFonts w:ascii="Arial Narrow" w:hAnsi="Arial Narrow" w:cs="Arial"/>
          <w:b/>
          <w:sz w:val="18"/>
          <w:szCs w:val="26"/>
        </w:rPr>
      </w:pPr>
    </w:p>
    <w:p w:rsidR="00F95550" w:rsidRPr="00F95550" w:rsidRDefault="00F95550" w:rsidP="00F95550">
      <w:pPr>
        <w:spacing w:line="240" w:lineRule="auto"/>
        <w:jc w:val="center"/>
        <w:rPr>
          <w:rFonts w:eastAsia="MS Gothic" w:cs="Arial"/>
          <w:b/>
          <w:spacing w:val="5"/>
          <w:kern w:val="28"/>
          <w:sz w:val="28"/>
          <w:szCs w:val="28"/>
          <w:lang w:val="pl-PL"/>
        </w:rPr>
      </w:pPr>
      <w:r w:rsidRPr="00F95550">
        <w:rPr>
          <w:rFonts w:eastAsia="MS Gothic" w:cs="Arial"/>
          <w:b/>
          <w:spacing w:val="5"/>
          <w:kern w:val="28"/>
          <w:sz w:val="28"/>
          <w:szCs w:val="28"/>
          <w:lang w:val="pl-PL"/>
        </w:rPr>
        <w:t>RYNEK INWESTYCYJNY ODBICIEM SYTUACJI EKONOMICZNEJ</w:t>
      </w:r>
    </w:p>
    <w:p w:rsidR="002A73E7" w:rsidRPr="00F95550" w:rsidRDefault="00F95550" w:rsidP="00F95550">
      <w:pPr>
        <w:spacing w:line="240" w:lineRule="auto"/>
        <w:jc w:val="center"/>
        <w:rPr>
          <w:rFonts w:eastAsia="MS Gothic" w:cs="Arial"/>
          <w:b/>
          <w:spacing w:val="5"/>
          <w:kern w:val="28"/>
          <w:szCs w:val="52"/>
          <w:lang w:val="pl-PL"/>
        </w:rPr>
      </w:pPr>
      <w:r w:rsidRPr="00F95550">
        <w:rPr>
          <w:rFonts w:eastAsia="MS Gothic" w:cs="Arial"/>
          <w:b/>
          <w:spacing w:val="5"/>
          <w:kern w:val="28"/>
          <w:sz w:val="28"/>
          <w:szCs w:val="28"/>
          <w:lang w:val="pl-PL"/>
        </w:rPr>
        <w:t>– RAPORT AT A GLACE I KW. 2023 R.</w:t>
      </w:r>
    </w:p>
    <w:p w:rsidR="00F95550" w:rsidRPr="000F3B71" w:rsidRDefault="00F95550" w:rsidP="00F95550">
      <w:pPr>
        <w:spacing w:after="200" w:line="276" w:lineRule="auto"/>
        <w:rPr>
          <w:rFonts w:ascii="Arial" w:eastAsia="Helvetica Neue" w:hAnsi="Arial" w:cs="Arial"/>
        </w:rPr>
      </w:pPr>
      <w:bookmarkStart w:id="0" w:name="_GoBack"/>
      <w:bookmarkEnd w:id="0"/>
    </w:p>
    <w:p w:rsidR="00F95550" w:rsidRPr="00F95550" w:rsidRDefault="00F95550" w:rsidP="00F95550">
      <w:pPr>
        <w:numPr>
          <w:ilvl w:val="0"/>
          <w:numId w:val="4"/>
        </w:numPr>
        <w:spacing w:after="200" w:line="240" w:lineRule="auto"/>
        <w:ind w:left="426"/>
        <w:jc w:val="left"/>
        <w:rPr>
          <w:rFonts w:ascii="Arial" w:eastAsia="Helvetica Neue" w:hAnsi="Arial" w:cs="Arial"/>
          <w:b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b/>
          <w:sz w:val="22"/>
          <w:szCs w:val="24"/>
          <w:lang w:val="pl-PL"/>
        </w:rPr>
        <w:t>Polski rynek nieruchomości komercyjnych coraz bardziej atrakcyjny dla inwestorów szukających wartości dodanej</w:t>
      </w:r>
    </w:p>
    <w:p w:rsidR="00F95550" w:rsidRPr="00F95550" w:rsidRDefault="00F95550" w:rsidP="00F95550">
      <w:pPr>
        <w:numPr>
          <w:ilvl w:val="0"/>
          <w:numId w:val="4"/>
        </w:numPr>
        <w:spacing w:after="200" w:line="240" w:lineRule="auto"/>
        <w:ind w:left="426"/>
        <w:jc w:val="left"/>
        <w:rPr>
          <w:rFonts w:ascii="Arial" w:eastAsia="Helvetica Neue" w:hAnsi="Arial" w:cs="Arial"/>
          <w:b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b/>
          <w:sz w:val="22"/>
          <w:szCs w:val="24"/>
          <w:lang w:val="pl-PL"/>
        </w:rPr>
        <w:t>Sytuacja na rynkach finansowych i niepewność gospodarcza przekładają się na wzrost stóp kapitalizacji</w:t>
      </w:r>
    </w:p>
    <w:p w:rsidR="00F95550" w:rsidRPr="00F95550" w:rsidRDefault="00F95550" w:rsidP="00F95550">
      <w:pPr>
        <w:numPr>
          <w:ilvl w:val="0"/>
          <w:numId w:val="4"/>
        </w:numPr>
        <w:spacing w:after="200" w:line="240" w:lineRule="auto"/>
        <w:ind w:left="426"/>
        <w:jc w:val="left"/>
        <w:rPr>
          <w:rFonts w:ascii="Arial" w:eastAsia="Helvetica Neue" w:hAnsi="Arial" w:cs="Arial"/>
          <w:b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b/>
          <w:sz w:val="22"/>
          <w:szCs w:val="24"/>
          <w:lang w:val="pl-PL"/>
        </w:rPr>
        <w:t>Wyraźna przewaga kapitału Europejskiego po stronie kupujących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b/>
          <w:sz w:val="22"/>
          <w:szCs w:val="24"/>
        </w:rPr>
      </w:pPr>
      <w:r w:rsidRPr="00F95550">
        <w:rPr>
          <w:rFonts w:ascii="Arial" w:eastAsia="Helvetica Neue" w:hAnsi="Arial" w:cs="Arial"/>
          <w:b/>
          <w:sz w:val="22"/>
          <w:szCs w:val="24"/>
          <w:lang w:val="pl-PL"/>
        </w:rPr>
        <w:t xml:space="preserve">Zgodnie z przewidywaniami początek 2023 roku na polskim rynku inwestycji w nieruchomości komercyjne nie przyniósł oczekiwanych wyników z powodu trudnych warunków finansowania i niepewności gospodarczej. Mimo to, część funduszy szuka okazji do inwestowania, analizując projekty pod kątem generowania wartości dodanej. </w:t>
      </w:r>
      <w:proofErr w:type="spellStart"/>
      <w:r w:rsidRPr="00F95550">
        <w:rPr>
          <w:rFonts w:ascii="Arial" w:eastAsia="Helvetica Neue" w:hAnsi="Arial" w:cs="Arial"/>
          <w:b/>
          <w:sz w:val="22"/>
          <w:szCs w:val="24"/>
        </w:rPr>
        <w:t>Dobry</w:t>
      </w:r>
      <w:proofErr w:type="spellEnd"/>
      <w:r w:rsidRPr="00F95550">
        <w:rPr>
          <w:rFonts w:ascii="Arial" w:eastAsia="Helvetica Neue" w:hAnsi="Arial" w:cs="Arial"/>
          <w:b/>
          <w:sz w:val="22"/>
          <w:szCs w:val="24"/>
        </w:rPr>
        <w:t xml:space="preserve"> </w:t>
      </w:r>
      <w:proofErr w:type="spellStart"/>
      <w:r w:rsidRPr="00F95550">
        <w:rPr>
          <w:rFonts w:ascii="Arial" w:eastAsia="Helvetica Neue" w:hAnsi="Arial" w:cs="Arial"/>
          <w:b/>
          <w:sz w:val="22"/>
          <w:szCs w:val="24"/>
        </w:rPr>
        <w:t>początek</w:t>
      </w:r>
      <w:proofErr w:type="spellEnd"/>
      <w:r w:rsidRPr="00F95550">
        <w:rPr>
          <w:rFonts w:ascii="Arial" w:eastAsia="Helvetica Neue" w:hAnsi="Arial" w:cs="Arial"/>
          <w:b/>
          <w:sz w:val="22"/>
          <w:szCs w:val="24"/>
        </w:rPr>
        <w:t xml:space="preserve"> </w:t>
      </w:r>
      <w:proofErr w:type="spellStart"/>
      <w:r w:rsidRPr="00F95550">
        <w:rPr>
          <w:rFonts w:ascii="Arial" w:eastAsia="Helvetica Neue" w:hAnsi="Arial" w:cs="Arial"/>
          <w:b/>
          <w:sz w:val="22"/>
          <w:szCs w:val="24"/>
        </w:rPr>
        <w:t>roku</w:t>
      </w:r>
      <w:proofErr w:type="spellEnd"/>
      <w:r w:rsidRPr="00F95550">
        <w:rPr>
          <w:rFonts w:ascii="Arial" w:eastAsia="Helvetica Neue" w:hAnsi="Arial" w:cs="Arial"/>
          <w:b/>
          <w:sz w:val="22"/>
          <w:szCs w:val="24"/>
        </w:rPr>
        <w:t xml:space="preserve"> </w:t>
      </w:r>
      <w:proofErr w:type="spellStart"/>
      <w:r w:rsidRPr="00F95550">
        <w:rPr>
          <w:rFonts w:ascii="Arial" w:eastAsia="Helvetica Neue" w:hAnsi="Arial" w:cs="Arial"/>
          <w:b/>
          <w:sz w:val="22"/>
          <w:szCs w:val="24"/>
        </w:rPr>
        <w:t>zaliczył</w:t>
      </w:r>
      <w:proofErr w:type="spellEnd"/>
      <w:r w:rsidRPr="00F95550">
        <w:rPr>
          <w:rFonts w:ascii="Arial" w:eastAsia="Helvetica Neue" w:hAnsi="Arial" w:cs="Arial"/>
          <w:b/>
          <w:sz w:val="22"/>
          <w:szCs w:val="24"/>
        </w:rPr>
        <w:t xml:space="preserve"> </w:t>
      </w:r>
      <w:proofErr w:type="spellStart"/>
      <w:r w:rsidRPr="00F95550">
        <w:rPr>
          <w:rFonts w:ascii="Arial" w:eastAsia="Helvetica Neue" w:hAnsi="Arial" w:cs="Arial"/>
          <w:b/>
          <w:sz w:val="22"/>
          <w:szCs w:val="24"/>
        </w:rPr>
        <w:t>sektor</w:t>
      </w:r>
      <w:proofErr w:type="spellEnd"/>
      <w:r w:rsidRPr="00F95550">
        <w:rPr>
          <w:rFonts w:ascii="Arial" w:eastAsia="Helvetica Neue" w:hAnsi="Arial" w:cs="Arial"/>
          <w:b/>
          <w:sz w:val="22"/>
          <w:szCs w:val="24"/>
        </w:rPr>
        <w:t xml:space="preserve"> </w:t>
      </w:r>
      <w:proofErr w:type="spellStart"/>
      <w:r w:rsidRPr="00F95550">
        <w:rPr>
          <w:rFonts w:ascii="Arial" w:eastAsia="Helvetica Neue" w:hAnsi="Arial" w:cs="Arial"/>
          <w:b/>
          <w:sz w:val="22"/>
          <w:szCs w:val="24"/>
        </w:rPr>
        <w:t>przemysłowo-logistyczny</w:t>
      </w:r>
      <w:proofErr w:type="spellEnd"/>
      <w:r w:rsidRPr="00F95550">
        <w:rPr>
          <w:rFonts w:ascii="Arial" w:eastAsia="Helvetica Neue" w:hAnsi="Arial" w:cs="Arial"/>
          <w:b/>
          <w:sz w:val="22"/>
          <w:szCs w:val="24"/>
        </w:rPr>
        <w:t>.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sz w:val="22"/>
          <w:szCs w:val="24"/>
          <w:lang w:val="pl-PL"/>
        </w:rPr>
        <w:t>W pierwszym kwartale 2023 roku odnotowano wolumen transakcji inwestycyjnych wynoszący 651 milionów Euro. Stanowi to blisko 40% wartości zanotowanej w analogicznym okresie 2021 roku i jest o 763 miliony Euro mniej w porównaniu z poprzednim kwartałem.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sz w:val="22"/>
          <w:szCs w:val="24"/>
          <w:lang w:val="pl-PL"/>
        </w:rPr>
        <w:t>W analizowanym okresie przeważający udział w inwestycjach przypadł na nieruchomości przemysłowo-logistyczne, stanowiące aż 62% wolumenu kwartalnych transakcji. Drugą dominującą kategorią były nieruchomości handlowe, które stanowiły 21% udziału w całkowitym wolumenie inwestycji w tym okresie.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– </w:t>
      </w:r>
      <w:r w:rsidRPr="00F95550">
        <w:rPr>
          <w:rFonts w:ascii="Arial" w:eastAsia="Helvetica Neue" w:hAnsi="Arial" w:cs="Arial"/>
          <w:i/>
          <w:sz w:val="22"/>
          <w:szCs w:val="24"/>
          <w:lang w:val="pl-PL"/>
        </w:rPr>
        <w:t xml:space="preserve">W przypadku niemal wszystkich klas aktywów stawki czynszowe nadal rosną, co pozwoliło częściowo zneutralizować kwartalny wzrost stóp kapitalizacji o około 0,25 </w:t>
      </w:r>
      <w:proofErr w:type="spellStart"/>
      <w:r w:rsidRPr="00F95550">
        <w:rPr>
          <w:rFonts w:ascii="Arial" w:eastAsia="Helvetica Neue" w:hAnsi="Arial" w:cs="Arial"/>
          <w:i/>
          <w:sz w:val="22"/>
          <w:szCs w:val="24"/>
          <w:lang w:val="pl-PL"/>
        </w:rPr>
        <w:t>p.p</w:t>
      </w:r>
      <w:proofErr w:type="spellEnd"/>
      <w:r w:rsidRPr="00F95550">
        <w:rPr>
          <w:rFonts w:ascii="Arial" w:eastAsia="Helvetica Neue" w:hAnsi="Arial" w:cs="Arial"/>
          <w:i/>
          <w:sz w:val="22"/>
          <w:szCs w:val="24"/>
          <w:lang w:val="pl-PL"/>
        </w:rPr>
        <w:t xml:space="preserve">. Rynek obligacji międzynarodowych oferuje atrakcyjne zwroty, wpływając na przecenę bezpiecznych klas aktywów, takich jak wynajęte nieruchomości komercyjne. Widzimy, że rynek, szczególnie biurowy, wchodzi też w fazę niższej podaży, co skutkować będzie spadkiem obrotów nowymi </w:t>
      </w:r>
      <w:proofErr w:type="spellStart"/>
      <w:r w:rsidRPr="00F95550">
        <w:rPr>
          <w:rFonts w:ascii="Arial" w:eastAsia="Helvetica Neue" w:hAnsi="Arial" w:cs="Arial"/>
          <w:i/>
          <w:sz w:val="22"/>
          <w:szCs w:val="24"/>
          <w:lang w:val="pl-PL"/>
        </w:rPr>
        <w:t>budynkami.Pierwszych</w:t>
      </w:r>
      <w:proofErr w:type="spellEnd"/>
      <w:r w:rsidRPr="00F95550">
        <w:rPr>
          <w:rFonts w:ascii="Arial" w:eastAsia="Helvetica Neue" w:hAnsi="Arial" w:cs="Arial"/>
          <w:i/>
          <w:sz w:val="22"/>
          <w:szCs w:val="24"/>
          <w:lang w:val="pl-PL"/>
        </w:rPr>
        <w:t xml:space="preserve"> sygnałów powrotu do  wyższych wolumenów transakcji w Polsce należy spodziewać się już na przełomie III i IV kw.</w:t>
      </w:r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 – mówi </w:t>
      </w:r>
      <w:r w:rsidRPr="00F95550">
        <w:rPr>
          <w:rFonts w:ascii="Arial" w:eastAsia="Helvetica Neue" w:hAnsi="Arial" w:cs="Arial"/>
          <w:b/>
          <w:sz w:val="22"/>
          <w:szCs w:val="24"/>
          <w:lang w:val="pl-PL"/>
        </w:rPr>
        <w:t>Mateusz Skubiszewski</w:t>
      </w:r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, </w:t>
      </w:r>
      <w:proofErr w:type="spellStart"/>
      <w:r w:rsidRPr="00F95550">
        <w:rPr>
          <w:rFonts w:ascii="Arial" w:eastAsia="Helvetica Neue" w:hAnsi="Arial" w:cs="Arial"/>
          <w:sz w:val="22"/>
          <w:szCs w:val="24"/>
          <w:lang w:val="pl-PL"/>
        </w:rPr>
        <w:t>Head</w:t>
      </w:r>
      <w:proofErr w:type="spellEnd"/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 of Capital </w:t>
      </w:r>
      <w:proofErr w:type="spellStart"/>
      <w:r w:rsidRPr="00F95550">
        <w:rPr>
          <w:rFonts w:ascii="Arial" w:eastAsia="Helvetica Neue" w:hAnsi="Arial" w:cs="Arial"/>
          <w:sz w:val="22"/>
          <w:szCs w:val="24"/>
          <w:lang w:val="pl-PL"/>
        </w:rPr>
        <w:t>Markets</w:t>
      </w:r>
      <w:proofErr w:type="spellEnd"/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, BNP </w:t>
      </w:r>
      <w:proofErr w:type="spellStart"/>
      <w:r w:rsidRPr="00F95550">
        <w:rPr>
          <w:rFonts w:ascii="Arial" w:eastAsia="Helvetica Neue" w:hAnsi="Arial" w:cs="Arial"/>
          <w:sz w:val="22"/>
          <w:szCs w:val="24"/>
          <w:lang w:val="pl-PL"/>
        </w:rPr>
        <w:t>Paribas</w:t>
      </w:r>
      <w:proofErr w:type="spellEnd"/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 Real </w:t>
      </w:r>
      <w:proofErr w:type="spellStart"/>
      <w:r w:rsidRPr="00F95550">
        <w:rPr>
          <w:rFonts w:ascii="Arial" w:eastAsia="Helvetica Neue" w:hAnsi="Arial" w:cs="Arial"/>
          <w:sz w:val="22"/>
          <w:szCs w:val="24"/>
          <w:lang w:val="pl-PL"/>
        </w:rPr>
        <w:t>Estate</w:t>
      </w:r>
      <w:proofErr w:type="spellEnd"/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 Poland.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sz w:val="22"/>
          <w:szCs w:val="24"/>
          <w:lang w:val="pl-PL"/>
        </w:rPr>
        <w:t>Mniejsza dostępność aktywów w rezultacie może skłonić fundusze do bardziej agresywnej polityki cenowej wobec starszych nieruchomości, co może zahamować przeceny. Pod koniec roku można spodziewać się powrotu na ścieżkę wzrostu wolumenów transakcyjnych.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b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b/>
          <w:sz w:val="22"/>
          <w:szCs w:val="24"/>
          <w:lang w:val="pl-PL"/>
        </w:rPr>
        <w:t>Mniej transakcji, ale inwestorzy szukają okazji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sz w:val="22"/>
          <w:szCs w:val="24"/>
          <w:lang w:val="pl-PL"/>
        </w:rPr>
        <w:t>Ostatni kwartał na rynku nieruchomości komercyjnych przyniósł mniejszą liczbę transakcji kupna-sprzedaży, jednak nie oznacza to braku zainteresowania ze strony inwestorów. W obecnej sytuacji ekonomicznej aktywne pozostały fundusze "</w:t>
      </w:r>
      <w:proofErr w:type="spellStart"/>
      <w:r w:rsidRPr="00F95550">
        <w:rPr>
          <w:rFonts w:ascii="Arial" w:eastAsia="Helvetica Neue" w:hAnsi="Arial" w:cs="Arial"/>
          <w:sz w:val="22"/>
          <w:szCs w:val="24"/>
          <w:lang w:val="pl-PL"/>
        </w:rPr>
        <w:t>value-add</w:t>
      </w:r>
      <w:proofErr w:type="spellEnd"/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", które widzą możliwości okazyjnych zakupów. 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sz w:val="22"/>
          <w:szCs w:val="24"/>
          <w:lang w:val="pl-PL"/>
        </w:rPr>
        <w:t>W obecnym klimacie ekonomicznym wszystkie sektory obserwują ostrożność inwestorów i oczekiwanie na dalszą dekompresję stóp kapitalizacji.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i/>
          <w:sz w:val="22"/>
          <w:szCs w:val="24"/>
          <w:lang w:val="pl-PL"/>
        </w:rPr>
        <w:t xml:space="preserve">– W segmencie aktywów magazynowych wzrosty czynszów prowadzą potencjalnych nabywców do poszukiwania obiektów, w których najemcy będą w stanie ponosić wyższe koszty po zakończeniu </w:t>
      </w:r>
      <w:r w:rsidRPr="00F95550">
        <w:rPr>
          <w:rFonts w:ascii="Arial" w:eastAsia="Helvetica Neue" w:hAnsi="Arial" w:cs="Arial"/>
          <w:i/>
          <w:sz w:val="22"/>
          <w:szCs w:val="24"/>
          <w:lang w:val="pl-PL"/>
        </w:rPr>
        <w:lastRenderedPageBreak/>
        <w:t>obecnych umów najmu. W tej sytuacji istotna będzie kondycja ekonomiczno-finansowa najemców oraz możliwość udźwignięcia wyższych kosztów wynajmu, w tym opłat eksploatacyjnych. Kluczowe okażą się również równowaga podażowo-popytowa oraz istnienie realnych alternatyw, które pozwolą firmom na zmianę dotychczasowej siedziby</w:t>
      </w:r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 – mówi </w:t>
      </w:r>
      <w:r w:rsidRPr="00F95550">
        <w:rPr>
          <w:rFonts w:ascii="Arial" w:eastAsia="Helvetica Neue" w:hAnsi="Arial" w:cs="Arial"/>
          <w:b/>
          <w:sz w:val="22"/>
          <w:szCs w:val="24"/>
          <w:lang w:val="pl-PL"/>
        </w:rPr>
        <w:t xml:space="preserve">Marta </w:t>
      </w:r>
      <w:proofErr w:type="spellStart"/>
      <w:r w:rsidRPr="00F95550">
        <w:rPr>
          <w:rFonts w:ascii="Arial" w:eastAsia="Helvetica Neue" w:hAnsi="Arial" w:cs="Arial"/>
          <w:b/>
          <w:sz w:val="22"/>
          <w:szCs w:val="24"/>
          <w:lang w:val="pl-PL"/>
        </w:rPr>
        <w:t>Gorońska</w:t>
      </w:r>
      <w:proofErr w:type="spellEnd"/>
      <w:r w:rsidRPr="00F95550">
        <w:rPr>
          <w:rFonts w:ascii="Arial" w:eastAsia="Helvetica Neue" w:hAnsi="Arial" w:cs="Arial"/>
          <w:b/>
          <w:sz w:val="22"/>
          <w:szCs w:val="24"/>
          <w:lang w:val="pl-PL"/>
        </w:rPr>
        <w:t>-Wiercioch</w:t>
      </w:r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, zastępca dyrektora w Dziale Capital </w:t>
      </w:r>
      <w:proofErr w:type="spellStart"/>
      <w:r w:rsidRPr="00F95550">
        <w:rPr>
          <w:rFonts w:ascii="Arial" w:eastAsia="Helvetica Neue" w:hAnsi="Arial" w:cs="Arial"/>
          <w:sz w:val="22"/>
          <w:szCs w:val="24"/>
          <w:lang w:val="pl-PL"/>
        </w:rPr>
        <w:t>Markets</w:t>
      </w:r>
      <w:proofErr w:type="spellEnd"/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, BNP </w:t>
      </w:r>
      <w:proofErr w:type="spellStart"/>
      <w:r w:rsidRPr="00F95550">
        <w:rPr>
          <w:rFonts w:ascii="Arial" w:eastAsia="Helvetica Neue" w:hAnsi="Arial" w:cs="Arial"/>
          <w:sz w:val="22"/>
          <w:szCs w:val="24"/>
          <w:lang w:val="pl-PL"/>
        </w:rPr>
        <w:t>Paribas</w:t>
      </w:r>
      <w:proofErr w:type="spellEnd"/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 Real </w:t>
      </w:r>
      <w:proofErr w:type="spellStart"/>
      <w:r w:rsidRPr="00F95550">
        <w:rPr>
          <w:rFonts w:ascii="Arial" w:eastAsia="Helvetica Neue" w:hAnsi="Arial" w:cs="Arial"/>
          <w:sz w:val="22"/>
          <w:szCs w:val="24"/>
          <w:lang w:val="pl-PL"/>
        </w:rPr>
        <w:t>Estate</w:t>
      </w:r>
      <w:proofErr w:type="spellEnd"/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 Poland.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sz w:val="22"/>
          <w:szCs w:val="24"/>
          <w:lang w:val="pl-PL"/>
        </w:rPr>
        <w:t>W przypadku aktywów biurowych na znaczeniu zyskują trendy dotyczące pracy hybrydowej i zdalnej, które od niedawna mają umocowanie w Kodeksie Pracy. Większa dostępność podnajmów może skłonić niektórych najemców do przyjęcia bardziej zdecydowanej postawy negocjacyjnej względem właścicieli budynków, co z kolei wpłynie na stopy zwrotu osiągane przez inwestorów. Z drugiej strony mniejsza liczba rozpoczynanych nowych budów może ten trend powstrzymać.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b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b/>
          <w:sz w:val="22"/>
          <w:szCs w:val="24"/>
          <w:lang w:val="pl-PL"/>
        </w:rPr>
        <w:t>Rynek przechyla się w stronę kupujących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Panująca wciąż wysoka inflacja zarówno w Polsce, jak i na całym świecie, skłania banki centralne do zacieśniania polityki monetarnej. Wysoki poziom stóp procentowych i niepewność dotycząca możliwych kolejnych podwyżek prowadzą do przecen aktywów i powodują, że nabywcy przyjmują ostrożniejsze podejście, oczekując jednocześnie korzystniejszych ofert od właścicieli budynków. Dotyczy to między innymi centrów handlowych dla których stopy kapitalizacji w przeciągu kwartału wzrosły o 0,5 </w:t>
      </w:r>
      <w:proofErr w:type="spellStart"/>
      <w:r w:rsidRPr="00F95550">
        <w:rPr>
          <w:rFonts w:ascii="Arial" w:eastAsia="Helvetica Neue" w:hAnsi="Arial" w:cs="Arial"/>
          <w:sz w:val="22"/>
          <w:szCs w:val="24"/>
          <w:lang w:val="pl-PL"/>
        </w:rPr>
        <w:t>p.p</w:t>
      </w:r>
      <w:proofErr w:type="spellEnd"/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. 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sz w:val="22"/>
          <w:szCs w:val="24"/>
          <w:lang w:val="pl-PL"/>
        </w:rPr>
        <w:t>W przypadku tej klasy aktywów, inwestorzy dostosowując strategię powinni brać pod uwagę średnio korzystne prognozy na 2023 rok, zakładające 0,7% spadek realnych wydatków konsumenckich.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b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b/>
          <w:sz w:val="22"/>
          <w:szCs w:val="24"/>
          <w:lang w:val="pl-PL"/>
        </w:rPr>
        <w:t>Biura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Rynek nieruchomości biurowych po osiągnięciu imponujących wyników w poprzednim roku, rozpoczął obecny sezon ze spowolnionym tempem. Pomijając znaczącą transakcję z ubiegłego roku, kiedy to Google zakupiło warszawski obiekt </w:t>
      </w:r>
      <w:proofErr w:type="spellStart"/>
      <w:r w:rsidRPr="00F95550">
        <w:rPr>
          <w:rFonts w:ascii="Arial" w:eastAsia="Helvetica Neue" w:hAnsi="Arial" w:cs="Arial"/>
          <w:sz w:val="22"/>
          <w:szCs w:val="24"/>
          <w:lang w:val="pl-PL"/>
        </w:rPr>
        <w:t>Warsaw</w:t>
      </w:r>
      <w:proofErr w:type="spellEnd"/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 Hub za kwotę przekraczającą 585 milionów Euro, to wartość umów w pierwszym kwartale bieżącego roku była niższa o około 21% w porównaniu z tym samym okresem w 2022 roku.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– </w:t>
      </w:r>
      <w:r w:rsidRPr="00F95550">
        <w:rPr>
          <w:rFonts w:ascii="Arial" w:eastAsia="Helvetica Neue" w:hAnsi="Arial" w:cs="Arial"/>
          <w:i/>
          <w:sz w:val="22"/>
          <w:szCs w:val="24"/>
          <w:lang w:val="pl-PL"/>
        </w:rPr>
        <w:t>Mając na uwadze wymagające otoczenie rynkowe, imponujący wolumen transakcji inwestycyjnych na rynku biurowym w 2022 roku, przewyższający wartość z roku poprzedniego o ponad 24% i rezultaty z pierwszego kwartału, osiągnięcie dobrego wyniku na koniec roku będzie dla inwestorów nie lada wyzwaniem</w:t>
      </w:r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 – dodaje </w:t>
      </w:r>
      <w:r w:rsidRPr="00F95550">
        <w:rPr>
          <w:rFonts w:ascii="Arial" w:eastAsia="Helvetica Neue" w:hAnsi="Arial" w:cs="Arial"/>
          <w:b/>
          <w:sz w:val="22"/>
          <w:szCs w:val="24"/>
          <w:lang w:val="pl-PL"/>
        </w:rPr>
        <w:t>Mateusz Skubiszewski</w:t>
      </w:r>
      <w:r w:rsidRPr="00F95550">
        <w:rPr>
          <w:rFonts w:ascii="Arial" w:eastAsia="Helvetica Neue" w:hAnsi="Arial" w:cs="Arial"/>
          <w:sz w:val="22"/>
          <w:szCs w:val="24"/>
          <w:lang w:val="pl-PL"/>
        </w:rPr>
        <w:t>.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b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b/>
          <w:sz w:val="22"/>
          <w:szCs w:val="24"/>
          <w:lang w:val="pl-PL"/>
        </w:rPr>
        <w:t>Handel, przemysł i logistyka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W pierwszym kwartale na rynku handlowym dominowały transakcje o niewielkich wartościach. Największą z nich była sprzedaż Atrium Molo Szczecin przez G City Europe za 46,3 mln Euro. Co istotne, kwartalny wolumen obrotu utrzymuje się powyżej poziomów z lat 2018-2021. Na rynku szczególnie popularne są mniejsze formaty. Inwestorzy wciąż poszukują parków handlowych czy centrów typu </w:t>
      </w:r>
      <w:proofErr w:type="spellStart"/>
      <w:r w:rsidRPr="00F95550">
        <w:rPr>
          <w:rFonts w:ascii="Arial" w:eastAsia="Helvetica Neue" w:hAnsi="Arial" w:cs="Arial"/>
          <w:sz w:val="22"/>
          <w:szCs w:val="24"/>
          <w:lang w:val="pl-PL"/>
        </w:rPr>
        <w:t>convenience</w:t>
      </w:r>
      <w:proofErr w:type="spellEnd"/>
      <w:r w:rsidRPr="00F95550">
        <w:rPr>
          <w:rFonts w:ascii="Arial" w:eastAsia="Helvetica Neue" w:hAnsi="Arial" w:cs="Arial"/>
          <w:sz w:val="22"/>
          <w:szCs w:val="24"/>
          <w:lang w:val="pl-PL"/>
        </w:rPr>
        <w:t>, choć od pewnego czasu mocniej rozglądają się też za centrami handlowymi.</w:t>
      </w:r>
    </w:p>
    <w:p w:rsidR="00F95550" w:rsidRPr="00F95550" w:rsidRDefault="00F95550" w:rsidP="00F95550">
      <w:pPr>
        <w:spacing w:after="200" w:line="276" w:lineRule="auto"/>
        <w:rPr>
          <w:rFonts w:ascii="Arial" w:eastAsia="Helvetica Neue" w:hAnsi="Arial" w:cs="Arial"/>
          <w:sz w:val="22"/>
          <w:szCs w:val="24"/>
          <w:lang w:val="pl-PL"/>
        </w:rPr>
      </w:pPr>
      <w:r w:rsidRPr="00F95550">
        <w:rPr>
          <w:rFonts w:ascii="Arial" w:eastAsia="Helvetica Neue" w:hAnsi="Arial" w:cs="Arial"/>
          <w:sz w:val="22"/>
          <w:szCs w:val="24"/>
          <w:lang w:val="pl-PL"/>
        </w:rPr>
        <w:t xml:space="preserve">Nieruchomości przemysłowe i logistyczne w pierwszych trzech miesiącach roku były kluczowym segmentem rynku pod względem wolumenu transakcji. W tej klasie aktywów od stycznia do marca zawarto umowy na łączną sumę 401 milionów Euro, co oznacza ponad dwukrotny wzrost w porównaniu z tym samym okresem roku poprzedniego. Podobnie jak w całym 2022 roku, również na początku 2023 roku najbardziej aktywna po stronie sprzedaży była firma </w:t>
      </w:r>
      <w:proofErr w:type="spellStart"/>
      <w:r w:rsidRPr="00F95550">
        <w:rPr>
          <w:rFonts w:ascii="Arial" w:eastAsia="Helvetica Neue" w:hAnsi="Arial" w:cs="Arial"/>
          <w:sz w:val="22"/>
          <w:szCs w:val="24"/>
          <w:lang w:val="pl-PL"/>
        </w:rPr>
        <w:t>Panattoni</w:t>
      </w:r>
      <w:proofErr w:type="spellEnd"/>
      <w:r w:rsidRPr="00F95550">
        <w:rPr>
          <w:rFonts w:ascii="Arial" w:eastAsia="Helvetica Neue" w:hAnsi="Arial" w:cs="Arial"/>
          <w:sz w:val="22"/>
          <w:szCs w:val="24"/>
          <w:lang w:val="pl-PL"/>
        </w:rPr>
        <w:t>. Deweloper podpisał z inwestorami umowy o łącznej wartości przekraczającej 331 milionów Euro. Największą transakcją kwartału był zakup kompleksu Campus we Wrocławiu (185 000 m kw.) przez P3 za kwotę 138,5 miliona Euro.</w:t>
      </w:r>
    </w:p>
    <w:p w:rsidR="00782E41" w:rsidRPr="00F95550" w:rsidRDefault="00782E41" w:rsidP="004C5425">
      <w:pPr>
        <w:spacing w:line="360" w:lineRule="auto"/>
        <w:rPr>
          <w:rFonts w:cstheme="minorHAnsi"/>
          <w:lang w:val="pl-PL"/>
        </w:rPr>
      </w:pPr>
    </w:p>
    <w:p w:rsidR="00782E41" w:rsidRPr="00F95550" w:rsidRDefault="008D2729" w:rsidP="004C5425">
      <w:pPr>
        <w:spacing w:line="360" w:lineRule="auto"/>
        <w:rPr>
          <w:rFonts w:cstheme="minorHAnsi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48551</wp:posOffset>
                </wp:positionH>
                <wp:positionV relativeFrom="paragraph">
                  <wp:posOffset>6114</wp:posOffset>
                </wp:positionV>
                <wp:extent cx="6478270" cy="2456686"/>
                <wp:effectExtent l="0" t="0" r="17780" b="2032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270" cy="2456686"/>
                          <a:chOff x="76200" y="-53566"/>
                          <a:chExt cx="6478270" cy="2099922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76200" y="-53566"/>
                            <a:ext cx="6478270" cy="2099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2287" w:rsidRDefault="00304464" w:rsidP="00742287">
                              <w:pPr>
                                <w:shd w:val="clear" w:color="auto" w:fill="FFFFFF"/>
                                <w:spacing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4231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  <w:r w:rsidRPr="0030446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4231"/>
                                  <w:sz w:val="18"/>
                                  <w:szCs w:val="18"/>
                                  <w:lang w:val="en-US" w:eastAsia="fr-FR"/>
                                </w:rPr>
                                <w:t>About BNP Paribas Real Estate</w:t>
                              </w:r>
                            </w:p>
                            <w:p w:rsidR="008D2729" w:rsidRDefault="00742287" w:rsidP="008D2729">
                              <w:pPr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742287"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22"/>
                                  <w:lang w:val="en-US"/>
                                </w:rPr>
                                <w:t>BNP Paribas Real Estate, one of the leading international real estate providers, offers its clients a comprehensive range of services that span the entire real estate lifecycle: Property Development, Transaction, Consulting, Valuation, Property Management and Investment Ma</w:t>
                              </w:r>
                              <w:r w:rsidR="00461FED"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22"/>
                                  <w:lang w:val="en-US"/>
                                </w:rPr>
                                <w:t>nagement. With 4,5</w:t>
                              </w:r>
                              <w:r w:rsidRPr="00742287"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22"/>
                                  <w:lang w:val="en-US"/>
                                </w:rPr>
                                <w:t>00 employees, BNP Paribas Real Estate as a one stop shop company, supports owners, leaseholders, investors and communities thanks to its local expertise across 30 countries (through its facilities and its Alliance network) in Europe, the Middle-East and Asia.</w:t>
                              </w:r>
                              <w:r w:rsidR="00BB141B"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22"/>
                                  <w:lang w:val="en-US"/>
                                </w:rPr>
                                <w:t xml:space="preserve"> BNP Paribas Real Estate is a</w:t>
                              </w:r>
                              <w:r w:rsidRPr="00742287"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22"/>
                                  <w:lang w:val="en-US"/>
                                </w:rPr>
                                <w:t xml:space="preserve"> part of the BNP Paribas Group,</w:t>
                              </w:r>
                              <w:r w:rsidRPr="00742287">
                                <w:rPr>
                                  <w:rFonts w:cstheme="minorHAnsi"/>
                                  <w:color w:val="808080" w:themeColor="background1" w:themeShade="80"/>
                                  <w:sz w:val="14"/>
                                  <w:szCs w:val="21"/>
                                  <w:shd w:val="clear" w:color="auto" w:fill="FFFFFF"/>
                                  <w:lang w:val="en-US"/>
                                </w:rPr>
                                <w:t xml:space="preserve"> </w:t>
                              </w:r>
                              <w:r w:rsidRPr="00742287"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22"/>
                                  <w:lang w:val="en-US"/>
                                </w:rPr>
                                <w:t>a global leader in financial services.</w:t>
                              </w:r>
                              <w:r w:rsidR="008D2729"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8D2729" w:rsidRPr="008D2729" w:rsidRDefault="008D2729" w:rsidP="008D2729">
                              <w:pPr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22"/>
                                  <w:lang w:val="en-US"/>
                                </w:rPr>
                              </w:pPr>
                              <w:r w:rsidRPr="008D2729"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22"/>
                                  <w:lang w:val="en-US"/>
                                </w:rPr>
                                <w:t>As a committed stakeholder in sustainable cities, BNP Paribas Real Estate intends to spearhead the transition to more sustainable real estate: low-carbon, resilient, inclusive and conducive to wellbeing. To achieve this, the company has developed a CSR policy with four objectives: to ethically and responsibly enhance the economic performance and use of buildings; to integrate a low-carbon transition and reduce its environmental footprint; to ensure the development, commitment and well-being of its employees; to be a proactive stakeholder in the real estate sector and to build local initiatives and partnerships.</w:t>
                              </w:r>
                            </w:p>
                            <w:p w:rsidR="00742287" w:rsidRDefault="00742287" w:rsidP="00742287">
                              <w:pPr>
                                <w:shd w:val="clear" w:color="auto" w:fill="FFFFFF"/>
                                <w:spacing w:line="240" w:lineRule="auto"/>
                                <w:rPr>
                                  <w:rFonts w:cstheme="minorHAnsi"/>
                                  <w:color w:val="808080" w:themeColor="background1" w:themeShade="80"/>
                                  <w:sz w:val="16"/>
                                  <w:szCs w:val="22"/>
                                  <w:lang w:val="en-US"/>
                                </w:rPr>
                              </w:pPr>
                            </w:p>
                            <w:p w:rsidR="00E17B74" w:rsidRPr="00304464" w:rsidRDefault="00E17B74" w:rsidP="00E17B7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174CD" w:rsidRPr="00656AB5" w:rsidRDefault="001174CD" w:rsidP="00563B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56AB5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18"/>
                                  <w:szCs w:val="16"/>
                                  <w:lang w:val="en-US"/>
                                </w:rPr>
                                <w:t xml:space="preserve">Follow us on </w:t>
                              </w:r>
                              <w:r w:rsidRPr="00656AB5">
                                <w:rPr>
                                  <w:rFonts w:ascii="Tms Rmn" w:hAnsi="Tms Rmn"/>
                                  <w:noProof/>
                                  <w:sz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ms Rmn" w:hAnsi="Tms Rmn"/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635E3D55" wp14:editId="3163DEBD">
                                    <wp:extent cx="285750" cy="285750"/>
                                    <wp:effectExtent l="0" t="0" r="0" b="0"/>
                                    <wp:docPr id="5" name="Image 5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6AB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16"/>
                                  <w:szCs w:val="16"/>
                                  <w:lang w:val="pl-PL" w:eastAsia="pl-PL"/>
                                </w:rPr>
                                <w:drawing>
                                  <wp:inline distT="0" distB="0" distL="0" distR="0" wp14:anchorId="34F96E24" wp14:editId="600326AE">
                                    <wp:extent cx="285750" cy="285750"/>
                                    <wp:effectExtent l="0" t="0" r="0" b="0"/>
                                    <wp:docPr id="3" name="Image 3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6AB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16"/>
                                  <w:szCs w:val="16"/>
                                  <w:lang w:val="pl-PL" w:eastAsia="pl-PL"/>
                                </w:rPr>
                                <w:drawing>
                                  <wp:inline distT="0" distB="0" distL="0" distR="0" wp14:anchorId="73EFC59D" wp14:editId="507D0129">
                                    <wp:extent cx="285750" cy="2857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56AB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16"/>
                                  <w:szCs w:val="16"/>
                                  <w:lang w:val="pl-PL" w:eastAsia="pl-PL"/>
                                </w:rPr>
                                <w:drawing>
                                  <wp:inline distT="0" distB="0" distL="0" distR="0" wp14:anchorId="66A255BD" wp14:editId="7CC01750">
                                    <wp:extent cx="285750" cy="285750"/>
                                    <wp:effectExtent l="0" t="0" r="0" b="0"/>
                                    <wp:docPr id="1" name="Image 1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BE2E71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r w:rsidR="001633C6"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16"/>
                                  <w:szCs w:val="16"/>
                                  <w:lang w:val="pl-PL" w:eastAsia="pl-PL"/>
                                </w:rPr>
                                <w:drawing>
                                  <wp:inline distT="0" distB="0" distL="0" distR="0" wp14:anchorId="207D6DA7" wp14:editId="06E454A5">
                                    <wp:extent cx="281781" cy="285750"/>
                                    <wp:effectExtent l="0" t="0" r="4445" b="0"/>
                                    <wp:docPr id="8" name="Image 8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1781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6020" w:rsidRDefault="007E6020" w:rsidP="007E6020">
                              <w:pPr>
                                <w:keepNext/>
                                <w:autoSpaceDE w:val="0"/>
                                <w:autoSpaceDN w:val="0"/>
                                <w:adjustRightInd w:val="0"/>
                                <w:ind w:left="1276"/>
                                <w:jc w:val="left"/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D05A27"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</w:rPr>
                                <w:t>#BEYONDBUILDINGS</w:t>
                              </w:r>
                            </w:p>
                            <w:p w:rsidR="007E6020" w:rsidRPr="00422745" w:rsidRDefault="007E6020" w:rsidP="007529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>
                          <a:spLocks noChangeArrowheads="1"/>
                        </wps:cNvSpPr>
                        <wps:spPr bwMode="auto">
                          <a:xfrm>
                            <a:off x="2661780" y="1486796"/>
                            <a:ext cx="3771900" cy="36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4CD" w:rsidRPr="00752921" w:rsidRDefault="001174CD" w:rsidP="00752921">
                              <w:pPr>
                                <w:ind w:left="-851"/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52921">
                                <w:rPr>
                                  <w:rFonts w:ascii="Arial" w:hAnsi="Arial"/>
                                  <w:color w:val="808080"/>
                                  <w:sz w:val="16"/>
                                  <w:lang w:val="en-US"/>
                                </w:rPr>
                                <w:t xml:space="preserve">For more information: </w:t>
                              </w:r>
                              <w:r w:rsidR="00F95550">
                                <w:fldChar w:fldCharType="begin"/>
                              </w:r>
                              <w:r w:rsidR="00F95550" w:rsidRPr="00F95550">
                                <w:rPr>
                                  <w:lang w:val="en-US"/>
                                </w:rPr>
                                <w:instrText xml:space="preserve"> HYPERLINK "http://www.realestate.bnpparibas.com/" \h </w:instrText>
                              </w:r>
                              <w:r w:rsidR="00F95550">
                                <w:fldChar w:fldCharType="separate"/>
                              </w:r>
                              <w:r w:rsidRPr="00752921">
                                <w:rPr>
                                  <w:rFonts w:ascii="Arial" w:hAnsi="Arial"/>
                                  <w:color w:val="0000FF"/>
                                  <w:sz w:val="16"/>
                                  <w:u w:val="single"/>
                                  <w:lang w:val="en-US"/>
                                </w:rPr>
                                <w:t>www.realestate.bnpparibas.com</w:t>
                              </w:r>
                              <w:r w:rsidR="00F95550">
                                <w:rPr>
                                  <w:rFonts w:ascii="Arial" w:hAnsi="Arial"/>
                                  <w:color w:val="0000FF"/>
                                  <w:sz w:val="16"/>
                                  <w:u w:val="single"/>
                                  <w:lang w:val="en-US"/>
                                </w:rPr>
                                <w:fldChar w:fldCharType="end"/>
                              </w:r>
                              <w:r w:rsidRPr="00752921">
                                <w:rPr>
                                  <w:rFonts w:ascii="Arial" w:hAnsi="Arial"/>
                                  <w:color w:val="808080"/>
                                  <w:sz w:val="16"/>
                                  <w:u w:val="single"/>
                                  <w:lang w:val="en-US"/>
                                </w:rPr>
                                <w:t xml:space="preserve">  </w:t>
                              </w:r>
                            </w:p>
                            <w:p w:rsidR="001174CD" w:rsidRPr="008D2729" w:rsidRDefault="001174CD" w:rsidP="008D2729">
                              <w:pPr>
                                <w:keepNext/>
                                <w:autoSpaceDE w:val="0"/>
                                <w:autoSpaceDN w:val="0"/>
                                <w:adjustRightInd w:val="0"/>
                                <w:ind w:left="-851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00423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52921">
                                <w:rPr>
                                  <w:rFonts w:ascii="Arial" w:hAnsi="Arial"/>
                                  <w:b/>
                                  <w:color w:val="004231"/>
                                  <w:sz w:val="16"/>
                                  <w:lang w:val="en-US"/>
                                </w:rPr>
                                <w:t>Real estate for a changing world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7" style="position:absolute;left:0;text-align:left;margin-left:3.8pt;margin-top:.5pt;width:510.1pt;height:193.45pt;z-index:251657728;mso-position-horizontal-relative:text;mso-position-vertical-relative:text;mso-height-relative:margin" coordorigin="762,-535" coordsize="64782,20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">
                <v:rect id="Rectangle 18" o:spid="_x0000_s1028" style="position:absolute;left:762;top:-535;width:64782;height:20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" filled="f" strokecolor="black [3213]">
                  <v:stroke dashstyle="3 1"/>
                  <v:textbox inset=",2.5mm,,2.5mm">
                    <w:txbxContent>
                      <w:p w:rsidR="00742287" w:rsidRDefault="00304464" w:rsidP="00742287">
                        <w:pPr>
                          <w:shd w:val="clear" w:color="auto" w:fill="FFFFFF"/>
                          <w:spacing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4231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304464">
                          <w:rPr>
                            <w:rFonts w:ascii="Arial" w:eastAsia="Times New Roman" w:hAnsi="Arial" w:cs="Arial"/>
                            <w:b/>
                            <w:bCs/>
                            <w:color w:val="004231"/>
                            <w:sz w:val="18"/>
                            <w:szCs w:val="18"/>
                            <w:lang w:val="en-US" w:eastAsia="fr-FR"/>
                          </w:rPr>
                          <w:t>About BNP Paribas Real Estate</w:t>
                        </w:r>
                      </w:p>
                      <w:p w:rsidR="008D2729" w:rsidRDefault="00742287" w:rsidP="008D2729">
                        <w:pPr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22"/>
                            <w:lang w:val="en-US"/>
                          </w:rPr>
                        </w:pPr>
                        <w:r w:rsidRPr="00742287"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22"/>
                            <w:lang w:val="en-US"/>
                          </w:rPr>
                          <w:t>BNP Paribas Real Estate, one of the leading international real estate providers, offers its clients a comprehensive range of services that span the entire real estate lifecycle: Property Development, Transaction, Consulting, Valuation, Property Management and Investment Ma</w:t>
                        </w:r>
                        <w:r w:rsidR="00461FED"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22"/>
                            <w:lang w:val="en-US"/>
                          </w:rPr>
                          <w:t>nagement. With 4,5</w:t>
                        </w:r>
                        <w:r w:rsidRPr="00742287"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22"/>
                            <w:lang w:val="en-US"/>
                          </w:rPr>
                          <w:t>00 employees, BNP Paribas Real Estate as a one stop shop company, supports owners, leaseholders, investors and communities thanks to its local expertise across 30 countries (through its facilities and its Alliance network) in Europe, the Middle-East and Asia.</w:t>
                        </w:r>
                        <w:r w:rsidR="00BB141B"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22"/>
                            <w:lang w:val="en-US"/>
                          </w:rPr>
                          <w:t xml:space="preserve"> BNP Paribas Real Estate is a</w:t>
                        </w:r>
                        <w:r w:rsidRPr="00742287"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22"/>
                            <w:lang w:val="en-US"/>
                          </w:rPr>
                          <w:t xml:space="preserve"> part of the BNP Paribas Group,</w:t>
                        </w:r>
                        <w:r w:rsidRPr="00742287">
                          <w:rPr>
                            <w:rFonts w:cstheme="minorHAnsi"/>
                            <w:color w:val="808080" w:themeColor="background1" w:themeShade="80"/>
                            <w:sz w:val="14"/>
                            <w:szCs w:val="21"/>
                            <w:shd w:val="clear" w:color="auto" w:fill="FFFFFF"/>
                            <w:lang w:val="en-US"/>
                          </w:rPr>
                          <w:t xml:space="preserve"> </w:t>
                        </w:r>
                        <w:r w:rsidRPr="00742287"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22"/>
                            <w:lang w:val="en-US"/>
                          </w:rPr>
                          <w:t>a global leader in financial services.</w:t>
                        </w:r>
                        <w:r w:rsidR="008D2729"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8D2729" w:rsidRPr="008D2729" w:rsidRDefault="008D2729" w:rsidP="008D2729">
                        <w:pPr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22"/>
                            <w:lang w:val="en-US"/>
                          </w:rPr>
                        </w:pPr>
                        <w:r w:rsidRPr="008D2729"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22"/>
                            <w:lang w:val="en-US"/>
                          </w:rPr>
                          <w:t>As a committed stakeholder in sustainable cities, BNP Paribas Real Estate intends to spearhead the transition to more sustainable real estate: low-carbon, resilient, inclusive and conducive to wellbeing. To achieve this, the company has developed a CSR policy with four objectives: to ethically and responsibly enhance the economic performance and use of buildings; to integrate a low-carbon transition and reduce its environmental footprint; to ensure the development, commitment and well-being of its employees; to be a proactive stakeholder in the real estate sector and to build local initiatives and partnerships.</w:t>
                        </w:r>
                      </w:p>
                      <w:p w:rsidR="00742287" w:rsidRDefault="00742287" w:rsidP="00742287">
                        <w:pPr>
                          <w:shd w:val="clear" w:color="auto" w:fill="FFFFFF"/>
                          <w:spacing w:line="240" w:lineRule="auto"/>
                          <w:rPr>
                            <w:rFonts w:cstheme="minorHAnsi"/>
                            <w:color w:val="808080" w:themeColor="background1" w:themeShade="80"/>
                            <w:sz w:val="16"/>
                            <w:szCs w:val="22"/>
                            <w:lang w:val="en-US"/>
                          </w:rPr>
                        </w:pPr>
                      </w:p>
                      <w:p w:rsidR="00E17B74" w:rsidRPr="00304464" w:rsidRDefault="00E17B74" w:rsidP="00E17B7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174CD" w:rsidRPr="00656AB5" w:rsidRDefault="001174CD" w:rsidP="00563B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  <w:r w:rsidRPr="00656AB5">
                          <w:rPr>
                            <w:rFonts w:ascii="Arial" w:hAnsi="Arial" w:cs="Arial"/>
                            <w:b/>
                            <w:color w:val="808080"/>
                            <w:sz w:val="18"/>
                            <w:szCs w:val="16"/>
                            <w:lang w:val="en-US"/>
                          </w:rPr>
                          <w:t xml:space="preserve">Follow us on </w:t>
                        </w:r>
                        <w:r w:rsidRPr="00656AB5">
                          <w:rPr>
                            <w:rFonts w:ascii="Tms Rmn" w:hAnsi="Tms Rmn"/>
                            <w:noProof/>
                            <w:sz w:val="2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ms Rmn" w:hAnsi="Tms Rmn"/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635E3D55" wp14:editId="3163DEBD">
                              <wp:extent cx="285750" cy="285750"/>
                              <wp:effectExtent l="0" t="0" r="0" b="0"/>
                              <wp:docPr id="5" name="Image 5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6AB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16"/>
                            <w:szCs w:val="16"/>
                            <w:lang w:val="pl-PL" w:eastAsia="pl-PL"/>
                          </w:rPr>
                          <w:drawing>
                            <wp:inline distT="0" distB="0" distL="0" distR="0" wp14:anchorId="34F96E24" wp14:editId="600326AE">
                              <wp:extent cx="285750" cy="285750"/>
                              <wp:effectExtent l="0" t="0" r="0" b="0"/>
                              <wp:docPr id="3" name="Image 3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6AB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16"/>
                            <w:szCs w:val="16"/>
                            <w:lang w:val="pl-PL" w:eastAsia="pl-PL"/>
                          </w:rPr>
                          <w:drawing>
                            <wp:inline distT="0" distB="0" distL="0" distR="0" wp14:anchorId="73EFC59D" wp14:editId="507D0129">
                              <wp:extent cx="285750" cy="285750"/>
                              <wp:effectExtent l="0" t="0" r="0" b="0"/>
                              <wp:docPr id="2" name="Image 2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56AB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16"/>
                            <w:szCs w:val="16"/>
                            <w:lang w:val="pl-PL" w:eastAsia="pl-PL"/>
                          </w:rPr>
                          <w:drawing>
                            <wp:inline distT="0" distB="0" distL="0" distR="0" wp14:anchorId="66A255BD" wp14:editId="7CC01750">
                              <wp:extent cx="285750" cy="285750"/>
                              <wp:effectExtent l="0" t="0" r="0" b="0"/>
                              <wp:docPr id="1" name="Image 1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E2E71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r w:rsidR="001633C6">
                          <w:rPr>
                            <w:rFonts w:ascii="Arial" w:hAnsi="Arial" w:cs="Arial"/>
                            <w:noProof/>
                            <w:color w:val="000000"/>
                            <w:sz w:val="16"/>
                            <w:szCs w:val="16"/>
                            <w:lang w:val="pl-PL" w:eastAsia="pl-PL"/>
                          </w:rPr>
                          <w:drawing>
                            <wp:inline distT="0" distB="0" distL="0" distR="0" wp14:anchorId="207D6DA7" wp14:editId="06E454A5">
                              <wp:extent cx="281781" cy="285750"/>
                              <wp:effectExtent l="0" t="0" r="4445" b="0"/>
                              <wp:docPr id="8" name="Image 8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781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E6020" w:rsidRDefault="007E6020" w:rsidP="007E6020">
                        <w:pPr>
                          <w:keepNext/>
                          <w:autoSpaceDE w:val="0"/>
                          <w:autoSpaceDN w:val="0"/>
                          <w:adjustRightInd w:val="0"/>
                          <w:ind w:left="1276"/>
                          <w:jc w:val="left"/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</w:rPr>
                        </w:pPr>
                        <w:r w:rsidRPr="00D05A27"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</w:rPr>
                          <w:t>#BEYONDBUILDINGS</w:t>
                        </w:r>
                      </w:p>
                      <w:p w:rsidR="007E6020" w:rsidRPr="00422745" w:rsidRDefault="007E6020" w:rsidP="0075292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5" o:spid="_x0000_s1029" type="#_x0000_t202" style="position:absolute;left:26617;top:14867;width:3771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1174CD" w:rsidRPr="00752921" w:rsidRDefault="001174CD" w:rsidP="00752921">
                        <w:pPr>
                          <w:ind w:left="-851"/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  <w:r w:rsidRPr="00752921">
                          <w:rPr>
                            <w:rFonts w:ascii="Arial" w:hAnsi="Arial"/>
                            <w:color w:val="808080"/>
                            <w:sz w:val="16"/>
                            <w:lang w:val="en-US"/>
                          </w:rPr>
                          <w:t xml:space="preserve">For more information: </w:t>
                        </w:r>
                        <w:r w:rsidR="00F95550">
                          <w:fldChar w:fldCharType="begin"/>
                        </w:r>
                        <w:r w:rsidR="00F95550" w:rsidRPr="00F95550">
                          <w:rPr>
                            <w:lang w:val="en-US"/>
                          </w:rPr>
                          <w:instrText xml:space="preserve"> HYPERLINK "http://www.realestate.bnpparibas.com/" \h </w:instrText>
                        </w:r>
                        <w:r w:rsidR="00F95550">
                          <w:fldChar w:fldCharType="separate"/>
                        </w:r>
                        <w:r w:rsidRPr="00752921">
                          <w:rPr>
                            <w:rFonts w:ascii="Arial" w:hAnsi="Arial"/>
                            <w:color w:val="0000FF"/>
                            <w:sz w:val="16"/>
                            <w:u w:val="single"/>
                            <w:lang w:val="en-US"/>
                          </w:rPr>
                          <w:t>www.realestate.bnpparibas.com</w:t>
                        </w:r>
                        <w:r w:rsidR="00F95550">
                          <w:rPr>
                            <w:rFonts w:ascii="Arial" w:hAnsi="Arial"/>
                            <w:color w:val="0000FF"/>
                            <w:sz w:val="16"/>
                            <w:u w:val="single"/>
                            <w:lang w:val="en-US"/>
                          </w:rPr>
                          <w:fldChar w:fldCharType="end"/>
                        </w:r>
                        <w:r w:rsidRPr="00752921">
                          <w:rPr>
                            <w:rFonts w:ascii="Arial" w:hAnsi="Arial"/>
                            <w:color w:val="808080"/>
                            <w:sz w:val="16"/>
                            <w:u w:val="single"/>
                            <w:lang w:val="en-US"/>
                          </w:rPr>
                          <w:t xml:space="preserve">  </w:t>
                        </w:r>
                      </w:p>
                      <w:p w:rsidR="001174CD" w:rsidRPr="008D2729" w:rsidRDefault="001174CD" w:rsidP="008D2729">
                        <w:pPr>
                          <w:keepNext/>
                          <w:autoSpaceDE w:val="0"/>
                          <w:autoSpaceDN w:val="0"/>
                          <w:adjustRightInd w:val="0"/>
                          <w:ind w:left="-851"/>
                          <w:jc w:val="right"/>
                          <w:rPr>
                            <w:rFonts w:ascii="Arial" w:hAnsi="Arial" w:cs="Arial"/>
                            <w:b/>
                            <w:color w:val="004231"/>
                            <w:sz w:val="16"/>
                            <w:szCs w:val="16"/>
                            <w:lang w:val="en-US"/>
                          </w:rPr>
                        </w:pPr>
                        <w:r w:rsidRPr="00752921">
                          <w:rPr>
                            <w:rFonts w:ascii="Arial" w:hAnsi="Arial"/>
                            <w:b/>
                            <w:color w:val="004231"/>
                            <w:sz w:val="16"/>
                            <w:lang w:val="en-US"/>
                          </w:rPr>
                          <w:t>Real estate for a changing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2921" w:rsidRPr="00F95550" w:rsidRDefault="00752921" w:rsidP="00422A2C">
      <w:pPr>
        <w:spacing w:line="240" w:lineRule="auto"/>
        <w:rPr>
          <w:rFonts w:ascii="Arial" w:eastAsia="Calibri" w:hAnsi="Arial" w:cs="Arial"/>
          <w:strike/>
          <w:sz w:val="22"/>
          <w:lang w:val="pl-PL"/>
        </w:rPr>
      </w:pPr>
    </w:p>
    <w:p w:rsidR="00752921" w:rsidRPr="00F95550" w:rsidRDefault="00752921" w:rsidP="0001613E">
      <w:pPr>
        <w:jc w:val="left"/>
        <w:rPr>
          <w:lang w:val="pl-PL"/>
        </w:rPr>
      </w:pPr>
    </w:p>
    <w:p w:rsidR="00752921" w:rsidRPr="00F95550" w:rsidRDefault="00752921" w:rsidP="0001613E">
      <w:pPr>
        <w:pStyle w:val="Title"/>
        <w:spacing w:before="100" w:beforeAutospacing="1" w:after="100" w:afterAutospacing="1" w:line="240" w:lineRule="auto"/>
        <w:rPr>
          <w:sz w:val="24"/>
          <w:lang w:val="pl-PL"/>
        </w:rPr>
      </w:pPr>
    </w:p>
    <w:p w:rsidR="00752921" w:rsidRPr="00F95550" w:rsidRDefault="00752921" w:rsidP="0001613E">
      <w:pPr>
        <w:jc w:val="left"/>
        <w:rPr>
          <w:lang w:val="pl-PL"/>
        </w:rPr>
      </w:pPr>
    </w:p>
    <w:p w:rsidR="00752921" w:rsidRPr="00F95550" w:rsidRDefault="00752921" w:rsidP="0001613E">
      <w:pPr>
        <w:jc w:val="left"/>
        <w:rPr>
          <w:lang w:val="pl-PL"/>
        </w:rPr>
      </w:pPr>
    </w:p>
    <w:p w:rsidR="00752921" w:rsidRPr="00F95550" w:rsidRDefault="00752921" w:rsidP="0001613E">
      <w:pPr>
        <w:jc w:val="left"/>
        <w:rPr>
          <w:lang w:val="pl-PL"/>
        </w:rPr>
      </w:pPr>
    </w:p>
    <w:p w:rsidR="00752921" w:rsidRPr="00F95550" w:rsidRDefault="00752921" w:rsidP="0001613E">
      <w:pPr>
        <w:tabs>
          <w:tab w:val="left" w:pos="1267"/>
        </w:tabs>
        <w:jc w:val="left"/>
        <w:rPr>
          <w:lang w:val="pl-PL"/>
        </w:rPr>
      </w:pPr>
    </w:p>
    <w:p w:rsidR="00752921" w:rsidRPr="00F95550" w:rsidRDefault="00752921" w:rsidP="00752921">
      <w:pPr>
        <w:tabs>
          <w:tab w:val="left" w:pos="1267"/>
        </w:tabs>
        <w:rPr>
          <w:lang w:val="pl-PL"/>
        </w:rPr>
      </w:pPr>
    </w:p>
    <w:p w:rsidR="00752921" w:rsidRPr="00F95550" w:rsidRDefault="00752921" w:rsidP="007529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l-PL"/>
        </w:rPr>
      </w:pPr>
      <w:r w:rsidRPr="00F95550">
        <w:rPr>
          <w:rFonts w:ascii="Arial" w:hAnsi="Arial"/>
          <w:color w:val="808080"/>
          <w:sz w:val="16"/>
          <w:lang w:val="pl-PL"/>
        </w:rPr>
        <w:t xml:space="preserve"> </w:t>
      </w:r>
    </w:p>
    <w:p w:rsidR="00752921" w:rsidRPr="00F95550" w:rsidRDefault="00752921" w:rsidP="007529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l-PL"/>
        </w:rPr>
      </w:pPr>
    </w:p>
    <w:p w:rsidR="00752921" w:rsidRPr="00F95550" w:rsidRDefault="00752921" w:rsidP="007529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l-PL"/>
        </w:rPr>
      </w:pPr>
    </w:p>
    <w:p w:rsidR="00752921" w:rsidRPr="00F95550" w:rsidRDefault="00752921" w:rsidP="007529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pl-PL"/>
        </w:rPr>
      </w:pPr>
    </w:p>
    <w:p w:rsidR="00752921" w:rsidRPr="00F16358" w:rsidRDefault="00A10E01" w:rsidP="0075292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752921">
        <w:rPr>
          <w:rFonts w:ascii="Arial" w:hAnsi="Arial" w:cs="Arial"/>
          <w:noProof/>
          <w:color w:val="808080"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CA78EE" wp14:editId="268E261E">
                <wp:simplePos x="0" y="0"/>
                <wp:positionH relativeFrom="margin">
                  <wp:posOffset>57774</wp:posOffset>
                </wp:positionH>
                <wp:positionV relativeFrom="paragraph">
                  <wp:posOffset>26519</wp:posOffset>
                </wp:positionV>
                <wp:extent cx="6489065" cy="609600"/>
                <wp:effectExtent l="0" t="0" r="2603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DCA" w:rsidRPr="00643A8B" w:rsidRDefault="001174CD" w:rsidP="0017302B">
                            <w:pPr>
                              <w:pStyle w:val="Footer"/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CE79DF">
                              <w:rPr>
                                <w:rFonts w:ascii="Arial" w:hAnsi="Arial"/>
                                <w:b/>
                                <w:color w:val="004231"/>
                                <w:sz w:val="18"/>
                                <w:lang w:val="en-US"/>
                              </w:rPr>
                              <w:t>P</w:t>
                            </w:r>
                            <w:r w:rsidR="00EC39CB" w:rsidRPr="00CE79DF">
                              <w:rPr>
                                <w:rFonts w:ascii="Arial" w:hAnsi="Arial"/>
                                <w:b/>
                                <w:color w:val="004231"/>
                                <w:sz w:val="18"/>
                                <w:lang w:val="en-US"/>
                              </w:rPr>
                              <w:t xml:space="preserve">ress </w:t>
                            </w:r>
                            <w:r w:rsidR="00000EBE">
                              <w:rPr>
                                <w:rFonts w:ascii="Arial" w:hAnsi="Arial"/>
                                <w:b/>
                                <w:color w:val="004231"/>
                                <w:sz w:val="18"/>
                                <w:lang w:val="en-US"/>
                              </w:rPr>
                              <w:t>c</w:t>
                            </w:r>
                            <w:r w:rsidR="00EC39CB" w:rsidRPr="00CE79DF">
                              <w:rPr>
                                <w:rFonts w:ascii="Arial" w:hAnsi="Arial"/>
                                <w:b/>
                                <w:color w:val="004231"/>
                                <w:sz w:val="18"/>
                                <w:lang w:val="en-US"/>
                              </w:rPr>
                              <w:t>ontact</w:t>
                            </w:r>
                            <w:r w:rsidR="00000EBE">
                              <w:rPr>
                                <w:rFonts w:ascii="Arial" w:hAnsi="Arial"/>
                                <w:b/>
                                <w:color w:val="004231"/>
                                <w:sz w:val="18"/>
                                <w:lang w:val="en-US"/>
                              </w:rPr>
                              <w:t>s</w:t>
                            </w:r>
                            <w:r w:rsidRPr="00CE79DF">
                              <w:rPr>
                                <w:rFonts w:ascii="Arial" w:hAnsi="Arial"/>
                                <w:b/>
                                <w:color w:val="004231"/>
                                <w:sz w:val="18"/>
                                <w:lang w:val="en-US"/>
                              </w:rPr>
                              <w:t>:</w:t>
                            </w:r>
                          </w:p>
                          <w:p w:rsidR="0017302B" w:rsidRPr="00F95550" w:rsidRDefault="00643A8B" w:rsidP="0017302B">
                            <w:pPr>
                              <w:pStyle w:val="Footer"/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F95550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8"/>
                                <w:lang w:val="en-US"/>
                              </w:rPr>
                              <w:t>Justyna Magrzyk-Flemming :</w:t>
                            </w:r>
                            <w:r w:rsidR="0017302B" w:rsidRPr="00F95550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9555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8"/>
                                <w:lang w:val="en-US"/>
                              </w:rPr>
                              <w:t>+48 511 155 274</w:t>
                            </w:r>
                          </w:p>
                          <w:p w:rsidR="00CE79DF" w:rsidRPr="00643A8B" w:rsidRDefault="00F95550" w:rsidP="0017302B">
                            <w:pPr>
                              <w:pStyle w:val="Footer"/>
                              <w:tabs>
                                <w:tab w:val="left" w:pos="142"/>
                              </w:tabs>
                              <w:rPr>
                                <w:noProof/>
                                <w:lang w:val="pl-PL" w:eastAsia="fr-FR"/>
                              </w:rPr>
                            </w:pPr>
                            <w:hyperlink r:id="rId18" w:history="1">
                              <w:r w:rsidR="00643A8B" w:rsidRPr="00470BF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pl-PL"/>
                                </w:rPr>
                                <w:t>justyna.magrzyk-flemming@realestate.bnpparibas</w:t>
                              </w:r>
                            </w:hyperlink>
                          </w:p>
                          <w:p w:rsidR="001174CD" w:rsidRPr="00643A8B" w:rsidRDefault="001174CD" w:rsidP="0075292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A78EE" id="Rectangle 19" o:spid="_x0000_s1030" style="position:absolute;left:0;text-align:left;margin-left:4.55pt;margin-top:2.1pt;width:510.9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" filled="f" strokecolor="black [3213]">
                <v:stroke dashstyle="3 1"/>
                <v:textbox inset=",2.5mm,,2.5mm">
                  <w:txbxContent>
                    <w:p w:rsidR="00E47DCA" w:rsidRPr="00643A8B" w:rsidRDefault="001174CD" w:rsidP="0017302B">
                      <w:pPr>
                        <w:pStyle w:val="Footer"/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8"/>
                          <w:lang w:val="en-US"/>
                        </w:rPr>
                      </w:pPr>
                      <w:r w:rsidRPr="00CE79DF">
                        <w:rPr>
                          <w:rFonts w:ascii="Arial" w:hAnsi="Arial"/>
                          <w:b/>
                          <w:color w:val="004231"/>
                          <w:sz w:val="18"/>
                          <w:lang w:val="en-US"/>
                        </w:rPr>
                        <w:t>P</w:t>
                      </w:r>
                      <w:r w:rsidR="00EC39CB" w:rsidRPr="00CE79DF">
                        <w:rPr>
                          <w:rFonts w:ascii="Arial" w:hAnsi="Arial"/>
                          <w:b/>
                          <w:color w:val="004231"/>
                          <w:sz w:val="18"/>
                          <w:lang w:val="en-US"/>
                        </w:rPr>
                        <w:t xml:space="preserve">ress </w:t>
                      </w:r>
                      <w:r w:rsidR="00000EBE">
                        <w:rPr>
                          <w:rFonts w:ascii="Arial" w:hAnsi="Arial"/>
                          <w:b/>
                          <w:color w:val="004231"/>
                          <w:sz w:val="18"/>
                          <w:lang w:val="en-US"/>
                        </w:rPr>
                        <w:t>c</w:t>
                      </w:r>
                      <w:r w:rsidR="00EC39CB" w:rsidRPr="00CE79DF">
                        <w:rPr>
                          <w:rFonts w:ascii="Arial" w:hAnsi="Arial"/>
                          <w:b/>
                          <w:color w:val="004231"/>
                          <w:sz w:val="18"/>
                          <w:lang w:val="en-US"/>
                        </w:rPr>
                        <w:t>ontact</w:t>
                      </w:r>
                      <w:r w:rsidR="00000EBE">
                        <w:rPr>
                          <w:rFonts w:ascii="Arial" w:hAnsi="Arial"/>
                          <w:b/>
                          <w:color w:val="004231"/>
                          <w:sz w:val="18"/>
                          <w:lang w:val="en-US"/>
                        </w:rPr>
                        <w:t>s</w:t>
                      </w:r>
                      <w:r w:rsidRPr="00CE79DF">
                        <w:rPr>
                          <w:rFonts w:ascii="Arial" w:hAnsi="Arial"/>
                          <w:b/>
                          <w:color w:val="004231"/>
                          <w:sz w:val="18"/>
                          <w:lang w:val="en-US"/>
                        </w:rPr>
                        <w:t>:</w:t>
                      </w:r>
                    </w:p>
                    <w:p w:rsidR="0017302B" w:rsidRPr="00F95550" w:rsidRDefault="00643A8B" w:rsidP="0017302B">
                      <w:pPr>
                        <w:pStyle w:val="Footer"/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8"/>
                          <w:lang w:val="en-US"/>
                        </w:rPr>
                      </w:pPr>
                      <w:r w:rsidRPr="00F95550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8"/>
                          <w:lang w:val="en-US"/>
                        </w:rPr>
                        <w:t>Justyna Magrzyk-Flemming :</w:t>
                      </w:r>
                      <w:r w:rsidR="0017302B" w:rsidRPr="00F95550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 w:rsidRPr="00F95550">
                        <w:rPr>
                          <w:rFonts w:ascii="Arial" w:hAnsi="Arial" w:cs="Arial"/>
                          <w:color w:val="808080"/>
                          <w:sz w:val="16"/>
                          <w:szCs w:val="18"/>
                          <w:lang w:val="en-US"/>
                        </w:rPr>
                        <w:t>+48 511 155 274</w:t>
                      </w:r>
                    </w:p>
                    <w:p w:rsidR="00CE79DF" w:rsidRPr="00643A8B" w:rsidRDefault="00F95550" w:rsidP="0017302B">
                      <w:pPr>
                        <w:pStyle w:val="Footer"/>
                        <w:tabs>
                          <w:tab w:val="left" w:pos="142"/>
                        </w:tabs>
                        <w:rPr>
                          <w:noProof/>
                          <w:lang w:val="pl-PL" w:eastAsia="fr-FR"/>
                        </w:rPr>
                      </w:pPr>
                      <w:hyperlink r:id="rId19" w:history="1">
                        <w:r w:rsidR="00643A8B" w:rsidRPr="00470BF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pl-PL"/>
                          </w:rPr>
                          <w:t>justyna.magrzyk-flemming@realestate.bnpparibas</w:t>
                        </w:r>
                      </w:hyperlink>
                    </w:p>
                    <w:p w:rsidR="001174CD" w:rsidRPr="00643A8B" w:rsidRDefault="001174CD" w:rsidP="00752921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2921" w:rsidRPr="00F16358" w:rsidSect="0054303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709" w:right="851" w:bottom="1276" w:left="851" w:header="0" w:footer="1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CD" w:rsidRDefault="001174CD" w:rsidP="008C4C01">
      <w:r>
        <w:separator/>
      </w:r>
    </w:p>
  </w:endnote>
  <w:endnote w:type="continuationSeparator" w:id="0">
    <w:p w:rsidR="001174CD" w:rsidRDefault="001174CD" w:rsidP="008C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ED" w:rsidRDefault="00461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CD" w:rsidRPr="00B060E1" w:rsidRDefault="00742287" w:rsidP="0068738D">
    <w:pPr>
      <w:pStyle w:val="Footer"/>
      <w:jc w:val="lef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d676489c86ef383ef56ccd45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42287" w:rsidRPr="00742287" w:rsidRDefault="00742287" w:rsidP="00742287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742287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 xml:space="preserve">Classification : </w:t>
                          </w:r>
                          <w:proofErr w:type="spellStart"/>
                          <w:r w:rsidRPr="00742287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676489c86ef383ef56ccd45" o:spid="_x0000_s1031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" o:allowincell="f" filled="f" stroked="f" strokeweight=".5pt">
              <v:textbox inset="0,0,20pt,0">
                <w:txbxContent>
                  <w:p w:rsidR="00742287" w:rsidRPr="00742287" w:rsidRDefault="00742287" w:rsidP="00742287">
                    <w:pPr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742287">
                      <w:rPr>
                        <w:rFonts w:ascii="Calibri" w:hAnsi="Calibri" w:cs="Calibri"/>
                        <w:color w:val="0000FF"/>
                        <w:sz w:val="20"/>
                      </w:rPr>
                      <w:t xml:space="preserve">Classification : </w:t>
                    </w:r>
                    <w:proofErr w:type="spellStart"/>
                    <w:r w:rsidRPr="00742287">
                      <w:rPr>
                        <w:rFonts w:ascii="Calibri" w:hAnsi="Calibri" w:cs="Calibri"/>
                        <w:color w:val="0000FF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383D41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5602D3E" wp14:editId="65B47CB0">
          <wp:simplePos x="0" y="0"/>
          <wp:positionH relativeFrom="column">
            <wp:posOffset>5357495</wp:posOffset>
          </wp:positionH>
          <wp:positionV relativeFrom="paragraph">
            <wp:posOffset>154305</wp:posOffset>
          </wp:positionV>
          <wp:extent cx="1123950" cy="862965"/>
          <wp:effectExtent l="0" t="0" r="0" b="0"/>
          <wp:wrapSquare wrapText="bothSides"/>
          <wp:docPr id="1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Edition Publicité\Ericka\CHARTE 2015\CHARTE\BNPP_Sign_FR_IMMO\BNPP_Sign_FR3_3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0" r="11044" b="-3218"/>
                  <a:stretch/>
                </pic:blipFill>
                <pic:spPr bwMode="auto">
                  <a:xfrm>
                    <a:off x="0" y="0"/>
                    <a:ext cx="112395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4CD"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2261697C" wp14:editId="0E187757">
          <wp:simplePos x="0" y="0"/>
          <wp:positionH relativeFrom="column">
            <wp:posOffset>-635</wp:posOffset>
          </wp:positionH>
          <wp:positionV relativeFrom="paragraph">
            <wp:posOffset>308610</wp:posOffset>
          </wp:positionV>
          <wp:extent cx="2632075" cy="498475"/>
          <wp:effectExtent l="0" t="0" r="0" b="0"/>
          <wp:wrapSquare wrapText="bothSides"/>
          <wp:docPr id="15" name="Image 15" descr="K:\Edition Publicité\Ericka\CHARTE 2015\CHARTE\RE_BL_E_Q\RE_BL_E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dition Publicité\Ericka\CHARTE 2015\CHARTE\RE_BL_E_Q\RE_BL_E_Q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2" t="16953" b="19011"/>
                  <a:stretch/>
                </pic:blipFill>
                <pic:spPr bwMode="auto">
                  <a:xfrm>
                    <a:off x="0" y="0"/>
                    <a:ext cx="2632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ED" w:rsidRDefault="00461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CD" w:rsidRDefault="001174CD" w:rsidP="008C4C01">
      <w:r>
        <w:separator/>
      </w:r>
    </w:p>
  </w:footnote>
  <w:footnote w:type="continuationSeparator" w:id="0">
    <w:p w:rsidR="001174CD" w:rsidRDefault="001174CD" w:rsidP="008C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ED" w:rsidRDefault="00461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ED" w:rsidRDefault="00461F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ED" w:rsidRDefault="00461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puce" style="width:49.45pt;height:49.45pt;visibility:visible;mso-wrap-style:square" o:bullet="t">
        <v:imagedata r:id="rId1" o:title="puce"/>
      </v:shape>
    </w:pict>
  </w:numPicBullet>
  <w:abstractNum w:abstractNumId="0" w15:restartNumberingAfterBreak="0">
    <w:nsid w:val="0FA42B0A"/>
    <w:multiLevelType w:val="multilevel"/>
    <w:tmpl w:val="BEA442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313783"/>
    <w:multiLevelType w:val="hybridMultilevel"/>
    <w:tmpl w:val="ACEC5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37B"/>
    <w:multiLevelType w:val="hybridMultilevel"/>
    <w:tmpl w:val="68CA694C"/>
    <w:lvl w:ilvl="0" w:tplc="07CEB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64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48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84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8A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B28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2E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6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649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A533755"/>
    <w:multiLevelType w:val="hybridMultilevel"/>
    <w:tmpl w:val="12022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F2"/>
    <w:rsid w:val="00000EBE"/>
    <w:rsid w:val="00002306"/>
    <w:rsid w:val="0001169B"/>
    <w:rsid w:val="0001613E"/>
    <w:rsid w:val="00020FE3"/>
    <w:rsid w:val="000330BE"/>
    <w:rsid w:val="00037595"/>
    <w:rsid w:val="00043C42"/>
    <w:rsid w:val="00055CE0"/>
    <w:rsid w:val="000573C1"/>
    <w:rsid w:val="0006620F"/>
    <w:rsid w:val="000A0B9E"/>
    <w:rsid w:val="000A0EEB"/>
    <w:rsid w:val="000C7D05"/>
    <w:rsid w:val="000D2224"/>
    <w:rsid w:val="001042AB"/>
    <w:rsid w:val="001174CD"/>
    <w:rsid w:val="00120160"/>
    <w:rsid w:val="0012051F"/>
    <w:rsid w:val="00136393"/>
    <w:rsid w:val="00145E0D"/>
    <w:rsid w:val="00147C33"/>
    <w:rsid w:val="00155122"/>
    <w:rsid w:val="00161CB7"/>
    <w:rsid w:val="001633C6"/>
    <w:rsid w:val="0017302B"/>
    <w:rsid w:val="00177C9D"/>
    <w:rsid w:val="001B6A5B"/>
    <w:rsid w:val="001C2342"/>
    <w:rsid w:val="001D7258"/>
    <w:rsid w:val="001F5E5B"/>
    <w:rsid w:val="001F6A4A"/>
    <w:rsid w:val="00201940"/>
    <w:rsid w:val="002114C6"/>
    <w:rsid w:val="00212BE9"/>
    <w:rsid w:val="00214D6D"/>
    <w:rsid w:val="002213DB"/>
    <w:rsid w:val="00247D68"/>
    <w:rsid w:val="002544EE"/>
    <w:rsid w:val="00260EF1"/>
    <w:rsid w:val="00284B74"/>
    <w:rsid w:val="002A0D2D"/>
    <w:rsid w:val="002A1156"/>
    <w:rsid w:val="002A35CF"/>
    <w:rsid w:val="002A73E7"/>
    <w:rsid w:val="002B156F"/>
    <w:rsid w:val="002C15E8"/>
    <w:rsid w:val="002C76B7"/>
    <w:rsid w:val="002D00EA"/>
    <w:rsid w:val="002D00FB"/>
    <w:rsid w:val="002E0253"/>
    <w:rsid w:val="003041A4"/>
    <w:rsid w:val="00304464"/>
    <w:rsid w:val="00326E17"/>
    <w:rsid w:val="0032760C"/>
    <w:rsid w:val="00336245"/>
    <w:rsid w:val="003613E7"/>
    <w:rsid w:val="00371A2F"/>
    <w:rsid w:val="00383D41"/>
    <w:rsid w:val="003967E8"/>
    <w:rsid w:val="003A1ACF"/>
    <w:rsid w:val="003B1426"/>
    <w:rsid w:val="003B2220"/>
    <w:rsid w:val="003C2DF2"/>
    <w:rsid w:val="003C7412"/>
    <w:rsid w:val="003D4130"/>
    <w:rsid w:val="00400CCB"/>
    <w:rsid w:val="004065B9"/>
    <w:rsid w:val="00413A4E"/>
    <w:rsid w:val="004160F3"/>
    <w:rsid w:val="00422A2C"/>
    <w:rsid w:val="0042340B"/>
    <w:rsid w:val="004249F9"/>
    <w:rsid w:val="00426F21"/>
    <w:rsid w:val="004308A8"/>
    <w:rsid w:val="004602C4"/>
    <w:rsid w:val="00461FED"/>
    <w:rsid w:val="00481733"/>
    <w:rsid w:val="004A1482"/>
    <w:rsid w:val="004C5425"/>
    <w:rsid w:val="004C6459"/>
    <w:rsid w:val="004C6E1B"/>
    <w:rsid w:val="00500B0D"/>
    <w:rsid w:val="0051302F"/>
    <w:rsid w:val="00531DC4"/>
    <w:rsid w:val="00543036"/>
    <w:rsid w:val="0055459A"/>
    <w:rsid w:val="00563BF6"/>
    <w:rsid w:val="0056621B"/>
    <w:rsid w:val="005948F4"/>
    <w:rsid w:val="005B3175"/>
    <w:rsid w:val="005C219D"/>
    <w:rsid w:val="005D7918"/>
    <w:rsid w:val="005F09C5"/>
    <w:rsid w:val="00643A8B"/>
    <w:rsid w:val="006730F4"/>
    <w:rsid w:val="00683AFC"/>
    <w:rsid w:val="00686D90"/>
    <w:rsid w:val="0068738D"/>
    <w:rsid w:val="00697AA7"/>
    <w:rsid w:val="006A2D7C"/>
    <w:rsid w:val="006A7510"/>
    <w:rsid w:val="006B001D"/>
    <w:rsid w:val="006D6A19"/>
    <w:rsid w:val="006E1ADF"/>
    <w:rsid w:val="006F60B8"/>
    <w:rsid w:val="006F7D4C"/>
    <w:rsid w:val="00724944"/>
    <w:rsid w:val="00742287"/>
    <w:rsid w:val="00752921"/>
    <w:rsid w:val="00752A0B"/>
    <w:rsid w:val="00762E6F"/>
    <w:rsid w:val="00782E41"/>
    <w:rsid w:val="007A6EDE"/>
    <w:rsid w:val="007B3AFB"/>
    <w:rsid w:val="007E3F69"/>
    <w:rsid w:val="007E6020"/>
    <w:rsid w:val="007E6B35"/>
    <w:rsid w:val="007F155B"/>
    <w:rsid w:val="00800EC8"/>
    <w:rsid w:val="00804AF0"/>
    <w:rsid w:val="00870A6E"/>
    <w:rsid w:val="00886294"/>
    <w:rsid w:val="0088782F"/>
    <w:rsid w:val="008C2DF0"/>
    <w:rsid w:val="008C4C01"/>
    <w:rsid w:val="008D1160"/>
    <w:rsid w:val="008D2729"/>
    <w:rsid w:val="008F7BB7"/>
    <w:rsid w:val="009004D4"/>
    <w:rsid w:val="00900AAA"/>
    <w:rsid w:val="00901490"/>
    <w:rsid w:val="00914D75"/>
    <w:rsid w:val="00930DB1"/>
    <w:rsid w:val="0097415E"/>
    <w:rsid w:val="009757FD"/>
    <w:rsid w:val="009805DD"/>
    <w:rsid w:val="00991878"/>
    <w:rsid w:val="009A44BA"/>
    <w:rsid w:val="009C33CA"/>
    <w:rsid w:val="009F029A"/>
    <w:rsid w:val="009F53F5"/>
    <w:rsid w:val="009F738D"/>
    <w:rsid w:val="00A018C8"/>
    <w:rsid w:val="00A06B34"/>
    <w:rsid w:val="00A10E01"/>
    <w:rsid w:val="00A8299A"/>
    <w:rsid w:val="00A87E01"/>
    <w:rsid w:val="00A93A33"/>
    <w:rsid w:val="00AA7C5B"/>
    <w:rsid w:val="00AB2D24"/>
    <w:rsid w:val="00AD3EE7"/>
    <w:rsid w:val="00AD6436"/>
    <w:rsid w:val="00B060E1"/>
    <w:rsid w:val="00B138C5"/>
    <w:rsid w:val="00B202A9"/>
    <w:rsid w:val="00B32F85"/>
    <w:rsid w:val="00B40A05"/>
    <w:rsid w:val="00B47E18"/>
    <w:rsid w:val="00B5226E"/>
    <w:rsid w:val="00B649F7"/>
    <w:rsid w:val="00B77C42"/>
    <w:rsid w:val="00B915A9"/>
    <w:rsid w:val="00BA666F"/>
    <w:rsid w:val="00BB141B"/>
    <w:rsid w:val="00BD7BAA"/>
    <w:rsid w:val="00BE2E71"/>
    <w:rsid w:val="00BF060F"/>
    <w:rsid w:val="00C02217"/>
    <w:rsid w:val="00C0396A"/>
    <w:rsid w:val="00C1449A"/>
    <w:rsid w:val="00C47924"/>
    <w:rsid w:val="00C551E1"/>
    <w:rsid w:val="00C66456"/>
    <w:rsid w:val="00C77E7E"/>
    <w:rsid w:val="00C878C4"/>
    <w:rsid w:val="00C92F0D"/>
    <w:rsid w:val="00CC078D"/>
    <w:rsid w:val="00CD723A"/>
    <w:rsid w:val="00CE5A93"/>
    <w:rsid w:val="00CE79DF"/>
    <w:rsid w:val="00CF4A09"/>
    <w:rsid w:val="00CF5178"/>
    <w:rsid w:val="00CF7F38"/>
    <w:rsid w:val="00D061B6"/>
    <w:rsid w:val="00D1028F"/>
    <w:rsid w:val="00D1060B"/>
    <w:rsid w:val="00D15D59"/>
    <w:rsid w:val="00D31F73"/>
    <w:rsid w:val="00D44440"/>
    <w:rsid w:val="00D54116"/>
    <w:rsid w:val="00D93D02"/>
    <w:rsid w:val="00DD1FE3"/>
    <w:rsid w:val="00DD4076"/>
    <w:rsid w:val="00DF068D"/>
    <w:rsid w:val="00DF1F0F"/>
    <w:rsid w:val="00E13B22"/>
    <w:rsid w:val="00E17B74"/>
    <w:rsid w:val="00E37B92"/>
    <w:rsid w:val="00E37D2C"/>
    <w:rsid w:val="00E47695"/>
    <w:rsid w:val="00E47DCA"/>
    <w:rsid w:val="00E61696"/>
    <w:rsid w:val="00E75283"/>
    <w:rsid w:val="00E839E8"/>
    <w:rsid w:val="00E906FD"/>
    <w:rsid w:val="00EA7194"/>
    <w:rsid w:val="00EB2444"/>
    <w:rsid w:val="00EC39CB"/>
    <w:rsid w:val="00ED5043"/>
    <w:rsid w:val="00EE3E2E"/>
    <w:rsid w:val="00EE6566"/>
    <w:rsid w:val="00F0035F"/>
    <w:rsid w:val="00F00EF6"/>
    <w:rsid w:val="00F16358"/>
    <w:rsid w:val="00F25D43"/>
    <w:rsid w:val="00F4334C"/>
    <w:rsid w:val="00F5556A"/>
    <w:rsid w:val="00F57C8C"/>
    <w:rsid w:val="00F736A8"/>
    <w:rsid w:val="00F74E49"/>
    <w:rsid w:val="00F87A77"/>
    <w:rsid w:val="00F904C5"/>
    <w:rsid w:val="00F95550"/>
    <w:rsid w:val="00FA38A2"/>
    <w:rsid w:val="00FB05F9"/>
    <w:rsid w:val="00FB7DC7"/>
    <w:rsid w:val="00FC38D5"/>
    <w:rsid w:val="00FD14B8"/>
    <w:rsid w:val="00FD20DB"/>
    <w:rsid w:val="00FE38BB"/>
    <w:rsid w:val="00FE450C"/>
    <w:rsid w:val="00FE5A7F"/>
    <w:rsid w:val="00FF574B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2FF79"/>
  <w15:docId w15:val="{1BF01860-DBCD-4CA7-A09F-1552B43E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D5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116"/>
    <w:rPr>
      <w:color w:val="00A76C" w:themeColor="accent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Footer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Footer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B7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ListParagraph">
    <w:name w:val="List Paragraph"/>
    <w:basedOn w:val="Normal"/>
    <w:uiPriority w:val="34"/>
    <w:qFormat/>
    <w:rsid w:val="00500B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B0D"/>
    <w:pPr>
      <w:spacing w:after="210" w:line="210" w:lineRule="atLeast"/>
    </w:pPr>
    <w:rPr>
      <w:rFonts w:ascii="Times New Roman" w:eastAsia="Times New Roman" w:hAnsi="Times New Roman"/>
      <w:sz w:val="17"/>
      <w:szCs w:val="17"/>
      <w:lang w:eastAsia="fr-FR"/>
    </w:rPr>
  </w:style>
  <w:style w:type="character" w:styleId="Strong">
    <w:name w:val="Strong"/>
    <w:basedOn w:val="DefaultParagraphFont"/>
    <w:uiPriority w:val="22"/>
    <w:qFormat/>
    <w:rsid w:val="00500B0D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3C7412"/>
    <w:pPr>
      <w:widowControl w:val="0"/>
      <w:spacing w:line="240" w:lineRule="auto"/>
      <w:ind w:left="1016"/>
      <w:jc w:val="left"/>
    </w:pPr>
    <w:rPr>
      <w:rFonts w:ascii="Arial" w:eastAsia="Arial" w:hAnsi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7412"/>
    <w:rPr>
      <w:rFonts w:ascii="Arial" w:eastAsia="Arial" w:hAnsi="Arial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5CF"/>
    <w:pPr>
      <w:spacing w:line="240" w:lineRule="auto"/>
      <w:jc w:val="left"/>
    </w:pPr>
    <w:rPr>
      <w:rFonts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5CF"/>
    <w:rPr>
      <w:rFonts w:ascii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A35CF"/>
    <w:rPr>
      <w:vertAlign w:val="superscript"/>
    </w:rPr>
  </w:style>
  <w:style w:type="paragraph" w:customStyle="1" w:styleId="s5">
    <w:name w:val="s5"/>
    <w:basedOn w:val="Normal"/>
    <w:rsid w:val="00CF51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CF5178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B1426"/>
    <w:pPr>
      <w:spacing w:after="200" w:line="240" w:lineRule="auto"/>
    </w:pPr>
    <w:rPr>
      <w:i/>
      <w:iCs/>
      <w:color w:val="939598" w:themeColor="text2"/>
      <w:sz w:val="18"/>
      <w:szCs w:val="18"/>
    </w:rPr>
  </w:style>
  <w:style w:type="paragraph" w:customStyle="1" w:styleId="1Gutachten">
    <w:name w:val="1 Gutachten"/>
    <w:rsid w:val="00D1060B"/>
    <w:pPr>
      <w:spacing w:after="340" w:line="340" w:lineRule="atLeast"/>
      <w:jc w:val="both"/>
    </w:pPr>
    <w:rPr>
      <w:rFonts w:ascii="Arial" w:eastAsia="Times New Roman" w:hAnsi="Arial"/>
      <w:sz w:val="22"/>
      <w:lang w:val="de-DE" w:eastAsia="fr-FR"/>
    </w:rPr>
  </w:style>
  <w:style w:type="paragraph" w:customStyle="1" w:styleId="xmsonormal">
    <w:name w:val="x_msonormal"/>
    <w:basedOn w:val="Normal"/>
    <w:rsid w:val="003044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fr-FR"/>
    </w:rPr>
  </w:style>
  <w:style w:type="character" w:customStyle="1" w:styleId="ident11121827">
    <w:name w:val="ident_1112_1827"/>
    <w:basedOn w:val="DefaultParagraphFont"/>
    <w:rsid w:val="00304464"/>
  </w:style>
  <w:style w:type="character" w:customStyle="1" w:styleId="Heading2Char">
    <w:name w:val="Heading 2 Char"/>
    <w:basedOn w:val="DefaultParagraphFont"/>
    <w:link w:val="Heading2"/>
    <w:uiPriority w:val="9"/>
    <w:semiHidden/>
    <w:rsid w:val="009F029A"/>
    <w:rPr>
      <w:rFonts w:asciiTheme="majorHAnsi" w:eastAsiaTheme="majorEastAsia" w:hAnsiTheme="majorHAnsi" w:cstheme="majorBidi"/>
      <w:color w:val="007D50" w:themeColor="accent1" w:themeShade="BF"/>
      <w:sz w:val="26"/>
      <w:szCs w:val="26"/>
    </w:rPr>
  </w:style>
  <w:style w:type="paragraph" w:customStyle="1" w:styleId="Default">
    <w:name w:val="Default"/>
    <w:rsid w:val="00752A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CE79DF"/>
    <w:rPr>
      <w:rFonts w:ascii="Helvetica 45 Light" w:eastAsia="Times New Roman" w:hAnsi="Helvetica 45 Light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DwYECv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justyna.magrzyk-flemming@realestate.bnppariba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goo.gl/cI3krp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nppre/?hl=f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yperlink" Target="http://goo.gl/Vms9BO" TargetMode="External"/><Relationship Id="rId19" Type="http://schemas.openxmlformats.org/officeDocument/2006/relationships/hyperlink" Target="mailto:justyna.magrzyk-flemming@realestate.bnpparib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oo.gl/WS67m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FF9F-2B0F-48FF-A9A7-57BAE721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JULIENNE</dc:creator>
  <cp:lastModifiedBy>Patryk TOPOLSKI</cp:lastModifiedBy>
  <cp:revision>2</cp:revision>
  <cp:lastPrinted>2017-01-05T09:50:00Z</cp:lastPrinted>
  <dcterms:created xsi:type="dcterms:W3CDTF">2023-05-09T12:25:00Z</dcterms:created>
  <dcterms:modified xsi:type="dcterms:W3CDTF">2023-05-09T12:25:00Z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2022-03-22T15:04:34Z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701a12f8-56de-432e-9945-65ac6947e259</vt:lpwstr>
  </property>
  <property fmtid="{D5CDD505-2E9C-101B-9397-08002B2CF9AE}" pid="8" name="MSIP_Label_812e1ed0-4700-41e0-aec3-61ed249f3333_ContentBits">
    <vt:lpwstr>2</vt:lpwstr>
  </property>
</Properties>
</file>