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814D" w14:textId="77777777" w:rsidR="004415C3" w:rsidRDefault="004415C3" w:rsidP="00305445">
      <w:pPr>
        <w:spacing w:after="0" w:line="24" w:lineRule="atLeast"/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Kontakt dla prasy: </w:t>
      </w:r>
    </w:p>
    <w:p w14:paraId="7A025603" w14:textId="77777777" w:rsidR="004415C3" w:rsidRDefault="004415C3" w:rsidP="00305445">
      <w:pPr>
        <w:spacing w:after="0" w:line="24" w:lineRule="atLeast"/>
        <w:jc w:val="righ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Agnieszka Juraszczyk</w:t>
      </w:r>
    </w:p>
    <w:p w14:paraId="46AAB8C9" w14:textId="77777777" w:rsidR="004415C3" w:rsidRDefault="004415C3" w:rsidP="00305445">
      <w:pPr>
        <w:spacing w:after="0" w:line="24" w:lineRule="atLeast"/>
        <w:jc w:val="righ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+48 883 357 638</w:t>
      </w:r>
    </w:p>
    <w:p w14:paraId="1E7FCF10" w14:textId="77777777" w:rsidR="004415C3" w:rsidRPr="00E0630F" w:rsidRDefault="004415C3" w:rsidP="00305445">
      <w:pPr>
        <w:spacing w:after="0" w:line="24" w:lineRule="atLeast"/>
        <w:jc w:val="right"/>
        <w:rPr>
          <w:lang w:val="de-DE"/>
        </w:rPr>
      </w:pPr>
      <w:r>
        <w:rPr>
          <w:i/>
          <w:color w:val="000000"/>
          <w:sz w:val="16"/>
          <w:szCs w:val="16"/>
          <w:lang w:val="de-DE"/>
        </w:rPr>
        <w:t xml:space="preserve">E-mail: </w:t>
      </w:r>
      <w:hyperlink r:id="rId8">
        <w:r>
          <w:rPr>
            <w:rStyle w:val="czeinternetowe"/>
            <w:i/>
            <w:sz w:val="16"/>
            <w:szCs w:val="16"/>
            <w:lang w:val="de-DE"/>
          </w:rPr>
          <w:t>agnieszka.juraszczyk@capgemini.com</w:t>
        </w:r>
      </w:hyperlink>
      <w:r>
        <w:rPr>
          <w:i/>
          <w:color w:val="000000"/>
          <w:sz w:val="16"/>
          <w:szCs w:val="16"/>
          <w:lang w:val="de-DE"/>
        </w:rPr>
        <w:t xml:space="preserve"> </w:t>
      </w:r>
    </w:p>
    <w:p w14:paraId="28375CB3" w14:textId="77777777" w:rsidR="004415C3" w:rsidRDefault="004415C3" w:rsidP="00305445">
      <w:pPr>
        <w:spacing w:after="0" w:line="24" w:lineRule="atLeast"/>
        <w:jc w:val="right"/>
        <w:rPr>
          <w:i/>
          <w:color w:val="000000"/>
          <w:sz w:val="16"/>
          <w:szCs w:val="16"/>
          <w:lang w:val="de-DE"/>
        </w:rPr>
      </w:pPr>
    </w:p>
    <w:p w14:paraId="6EEC083B" w14:textId="77777777" w:rsidR="004415C3" w:rsidRDefault="004415C3" w:rsidP="00305445">
      <w:pPr>
        <w:spacing w:after="0" w:line="24" w:lineRule="atLeast"/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Kontakt dla prasy: </w:t>
      </w:r>
    </w:p>
    <w:p w14:paraId="7004AB07" w14:textId="10DC9A69" w:rsidR="004415C3" w:rsidRDefault="00715993" w:rsidP="00305445">
      <w:pPr>
        <w:spacing w:after="0" w:line="24" w:lineRule="atLeast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Olga Skarżyńska</w:t>
      </w:r>
    </w:p>
    <w:p w14:paraId="7E222573" w14:textId="7DE9FF21" w:rsidR="004415C3" w:rsidRDefault="004415C3" w:rsidP="00305445">
      <w:pPr>
        <w:spacing w:after="0" w:line="24" w:lineRule="atLeast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+48</w:t>
      </w:r>
      <w:r w:rsidR="00715993">
        <w:rPr>
          <w:i/>
          <w:sz w:val="16"/>
          <w:szCs w:val="16"/>
        </w:rPr>
        <w:t> 510 382 420</w:t>
      </w:r>
    </w:p>
    <w:p w14:paraId="7F039AFE" w14:textId="12C4E28A" w:rsidR="004415C3" w:rsidRPr="00B364B0" w:rsidRDefault="004415C3" w:rsidP="00305445">
      <w:pPr>
        <w:spacing w:after="0" w:line="24" w:lineRule="atLeast"/>
        <w:jc w:val="right"/>
        <w:rPr>
          <w:lang w:val="en-GB"/>
        </w:rPr>
      </w:pPr>
      <w:r>
        <w:rPr>
          <w:i/>
          <w:color w:val="000000"/>
          <w:sz w:val="16"/>
          <w:szCs w:val="16"/>
          <w:lang w:val="de-DE"/>
        </w:rPr>
        <w:t>E-mail:</w:t>
      </w:r>
      <w:r w:rsidR="00446987">
        <w:rPr>
          <w:i/>
          <w:color w:val="000000"/>
          <w:sz w:val="16"/>
          <w:szCs w:val="16"/>
          <w:lang w:val="de-DE"/>
        </w:rPr>
        <w:t xml:space="preserve"> </w:t>
      </w:r>
      <w:hyperlink r:id="rId9" w:history="1">
        <w:r w:rsidR="00B364B0" w:rsidRPr="00B364B0">
          <w:rPr>
            <w:rStyle w:val="Hipercze"/>
            <w:rFonts w:ascii="Arial" w:hAnsi="Arial" w:cs="Arial"/>
            <w:i/>
            <w:iCs/>
            <w:sz w:val="16"/>
            <w:szCs w:val="16"/>
            <w:lang w:val="en-GB"/>
          </w:rPr>
          <w:t>olga.skarzynska@linkleaders.pl</w:t>
        </w:r>
      </w:hyperlink>
    </w:p>
    <w:p w14:paraId="5CADAF27" w14:textId="77777777" w:rsidR="007D6A9C" w:rsidRDefault="007D6A9C" w:rsidP="00305445">
      <w:pPr>
        <w:spacing w:after="0" w:line="276" w:lineRule="auto"/>
        <w:rPr>
          <w:rFonts w:eastAsia="Times New Roman" w:cstheme="minorHAnsi"/>
          <w:b/>
          <w:bCs/>
          <w:color w:val="222222"/>
          <w:sz w:val="28"/>
          <w:szCs w:val="28"/>
          <w:lang w:val="de-DE" w:eastAsia="pl-PL"/>
        </w:rPr>
      </w:pPr>
    </w:p>
    <w:p w14:paraId="696DE7D4" w14:textId="77777777" w:rsidR="002F0C10" w:rsidRDefault="002F0C10" w:rsidP="002F0C10">
      <w:pPr>
        <w:spacing w:after="0" w:line="276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val="de-DE" w:eastAsia="pl-PL"/>
        </w:rPr>
      </w:pPr>
    </w:p>
    <w:p w14:paraId="49C1863A" w14:textId="217AD5FC" w:rsidR="00E966FE" w:rsidRPr="00D177F4" w:rsidRDefault="00D361E3" w:rsidP="00797F5A">
      <w:pPr>
        <w:spacing w:after="0" w:line="276" w:lineRule="auto"/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</w:pPr>
      <w:r w:rsidRPr="00D177F4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Ocena ryzyk</w:t>
      </w:r>
      <w:r w:rsidR="00051551" w:rsidRPr="00D177F4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a</w:t>
      </w:r>
      <w:r w:rsidRPr="00D177F4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finansow</w:t>
      </w:r>
      <w:r w:rsidR="00051551" w:rsidRPr="00D177F4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ego</w:t>
      </w:r>
      <w:r w:rsidRPr="00D177F4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bez uwzględnienia </w:t>
      </w:r>
      <w:r w:rsidR="002F0C10" w:rsidRPr="00D177F4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zmian </w:t>
      </w:r>
      <w:r w:rsidRPr="00D177F4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klimatu to już przeszłość? Kierunek wytyczany przez </w:t>
      </w:r>
      <w:r w:rsidR="00051551" w:rsidRPr="00D177F4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organ</w:t>
      </w:r>
      <w:r w:rsidR="00446987" w:rsidRPr="00D177F4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y regulujące</w:t>
      </w:r>
      <w:r w:rsidRPr="00D177F4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jest jasny</w:t>
      </w:r>
    </w:p>
    <w:p w14:paraId="6CCE2294" w14:textId="77777777" w:rsidR="00E966FE" w:rsidRDefault="00E966FE" w:rsidP="00E966FE">
      <w:pPr>
        <w:jc w:val="both"/>
        <w:rPr>
          <w:b/>
          <w:bCs/>
          <w:sz w:val="20"/>
          <w:szCs w:val="20"/>
        </w:rPr>
      </w:pPr>
    </w:p>
    <w:p w14:paraId="3B990293" w14:textId="49B49453" w:rsidR="00D02EC2" w:rsidRPr="00ED7C0D" w:rsidRDefault="00824066" w:rsidP="00E966FE">
      <w:pPr>
        <w:jc w:val="both"/>
        <w:rPr>
          <w:b/>
          <w:bCs/>
          <w:sz w:val="20"/>
          <w:szCs w:val="20"/>
        </w:rPr>
      </w:pPr>
      <w:r w:rsidRPr="00ED7C0D">
        <w:rPr>
          <w:b/>
          <w:bCs/>
          <w:sz w:val="20"/>
          <w:szCs w:val="20"/>
        </w:rPr>
        <w:t xml:space="preserve">O regulacjach dotyczących </w:t>
      </w:r>
      <w:r w:rsidR="00BB459F" w:rsidRPr="00ED7C0D">
        <w:rPr>
          <w:b/>
          <w:bCs/>
          <w:sz w:val="20"/>
          <w:szCs w:val="20"/>
        </w:rPr>
        <w:t>ryzyk</w:t>
      </w:r>
      <w:r w:rsidR="00132AE0">
        <w:rPr>
          <w:b/>
          <w:bCs/>
          <w:sz w:val="20"/>
          <w:szCs w:val="20"/>
        </w:rPr>
        <w:t>a</w:t>
      </w:r>
      <w:r w:rsidR="00BB459F" w:rsidRPr="00ED7C0D">
        <w:rPr>
          <w:b/>
          <w:bCs/>
          <w:sz w:val="20"/>
          <w:szCs w:val="20"/>
        </w:rPr>
        <w:t xml:space="preserve"> finansow</w:t>
      </w:r>
      <w:r w:rsidR="00132AE0">
        <w:rPr>
          <w:b/>
          <w:bCs/>
          <w:sz w:val="20"/>
          <w:szCs w:val="20"/>
        </w:rPr>
        <w:t>ego</w:t>
      </w:r>
      <w:r w:rsidR="00BB459F" w:rsidRPr="00ED7C0D">
        <w:rPr>
          <w:b/>
          <w:bCs/>
          <w:sz w:val="20"/>
          <w:szCs w:val="20"/>
        </w:rPr>
        <w:t xml:space="preserve"> związan</w:t>
      </w:r>
      <w:r w:rsidR="00132AE0">
        <w:rPr>
          <w:b/>
          <w:bCs/>
          <w:sz w:val="20"/>
          <w:szCs w:val="20"/>
        </w:rPr>
        <w:t>ego</w:t>
      </w:r>
      <w:r w:rsidR="00BB459F" w:rsidRPr="00ED7C0D">
        <w:rPr>
          <w:b/>
          <w:bCs/>
          <w:sz w:val="20"/>
          <w:szCs w:val="20"/>
        </w:rPr>
        <w:t xml:space="preserve"> ze zmianami klimatycznymi</w:t>
      </w:r>
      <w:r w:rsidRPr="00ED7C0D">
        <w:rPr>
          <w:b/>
          <w:bCs/>
          <w:sz w:val="20"/>
          <w:szCs w:val="20"/>
        </w:rPr>
        <w:t xml:space="preserve"> mówi się od kilku lat</w:t>
      </w:r>
      <w:r w:rsidR="00BB459F" w:rsidRPr="00ED7C0D">
        <w:rPr>
          <w:b/>
          <w:bCs/>
          <w:sz w:val="20"/>
          <w:szCs w:val="20"/>
        </w:rPr>
        <w:t xml:space="preserve">. </w:t>
      </w:r>
      <w:r w:rsidRPr="00ED7C0D">
        <w:rPr>
          <w:b/>
          <w:bCs/>
          <w:sz w:val="20"/>
          <w:szCs w:val="20"/>
        </w:rPr>
        <w:t xml:space="preserve">Wśród </w:t>
      </w:r>
      <w:r w:rsidR="00132AE0">
        <w:rPr>
          <w:b/>
          <w:bCs/>
          <w:sz w:val="20"/>
          <w:szCs w:val="20"/>
        </w:rPr>
        <w:t>organów regulujących</w:t>
      </w:r>
      <w:r w:rsidRPr="00ED7C0D">
        <w:rPr>
          <w:b/>
          <w:bCs/>
          <w:sz w:val="20"/>
          <w:szCs w:val="20"/>
        </w:rPr>
        <w:t xml:space="preserve"> istnieje konsensus co do tego, że</w:t>
      </w:r>
      <w:r w:rsidR="00D361E3" w:rsidRPr="00ED7C0D">
        <w:rPr>
          <w:b/>
          <w:bCs/>
          <w:sz w:val="20"/>
          <w:szCs w:val="20"/>
        </w:rPr>
        <w:t xml:space="preserve"> powinny </w:t>
      </w:r>
      <w:r w:rsidR="00ED7C0D" w:rsidRPr="00ED7C0D">
        <w:rPr>
          <w:b/>
          <w:bCs/>
          <w:sz w:val="20"/>
          <w:szCs w:val="20"/>
        </w:rPr>
        <w:t xml:space="preserve">one </w:t>
      </w:r>
      <w:r w:rsidR="00D361E3" w:rsidRPr="00ED7C0D">
        <w:rPr>
          <w:b/>
          <w:bCs/>
          <w:sz w:val="20"/>
          <w:szCs w:val="20"/>
        </w:rPr>
        <w:t xml:space="preserve">być traktowane na równi z innymi </w:t>
      </w:r>
      <w:r w:rsidR="00726E36">
        <w:rPr>
          <w:b/>
          <w:bCs/>
          <w:sz w:val="20"/>
          <w:szCs w:val="20"/>
        </w:rPr>
        <w:t>kluczowymi</w:t>
      </w:r>
      <w:r w:rsidR="00726E36" w:rsidRPr="00ED7C0D">
        <w:rPr>
          <w:b/>
          <w:bCs/>
          <w:sz w:val="20"/>
          <w:szCs w:val="20"/>
        </w:rPr>
        <w:t xml:space="preserve"> </w:t>
      </w:r>
      <w:r w:rsidR="00EF0CBF">
        <w:rPr>
          <w:b/>
          <w:bCs/>
          <w:sz w:val="20"/>
          <w:szCs w:val="20"/>
        </w:rPr>
        <w:t xml:space="preserve">rodzajami </w:t>
      </w:r>
      <w:r w:rsidR="00D361E3" w:rsidRPr="00ED7C0D">
        <w:rPr>
          <w:b/>
          <w:bCs/>
          <w:sz w:val="20"/>
          <w:szCs w:val="20"/>
        </w:rPr>
        <w:t>ryzyk</w:t>
      </w:r>
      <w:r w:rsidR="00EF0CBF">
        <w:rPr>
          <w:b/>
          <w:bCs/>
          <w:sz w:val="20"/>
          <w:szCs w:val="20"/>
        </w:rPr>
        <w:t>a</w:t>
      </w:r>
      <w:r w:rsidR="00D361E3" w:rsidRPr="00ED7C0D">
        <w:rPr>
          <w:b/>
          <w:bCs/>
          <w:sz w:val="20"/>
          <w:szCs w:val="20"/>
        </w:rPr>
        <w:t xml:space="preserve"> uwzględnianymi w ocenie zagrożeń dla stabilności przedsiębiorstwa. </w:t>
      </w:r>
      <w:r w:rsidR="00726E36" w:rsidRPr="00726E36">
        <w:rPr>
          <w:b/>
          <w:bCs/>
          <w:sz w:val="20"/>
          <w:szCs w:val="20"/>
        </w:rPr>
        <w:t>Regularnie na rynkach finansowych pojawiają się nowe bądź poprawione wytyczne dotyczące ryzyka związanego ze zmianami klimatycznymi.</w:t>
      </w:r>
      <w:r w:rsidRPr="00ED7C0D">
        <w:rPr>
          <w:b/>
          <w:bCs/>
          <w:sz w:val="20"/>
          <w:szCs w:val="20"/>
        </w:rPr>
        <w:t xml:space="preserve"> W marcu tego roku po raz kolejny zrobił to brytyjski urząd</w:t>
      </w:r>
      <w:r w:rsidR="00726E36">
        <w:rPr>
          <w:b/>
          <w:bCs/>
          <w:sz w:val="20"/>
          <w:szCs w:val="20"/>
        </w:rPr>
        <w:t xml:space="preserve"> nadzoru finansowego -</w:t>
      </w:r>
      <w:r w:rsidRPr="00ED7C0D">
        <w:rPr>
          <w:b/>
          <w:bCs/>
          <w:sz w:val="20"/>
          <w:szCs w:val="20"/>
        </w:rPr>
        <w:t xml:space="preserve"> Prudential Regulatory Authority. Z jego raportu wynika, że choć kierunek zmian jest jasny, to nie brakuje wyzwań, które pozostają do rozwiązania. </w:t>
      </w:r>
    </w:p>
    <w:p w14:paraId="19C82A36" w14:textId="324A1066" w:rsidR="002F0C10" w:rsidRDefault="002F0C10" w:rsidP="002F0C10">
      <w:pPr>
        <w:jc w:val="both"/>
        <w:rPr>
          <w:sz w:val="20"/>
          <w:szCs w:val="20"/>
        </w:rPr>
      </w:pPr>
      <w:r w:rsidRPr="00D02EC2">
        <w:rPr>
          <w:sz w:val="20"/>
          <w:szCs w:val="20"/>
        </w:rPr>
        <w:t>Prudential Regulatory Authority (PRA)</w:t>
      </w:r>
      <w:r>
        <w:rPr>
          <w:sz w:val="20"/>
          <w:szCs w:val="20"/>
        </w:rPr>
        <w:t xml:space="preserve"> to instytucja będąca częścią </w:t>
      </w:r>
      <w:r w:rsidR="00726E36">
        <w:rPr>
          <w:sz w:val="20"/>
          <w:szCs w:val="20"/>
        </w:rPr>
        <w:t>banku centralnego Wielkiej Brytanii (Bank of England)</w:t>
      </w:r>
      <w:r>
        <w:rPr>
          <w:sz w:val="20"/>
          <w:szCs w:val="20"/>
        </w:rPr>
        <w:t>,</w:t>
      </w:r>
      <w:r w:rsidRPr="00D02EC2">
        <w:rPr>
          <w:sz w:val="20"/>
          <w:szCs w:val="20"/>
        </w:rPr>
        <w:t xml:space="preserve"> </w:t>
      </w:r>
      <w:r>
        <w:rPr>
          <w:sz w:val="20"/>
          <w:szCs w:val="20"/>
        </w:rPr>
        <w:t>która odpowiada</w:t>
      </w:r>
      <w:r w:rsidRPr="00D02EC2">
        <w:rPr>
          <w:sz w:val="20"/>
          <w:szCs w:val="20"/>
        </w:rPr>
        <w:t xml:space="preserve"> za regulację i nadzór ostrożnościowy banków, </w:t>
      </w:r>
      <w:r w:rsidR="007E3025">
        <w:rPr>
          <w:sz w:val="20"/>
          <w:szCs w:val="20"/>
        </w:rPr>
        <w:t>spółdzielczych kas kredytowych</w:t>
      </w:r>
      <w:r w:rsidRPr="00D02EC2">
        <w:rPr>
          <w:sz w:val="20"/>
          <w:szCs w:val="20"/>
        </w:rPr>
        <w:t>, ubezpieczycieli oraz głównych firm inwestycyjnych</w:t>
      </w:r>
      <w:r>
        <w:rPr>
          <w:sz w:val="20"/>
          <w:szCs w:val="20"/>
        </w:rPr>
        <w:t xml:space="preserve">. W połowie </w:t>
      </w:r>
      <w:r w:rsidRPr="00C32A8F">
        <w:rPr>
          <w:sz w:val="20"/>
          <w:szCs w:val="20"/>
        </w:rPr>
        <w:t xml:space="preserve">marca bieżącego roku </w:t>
      </w:r>
      <w:r>
        <w:rPr>
          <w:sz w:val="20"/>
          <w:szCs w:val="20"/>
        </w:rPr>
        <w:t xml:space="preserve">PRA po raz kolejny </w:t>
      </w:r>
      <w:r w:rsidRPr="00C32A8F">
        <w:rPr>
          <w:sz w:val="20"/>
          <w:szCs w:val="20"/>
        </w:rPr>
        <w:t>opublikował</w:t>
      </w:r>
      <w:r w:rsidR="007E3025">
        <w:rPr>
          <w:sz w:val="20"/>
          <w:szCs w:val="20"/>
        </w:rPr>
        <w:t>a</w:t>
      </w:r>
      <w:r w:rsidRPr="00C32A8F">
        <w:rPr>
          <w:sz w:val="20"/>
          <w:szCs w:val="20"/>
        </w:rPr>
        <w:t xml:space="preserve"> szereg wskazań dla firm dotyczących uwzględniania zmian klimatycznych w ogólnej ocenie ryzyk</w:t>
      </w:r>
      <w:r w:rsidR="00132AE0">
        <w:rPr>
          <w:sz w:val="20"/>
          <w:szCs w:val="20"/>
        </w:rPr>
        <w:t>a</w:t>
      </w:r>
      <w:r w:rsidRPr="00C32A8F">
        <w:rPr>
          <w:sz w:val="20"/>
          <w:szCs w:val="20"/>
        </w:rPr>
        <w:t xml:space="preserve"> finansow</w:t>
      </w:r>
      <w:r w:rsidR="00132AE0">
        <w:rPr>
          <w:sz w:val="20"/>
          <w:szCs w:val="20"/>
        </w:rPr>
        <w:t>ego</w:t>
      </w:r>
      <w:r w:rsidRPr="00C32A8F">
        <w:rPr>
          <w:sz w:val="20"/>
          <w:szCs w:val="20"/>
        </w:rPr>
        <w:t>.</w:t>
      </w:r>
    </w:p>
    <w:p w14:paraId="4349EE11" w14:textId="3DDEDDFA" w:rsidR="002F0C10" w:rsidRDefault="002F0C10" w:rsidP="002F0C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Zagadnieniem wpływu zmian klimatycznych na ocenę ryzyka finansowego PRA zajmuje się od lat. W </w:t>
      </w:r>
      <w:r w:rsidRPr="000C5A68">
        <w:rPr>
          <w:sz w:val="20"/>
          <w:szCs w:val="20"/>
        </w:rPr>
        <w:t>2021 roku</w:t>
      </w:r>
      <w:r>
        <w:rPr>
          <w:sz w:val="20"/>
          <w:szCs w:val="20"/>
        </w:rPr>
        <w:t xml:space="preserve"> urząd oczekiwał, że</w:t>
      </w:r>
      <w:r w:rsidRPr="000C5A68">
        <w:rPr>
          <w:sz w:val="20"/>
          <w:szCs w:val="20"/>
        </w:rPr>
        <w:t xml:space="preserve"> banki i </w:t>
      </w:r>
      <w:r>
        <w:rPr>
          <w:sz w:val="20"/>
          <w:szCs w:val="20"/>
        </w:rPr>
        <w:t>firmy ubezpieczeniowe</w:t>
      </w:r>
      <w:r w:rsidRPr="000C5A68">
        <w:rPr>
          <w:sz w:val="20"/>
          <w:szCs w:val="20"/>
        </w:rPr>
        <w:t xml:space="preserve"> włączą</w:t>
      </w:r>
      <w:r w:rsidR="007E0D49">
        <w:rPr>
          <w:sz w:val="20"/>
          <w:szCs w:val="20"/>
        </w:rPr>
        <w:t>,</w:t>
      </w:r>
      <w:r w:rsidRPr="000C5A68">
        <w:rPr>
          <w:sz w:val="20"/>
          <w:szCs w:val="20"/>
        </w:rPr>
        <w:t xml:space="preserve"> w </w:t>
      </w:r>
      <w:r>
        <w:rPr>
          <w:sz w:val="20"/>
          <w:szCs w:val="20"/>
        </w:rPr>
        <w:t>możliwie dużym</w:t>
      </w:r>
      <w:r w:rsidRPr="000C5A68">
        <w:rPr>
          <w:sz w:val="20"/>
          <w:szCs w:val="20"/>
        </w:rPr>
        <w:t xml:space="preserve"> stopniu</w:t>
      </w:r>
      <w:r w:rsidR="007E0D49">
        <w:rPr>
          <w:sz w:val="20"/>
          <w:szCs w:val="20"/>
        </w:rPr>
        <w:t>,</w:t>
      </w:r>
      <w:r w:rsidRPr="000C5A68">
        <w:rPr>
          <w:sz w:val="20"/>
          <w:szCs w:val="20"/>
        </w:rPr>
        <w:t xml:space="preserve"> zarządzani</w:t>
      </w:r>
      <w:r>
        <w:rPr>
          <w:sz w:val="20"/>
          <w:szCs w:val="20"/>
        </w:rPr>
        <w:t>e</w:t>
      </w:r>
      <w:r w:rsidRPr="000C5A68">
        <w:rPr>
          <w:sz w:val="20"/>
          <w:szCs w:val="20"/>
        </w:rPr>
        <w:t xml:space="preserve"> ryzykiem finansowym związanym z klimatem do </w:t>
      </w:r>
      <w:r w:rsidR="0001275A">
        <w:rPr>
          <w:sz w:val="20"/>
          <w:szCs w:val="20"/>
        </w:rPr>
        <w:t>swoich standardowych procedur</w:t>
      </w:r>
      <w:r w:rsidRPr="000C5A6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W </w:t>
      </w:r>
      <w:r w:rsidR="001B6E9D">
        <w:rPr>
          <w:sz w:val="20"/>
          <w:szCs w:val="20"/>
        </w:rPr>
        <w:t>październiku</w:t>
      </w:r>
      <w:r>
        <w:rPr>
          <w:sz w:val="20"/>
          <w:szCs w:val="20"/>
        </w:rPr>
        <w:t xml:space="preserve"> tego samego roku organ </w:t>
      </w:r>
      <w:r w:rsidRPr="00736373">
        <w:rPr>
          <w:sz w:val="20"/>
          <w:szCs w:val="20"/>
        </w:rPr>
        <w:t xml:space="preserve">opublikował tzw.  Climate Change Adaptation Report (CCAR), czyli szereg </w:t>
      </w:r>
      <w:r w:rsidRPr="000C5A68">
        <w:rPr>
          <w:sz w:val="20"/>
          <w:szCs w:val="20"/>
        </w:rPr>
        <w:t xml:space="preserve">dalszych wytycznych dotyczących </w:t>
      </w:r>
      <w:r w:rsidRPr="00736373">
        <w:rPr>
          <w:sz w:val="20"/>
          <w:szCs w:val="20"/>
        </w:rPr>
        <w:t>procesu ujawniania informacji</w:t>
      </w:r>
      <w:r w:rsidRPr="000C5A68">
        <w:rPr>
          <w:sz w:val="20"/>
          <w:szCs w:val="20"/>
        </w:rPr>
        <w:t xml:space="preserve"> na temat postępów </w:t>
      </w:r>
      <w:r w:rsidRPr="00736373">
        <w:rPr>
          <w:sz w:val="20"/>
          <w:szCs w:val="20"/>
        </w:rPr>
        <w:t>instytucji</w:t>
      </w:r>
      <w:r w:rsidRPr="000C5A68">
        <w:rPr>
          <w:sz w:val="20"/>
          <w:szCs w:val="20"/>
        </w:rPr>
        <w:t xml:space="preserve"> w zakresie wdrażania </w:t>
      </w:r>
      <w:r w:rsidRPr="00736373">
        <w:rPr>
          <w:sz w:val="20"/>
          <w:szCs w:val="20"/>
        </w:rPr>
        <w:t>rekomendacji</w:t>
      </w:r>
      <w:r>
        <w:rPr>
          <w:rStyle w:val="Odwoanieprzypisudolnego"/>
          <w:sz w:val="20"/>
          <w:szCs w:val="20"/>
        </w:rPr>
        <w:footnoteReference w:id="2"/>
      </w:r>
      <w:r w:rsidRPr="000C5A6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Rok później </w:t>
      </w:r>
      <w:r w:rsidRPr="000C5A68">
        <w:rPr>
          <w:sz w:val="20"/>
          <w:szCs w:val="20"/>
        </w:rPr>
        <w:t xml:space="preserve">oczekiwania PRA </w:t>
      </w:r>
      <w:r>
        <w:rPr>
          <w:sz w:val="20"/>
          <w:szCs w:val="20"/>
        </w:rPr>
        <w:t>w tym zakresie stanowiły już</w:t>
      </w:r>
      <w:r w:rsidRPr="000C5A68">
        <w:rPr>
          <w:sz w:val="20"/>
          <w:szCs w:val="20"/>
        </w:rPr>
        <w:t xml:space="preserve"> część jego podstawowego procesu nadzorczego</w:t>
      </w:r>
      <w:r>
        <w:rPr>
          <w:sz w:val="20"/>
          <w:szCs w:val="20"/>
        </w:rPr>
        <w:t xml:space="preserve">. To oznacza, że instytucja </w:t>
      </w:r>
      <w:r w:rsidRPr="000C5A68">
        <w:rPr>
          <w:sz w:val="20"/>
          <w:szCs w:val="20"/>
        </w:rPr>
        <w:t>czynnie nadzoruje firmy</w:t>
      </w:r>
      <w:r w:rsidR="00A54048">
        <w:rPr>
          <w:sz w:val="20"/>
          <w:szCs w:val="20"/>
        </w:rPr>
        <w:t xml:space="preserve"> </w:t>
      </w:r>
      <w:r w:rsidR="00CE2B1A">
        <w:rPr>
          <w:sz w:val="20"/>
          <w:szCs w:val="20"/>
        </w:rPr>
        <w:t xml:space="preserve">pod kątem </w:t>
      </w:r>
      <w:r w:rsidR="00CD66DA">
        <w:rPr>
          <w:sz w:val="20"/>
          <w:szCs w:val="20"/>
        </w:rPr>
        <w:t xml:space="preserve">spełnienia </w:t>
      </w:r>
      <w:r w:rsidR="007D3EA2">
        <w:rPr>
          <w:sz w:val="20"/>
          <w:szCs w:val="20"/>
        </w:rPr>
        <w:t>oczekiwań i rekomendacji</w:t>
      </w:r>
      <w:r>
        <w:rPr>
          <w:rStyle w:val="Odwoanieprzypisudolnego"/>
          <w:sz w:val="20"/>
          <w:szCs w:val="20"/>
        </w:rPr>
        <w:footnoteReference w:id="3"/>
      </w:r>
      <w:r w:rsidRPr="000C5A68">
        <w:rPr>
          <w:sz w:val="20"/>
          <w:szCs w:val="20"/>
        </w:rPr>
        <w:t>.</w:t>
      </w:r>
    </w:p>
    <w:p w14:paraId="0E89A9DD" w14:textId="60C85040" w:rsidR="002577E0" w:rsidRDefault="0001275A" w:rsidP="00824066">
      <w:pPr>
        <w:ind w:left="708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- </w:t>
      </w:r>
      <w:r w:rsidR="002F0C10" w:rsidRPr="00824066">
        <w:rPr>
          <w:sz w:val="20"/>
          <w:szCs w:val="20"/>
        </w:rPr>
        <w:t xml:space="preserve">Oprócz wytycznych, w opublikowanym w marcu </w:t>
      </w:r>
      <w:r w:rsidR="00205B11" w:rsidRPr="00824066">
        <w:rPr>
          <w:sz w:val="20"/>
          <w:szCs w:val="20"/>
        </w:rPr>
        <w:t>dokumencie</w:t>
      </w:r>
      <w:r w:rsidR="002F0C10" w:rsidRPr="00824066">
        <w:rPr>
          <w:sz w:val="20"/>
          <w:szCs w:val="20"/>
        </w:rPr>
        <w:t xml:space="preserve"> wskazano także możliwe obszary do dalszej eksploracji i rozwoju. Trzeba pamiętać, że</w:t>
      </w:r>
      <w:r w:rsidR="009971EA">
        <w:rPr>
          <w:sz w:val="20"/>
          <w:szCs w:val="20"/>
        </w:rPr>
        <w:t xml:space="preserve"> na obecnym etapie</w:t>
      </w:r>
      <w:r w:rsidR="002F0C10" w:rsidRPr="00824066">
        <w:rPr>
          <w:sz w:val="20"/>
          <w:szCs w:val="20"/>
        </w:rPr>
        <w:t xml:space="preserve"> nie są to </w:t>
      </w:r>
      <w:r w:rsidR="009971EA">
        <w:rPr>
          <w:sz w:val="20"/>
          <w:szCs w:val="20"/>
        </w:rPr>
        <w:t xml:space="preserve">jeszcze </w:t>
      </w:r>
      <w:r w:rsidR="002F0C10" w:rsidRPr="00824066">
        <w:rPr>
          <w:sz w:val="20"/>
          <w:szCs w:val="20"/>
        </w:rPr>
        <w:t>wiążące regulacje, które pociągną ze sobą konsekwencje</w:t>
      </w:r>
      <w:r w:rsidR="009971EA">
        <w:rPr>
          <w:sz w:val="20"/>
          <w:szCs w:val="20"/>
        </w:rPr>
        <w:t xml:space="preserve"> nadzorcze</w:t>
      </w:r>
      <w:r w:rsidR="002F0C10" w:rsidRPr="00824066">
        <w:rPr>
          <w:sz w:val="20"/>
          <w:szCs w:val="20"/>
        </w:rPr>
        <w:t xml:space="preserve">. To zbiór rekomendacji, który jest jednak niezwykle cenny, bo pokazuje, w jakim kierunku podążać będą dalsze działania zarówno PRA, jak i najpewniej innych czołowych </w:t>
      </w:r>
      <w:r w:rsidR="00132AE0">
        <w:rPr>
          <w:sz w:val="20"/>
          <w:szCs w:val="20"/>
        </w:rPr>
        <w:t>organów regulujących</w:t>
      </w:r>
      <w:r w:rsidR="002F0C10" w:rsidRPr="00824066">
        <w:rPr>
          <w:sz w:val="20"/>
          <w:szCs w:val="20"/>
        </w:rPr>
        <w:t xml:space="preserve"> w tym zakresie</w:t>
      </w:r>
      <w:r w:rsidR="002F0C10">
        <w:rPr>
          <w:i/>
          <w:iCs/>
          <w:sz w:val="20"/>
          <w:szCs w:val="20"/>
        </w:rPr>
        <w:t xml:space="preserve"> </w:t>
      </w:r>
      <w:r w:rsidR="002F0C10" w:rsidRPr="00493B22">
        <w:rPr>
          <w:sz w:val="20"/>
          <w:szCs w:val="20"/>
        </w:rPr>
        <w:t xml:space="preserve">– komentuje </w:t>
      </w:r>
      <w:r w:rsidR="002F0C10" w:rsidRPr="00493B22">
        <w:rPr>
          <w:b/>
          <w:bCs/>
          <w:sz w:val="20"/>
          <w:szCs w:val="20"/>
        </w:rPr>
        <w:t>Łukasz Moskwa, Head of Quantitative Risk Practice, Capgemini Invent</w:t>
      </w:r>
      <w:r w:rsidR="002F0C10">
        <w:rPr>
          <w:sz w:val="20"/>
          <w:szCs w:val="20"/>
        </w:rPr>
        <w:t>.</w:t>
      </w:r>
    </w:p>
    <w:p w14:paraId="32CF183C" w14:textId="77777777" w:rsidR="00345A0B" w:rsidRDefault="00345A0B" w:rsidP="00345A0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Trudne zadanie</w:t>
      </w:r>
    </w:p>
    <w:p w14:paraId="5DB85B45" w14:textId="1C89920A" w:rsidR="00345A0B" w:rsidRDefault="00824066" w:rsidP="00345A0B">
      <w:pPr>
        <w:jc w:val="both"/>
        <w:rPr>
          <w:sz w:val="20"/>
          <w:szCs w:val="20"/>
        </w:rPr>
      </w:pPr>
      <w:r>
        <w:rPr>
          <w:sz w:val="20"/>
          <w:szCs w:val="20"/>
        </w:rPr>
        <w:t>Raport</w:t>
      </w:r>
      <w:r w:rsidR="00345A0B" w:rsidRPr="00493B22">
        <w:rPr>
          <w:sz w:val="20"/>
          <w:szCs w:val="20"/>
        </w:rPr>
        <w:t xml:space="preserve"> Banku Rozrachunków Międzynarodowych </w:t>
      </w:r>
      <w:r w:rsidR="00126972">
        <w:rPr>
          <w:sz w:val="20"/>
          <w:szCs w:val="20"/>
        </w:rPr>
        <w:t xml:space="preserve">(BRM) </w:t>
      </w:r>
      <w:r w:rsidR="00205B11">
        <w:rPr>
          <w:sz w:val="20"/>
          <w:szCs w:val="20"/>
        </w:rPr>
        <w:t>z 2020 roku</w:t>
      </w:r>
      <w:r>
        <w:rPr>
          <w:rStyle w:val="Odwoanieprzypisudolnego"/>
          <w:b/>
          <w:bCs/>
          <w:sz w:val="20"/>
          <w:szCs w:val="20"/>
        </w:rPr>
        <w:footnoteReference w:id="4"/>
      </w:r>
      <w:r w:rsidR="00205B11">
        <w:rPr>
          <w:sz w:val="20"/>
          <w:szCs w:val="20"/>
        </w:rPr>
        <w:t xml:space="preserve"> </w:t>
      </w:r>
      <w:r w:rsidR="00F11982">
        <w:rPr>
          <w:sz w:val="20"/>
          <w:szCs w:val="20"/>
        </w:rPr>
        <w:t>wykazał</w:t>
      </w:r>
      <w:r w:rsidR="00345A0B">
        <w:rPr>
          <w:sz w:val="20"/>
          <w:szCs w:val="20"/>
        </w:rPr>
        <w:t xml:space="preserve">, że </w:t>
      </w:r>
      <w:r w:rsidR="00051551">
        <w:rPr>
          <w:sz w:val="20"/>
          <w:szCs w:val="20"/>
        </w:rPr>
        <w:t>czołowe organy regulujące nie</w:t>
      </w:r>
      <w:r w:rsidR="00345A0B">
        <w:rPr>
          <w:sz w:val="20"/>
          <w:szCs w:val="20"/>
        </w:rPr>
        <w:t xml:space="preserve"> widzą żadnych przeszkód natury prawnej, które uniemożliwiłyby włączenie zagadnień związanych z klimatem w</w:t>
      </w:r>
      <w:r w:rsidR="00102983">
        <w:rPr>
          <w:sz w:val="20"/>
          <w:szCs w:val="20"/>
        </w:rPr>
        <w:t> </w:t>
      </w:r>
      <w:r w:rsidR="00345A0B">
        <w:rPr>
          <w:sz w:val="20"/>
          <w:szCs w:val="20"/>
        </w:rPr>
        <w:t xml:space="preserve">ocenę ryzyk finansowych banków czy firm ubezpieczeniowych. Nie oznacza to jednak, że będzie to zadanie łatwe. </w:t>
      </w:r>
      <w:r w:rsidR="00F47B2F">
        <w:rPr>
          <w:sz w:val="20"/>
          <w:szCs w:val="20"/>
        </w:rPr>
        <w:t>Już bowiem w chwili jego publikacji, a zatem trzy lata temu wiedziano, że i</w:t>
      </w:r>
      <w:r w:rsidR="00345A0B">
        <w:rPr>
          <w:sz w:val="20"/>
          <w:szCs w:val="20"/>
        </w:rPr>
        <w:t xml:space="preserve">stnieje szereg utrudnień natury </w:t>
      </w:r>
      <w:r w:rsidR="00345A0B">
        <w:rPr>
          <w:sz w:val="20"/>
          <w:szCs w:val="20"/>
        </w:rPr>
        <w:lastRenderedPageBreak/>
        <w:t>operacyjnej, takich jak</w:t>
      </w:r>
      <w:r w:rsidR="00205B11">
        <w:rPr>
          <w:sz w:val="20"/>
          <w:szCs w:val="20"/>
        </w:rPr>
        <w:t xml:space="preserve"> choćby</w:t>
      </w:r>
      <w:r w:rsidR="00345A0B">
        <w:rPr>
          <w:sz w:val="20"/>
          <w:szCs w:val="20"/>
        </w:rPr>
        <w:t xml:space="preserve"> brak jednolitych danych dotyczących wpływu firm na środowisko, które umożliwiłyby prowadzenie analiz porównawczych między organizacjami finansowymi z całego świata</w:t>
      </w:r>
      <w:r w:rsidR="00205B11">
        <w:rPr>
          <w:sz w:val="20"/>
          <w:szCs w:val="20"/>
        </w:rPr>
        <w:t xml:space="preserve"> czy </w:t>
      </w:r>
      <w:r w:rsidR="00345A0B">
        <w:rPr>
          <w:sz w:val="20"/>
          <w:szCs w:val="20"/>
        </w:rPr>
        <w:t>brak spójnej metodologii</w:t>
      </w:r>
      <w:r w:rsidR="00205B11">
        <w:rPr>
          <w:sz w:val="20"/>
          <w:szCs w:val="20"/>
        </w:rPr>
        <w:t xml:space="preserve"> pozwalającej </w:t>
      </w:r>
      <w:r w:rsidR="00345A0B">
        <w:rPr>
          <w:sz w:val="20"/>
          <w:szCs w:val="20"/>
        </w:rPr>
        <w:t xml:space="preserve">rzetelnie oceniać ryzyka finansowe z uwzględnieniem zagadnień klimatycznych. </w:t>
      </w:r>
    </w:p>
    <w:p w14:paraId="04924DD9" w14:textId="6CA436F2" w:rsidR="00345A0B" w:rsidRDefault="00345A0B" w:rsidP="00345A0B">
      <w:pPr>
        <w:jc w:val="both"/>
        <w:rPr>
          <w:sz w:val="20"/>
          <w:szCs w:val="20"/>
        </w:rPr>
      </w:pPr>
      <w:r>
        <w:rPr>
          <w:sz w:val="20"/>
          <w:szCs w:val="20"/>
        </w:rPr>
        <w:t>Wśród utrudnień wymieniono także brak pełnego zrozumienia, w jaki sposób obniżenie poziomu emisji wpływa na poszczególne sektory gospodarki</w:t>
      </w:r>
      <w:r w:rsidR="00132AE0">
        <w:rPr>
          <w:sz w:val="20"/>
          <w:szCs w:val="20"/>
        </w:rPr>
        <w:t xml:space="preserve"> czy </w:t>
      </w:r>
      <w:r>
        <w:rPr>
          <w:sz w:val="20"/>
          <w:szCs w:val="20"/>
        </w:rPr>
        <w:t>różny stopień świadomości problemu w poszczególnych państwach</w:t>
      </w:r>
      <w:r w:rsidR="00132AE0">
        <w:rPr>
          <w:sz w:val="20"/>
          <w:szCs w:val="20"/>
        </w:rPr>
        <w:t>.</w:t>
      </w:r>
    </w:p>
    <w:p w14:paraId="41B97185" w14:textId="0C3B960C" w:rsidR="00C32A8F" w:rsidRPr="00DC2E37" w:rsidRDefault="00345A0B" w:rsidP="00C32A8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Pole do poprawy</w:t>
      </w:r>
    </w:p>
    <w:p w14:paraId="78344D46" w14:textId="0D53D960" w:rsidR="00DC2E37" w:rsidRDefault="00205B11" w:rsidP="00C32A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Wnioski z raportu BRM są na ogół </w:t>
      </w:r>
      <w:r w:rsidR="006D7A30">
        <w:rPr>
          <w:sz w:val="20"/>
          <w:szCs w:val="20"/>
        </w:rPr>
        <w:t xml:space="preserve">zgodne </w:t>
      </w:r>
      <w:r>
        <w:rPr>
          <w:sz w:val="20"/>
          <w:szCs w:val="20"/>
        </w:rPr>
        <w:t xml:space="preserve">z najnowszymi wytycznymi opublikowany przez </w:t>
      </w:r>
      <w:r w:rsidR="00C32A8F">
        <w:rPr>
          <w:sz w:val="20"/>
          <w:szCs w:val="20"/>
        </w:rPr>
        <w:t>PRA</w:t>
      </w:r>
      <w:r>
        <w:rPr>
          <w:sz w:val="20"/>
          <w:szCs w:val="20"/>
        </w:rPr>
        <w:t>. Brytyjski urząd</w:t>
      </w:r>
      <w:r w:rsidR="00C32A8F">
        <w:rPr>
          <w:sz w:val="20"/>
          <w:szCs w:val="20"/>
        </w:rPr>
        <w:t xml:space="preserve"> pozytywnie ocenia postęp, jakiego dokonały instytucje finansowe w zakresie rozwoju metodyk </w:t>
      </w:r>
      <w:r w:rsidR="00C32A8F" w:rsidRPr="00546375">
        <w:rPr>
          <w:sz w:val="20"/>
          <w:szCs w:val="20"/>
        </w:rPr>
        <w:t>kalkulacji kapitału</w:t>
      </w:r>
      <w:r w:rsidR="00C32A8F">
        <w:rPr>
          <w:sz w:val="20"/>
          <w:szCs w:val="20"/>
        </w:rPr>
        <w:t xml:space="preserve"> wewnętrznego</w:t>
      </w:r>
      <w:r w:rsidR="00C32A8F" w:rsidRPr="00546375">
        <w:rPr>
          <w:sz w:val="20"/>
          <w:szCs w:val="20"/>
        </w:rPr>
        <w:t xml:space="preserve"> </w:t>
      </w:r>
      <w:r w:rsidR="00C32A8F">
        <w:rPr>
          <w:sz w:val="20"/>
          <w:szCs w:val="20"/>
        </w:rPr>
        <w:t>z uwzględnieniem ryzyka klimatycznego</w:t>
      </w:r>
      <w:r w:rsidR="00C32A8F" w:rsidRPr="00546375">
        <w:rPr>
          <w:sz w:val="20"/>
          <w:szCs w:val="20"/>
        </w:rPr>
        <w:t xml:space="preserve">. </w:t>
      </w:r>
      <w:r>
        <w:rPr>
          <w:sz w:val="20"/>
          <w:szCs w:val="20"/>
        </w:rPr>
        <w:t>Jego e</w:t>
      </w:r>
      <w:r w:rsidR="00C32A8F">
        <w:rPr>
          <w:sz w:val="20"/>
          <w:szCs w:val="20"/>
        </w:rPr>
        <w:t>ksperci zwrócili uwagę, że rynek wypracował już metody kalkulacji kapitału oraz opracował szereg argumentów uzasadniających scenariusze,</w:t>
      </w:r>
      <w:r w:rsidR="00446987">
        <w:rPr>
          <w:sz w:val="20"/>
          <w:szCs w:val="20"/>
        </w:rPr>
        <w:t xml:space="preserve"> </w:t>
      </w:r>
      <w:r w:rsidR="00C32A8F">
        <w:rPr>
          <w:sz w:val="20"/>
          <w:szCs w:val="20"/>
        </w:rPr>
        <w:t>w</w:t>
      </w:r>
      <w:r w:rsidR="00AF0B1E">
        <w:rPr>
          <w:sz w:val="20"/>
          <w:szCs w:val="20"/>
        </w:rPr>
        <w:t> </w:t>
      </w:r>
      <w:r w:rsidR="00C32A8F">
        <w:rPr>
          <w:sz w:val="20"/>
          <w:szCs w:val="20"/>
        </w:rPr>
        <w:t xml:space="preserve">których dodatkowy kapitał nie jest wymagany. </w:t>
      </w:r>
    </w:p>
    <w:p w14:paraId="15DDE84E" w14:textId="7E00ABD4" w:rsidR="00DC2E37" w:rsidRDefault="00DC2E37" w:rsidP="00DC2E37">
      <w:pPr>
        <w:jc w:val="both"/>
        <w:rPr>
          <w:sz w:val="20"/>
          <w:szCs w:val="20"/>
        </w:rPr>
      </w:pPr>
      <w:r>
        <w:rPr>
          <w:sz w:val="20"/>
          <w:szCs w:val="20"/>
        </w:rPr>
        <w:t>PRA zauważył</w:t>
      </w:r>
      <w:r w:rsidR="00952FCE">
        <w:rPr>
          <w:sz w:val="20"/>
          <w:szCs w:val="20"/>
        </w:rPr>
        <w:t>a</w:t>
      </w:r>
      <w:r w:rsidR="00C32A8F" w:rsidRPr="00546375">
        <w:rPr>
          <w:sz w:val="20"/>
          <w:szCs w:val="20"/>
        </w:rPr>
        <w:t xml:space="preserve"> </w:t>
      </w:r>
      <w:r w:rsidR="00205B11">
        <w:rPr>
          <w:sz w:val="20"/>
          <w:szCs w:val="20"/>
        </w:rPr>
        <w:t>ponadto</w:t>
      </w:r>
      <w:r w:rsidR="00C32A8F" w:rsidRPr="00546375">
        <w:rPr>
          <w:sz w:val="20"/>
          <w:szCs w:val="20"/>
        </w:rPr>
        <w:t xml:space="preserve">, że metodologie oparte na </w:t>
      </w:r>
      <w:r w:rsidR="00C32A8F">
        <w:rPr>
          <w:sz w:val="20"/>
          <w:szCs w:val="20"/>
        </w:rPr>
        <w:t>relacji</w:t>
      </w:r>
      <w:r w:rsidR="00C32A8F" w:rsidRPr="00546375">
        <w:rPr>
          <w:sz w:val="20"/>
          <w:szCs w:val="20"/>
        </w:rPr>
        <w:t xml:space="preserve"> kapitału do poziomu ryzyka klimatycznego stosowane przez </w:t>
      </w:r>
      <w:r w:rsidR="00C32A8F">
        <w:rPr>
          <w:sz w:val="20"/>
          <w:szCs w:val="20"/>
        </w:rPr>
        <w:t>instytucje finansowe</w:t>
      </w:r>
      <w:r w:rsidR="00C32A8F" w:rsidRPr="00546375">
        <w:rPr>
          <w:sz w:val="20"/>
          <w:szCs w:val="20"/>
        </w:rPr>
        <w:t xml:space="preserve"> są </w:t>
      </w:r>
      <w:r w:rsidR="00205B11">
        <w:rPr>
          <w:sz w:val="20"/>
          <w:szCs w:val="20"/>
        </w:rPr>
        <w:t>właściwe</w:t>
      </w:r>
      <w:r>
        <w:rPr>
          <w:sz w:val="20"/>
          <w:szCs w:val="20"/>
        </w:rPr>
        <w:t xml:space="preserve">. </w:t>
      </w:r>
      <w:r w:rsidR="00345A0B">
        <w:rPr>
          <w:sz w:val="20"/>
          <w:szCs w:val="20"/>
        </w:rPr>
        <w:t xml:space="preserve">Eksperci </w:t>
      </w:r>
      <w:r w:rsidR="00446987">
        <w:rPr>
          <w:sz w:val="20"/>
          <w:szCs w:val="20"/>
        </w:rPr>
        <w:t>organu</w:t>
      </w:r>
      <w:r w:rsidR="00345A0B">
        <w:rPr>
          <w:sz w:val="20"/>
          <w:szCs w:val="20"/>
        </w:rPr>
        <w:t xml:space="preserve"> zgadzają się jednak, że uwzględnianie ryzyk</w:t>
      </w:r>
      <w:r w:rsidR="00097C1B">
        <w:rPr>
          <w:sz w:val="20"/>
          <w:szCs w:val="20"/>
        </w:rPr>
        <w:t>a</w:t>
      </w:r>
      <w:r w:rsidR="00345A0B">
        <w:rPr>
          <w:sz w:val="20"/>
          <w:szCs w:val="20"/>
        </w:rPr>
        <w:t xml:space="preserve"> </w:t>
      </w:r>
      <w:r w:rsidR="00DA2DA6">
        <w:rPr>
          <w:sz w:val="20"/>
          <w:szCs w:val="20"/>
        </w:rPr>
        <w:t xml:space="preserve">klimatycznego </w:t>
      </w:r>
      <w:r w:rsidR="00345A0B">
        <w:rPr>
          <w:sz w:val="20"/>
          <w:szCs w:val="20"/>
        </w:rPr>
        <w:t>wiąże się nadal z wieloma wyzwaniami. Ich zdaniem w</w:t>
      </w:r>
      <w:r w:rsidR="00C32A8F" w:rsidRPr="00546375">
        <w:rPr>
          <w:sz w:val="20"/>
          <w:szCs w:val="20"/>
        </w:rPr>
        <w:t xml:space="preserve">iększość </w:t>
      </w:r>
      <w:r w:rsidR="00C32A8F">
        <w:rPr>
          <w:sz w:val="20"/>
          <w:szCs w:val="20"/>
        </w:rPr>
        <w:t>podmiotów</w:t>
      </w:r>
      <w:r w:rsidR="00C32A8F" w:rsidRPr="00546375">
        <w:rPr>
          <w:sz w:val="20"/>
          <w:szCs w:val="20"/>
        </w:rPr>
        <w:t xml:space="preserve"> wciąż nie jest w stanie dostarczyć szczegółowych informacji umożliwiających </w:t>
      </w:r>
      <w:r w:rsidR="00C32A8F">
        <w:rPr>
          <w:sz w:val="20"/>
          <w:szCs w:val="20"/>
        </w:rPr>
        <w:t xml:space="preserve">pełne </w:t>
      </w:r>
      <w:r w:rsidR="00C32A8F" w:rsidRPr="00546375">
        <w:rPr>
          <w:sz w:val="20"/>
          <w:szCs w:val="20"/>
        </w:rPr>
        <w:t>zrozumienie przeprowadzon</w:t>
      </w:r>
      <w:r w:rsidR="00C32A8F">
        <w:rPr>
          <w:sz w:val="20"/>
          <w:szCs w:val="20"/>
        </w:rPr>
        <w:t>ych analiz</w:t>
      </w:r>
      <w:r w:rsidR="00C32A8F" w:rsidRPr="00546375">
        <w:rPr>
          <w:sz w:val="20"/>
          <w:szCs w:val="20"/>
        </w:rPr>
        <w:t xml:space="preserve">. </w:t>
      </w:r>
    </w:p>
    <w:p w14:paraId="0A655595" w14:textId="1EE0161A" w:rsidR="00C32A8F" w:rsidRPr="00546375" w:rsidRDefault="00DC2E37" w:rsidP="00C32A8F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C32A8F">
        <w:rPr>
          <w:sz w:val="20"/>
          <w:szCs w:val="20"/>
        </w:rPr>
        <w:t>nstytucje finansowe</w:t>
      </w:r>
      <w:r w:rsidR="00C32A8F" w:rsidRPr="00546375">
        <w:rPr>
          <w:sz w:val="20"/>
          <w:szCs w:val="20"/>
        </w:rPr>
        <w:t xml:space="preserve"> powinny</w:t>
      </w:r>
      <w:r>
        <w:rPr>
          <w:sz w:val="20"/>
          <w:szCs w:val="20"/>
        </w:rPr>
        <w:t xml:space="preserve"> zdaniem PRA</w:t>
      </w:r>
      <w:r w:rsidR="00C32A8F" w:rsidRPr="00546375">
        <w:rPr>
          <w:sz w:val="20"/>
          <w:szCs w:val="20"/>
        </w:rPr>
        <w:t xml:space="preserve"> </w:t>
      </w:r>
      <w:r w:rsidR="00C32A8F">
        <w:rPr>
          <w:sz w:val="20"/>
          <w:szCs w:val="20"/>
        </w:rPr>
        <w:t>przedstawiać więcej</w:t>
      </w:r>
      <w:r w:rsidR="00C32A8F" w:rsidRPr="00546375">
        <w:rPr>
          <w:sz w:val="20"/>
          <w:szCs w:val="20"/>
        </w:rPr>
        <w:t xml:space="preserve"> szczegółów </w:t>
      </w:r>
      <w:r w:rsidR="00345A0B">
        <w:rPr>
          <w:sz w:val="20"/>
          <w:szCs w:val="20"/>
        </w:rPr>
        <w:t xml:space="preserve">także na temat </w:t>
      </w:r>
      <w:r w:rsidR="00C32A8F" w:rsidRPr="00546375">
        <w:rPr>
          <w:sz w:val="20"/>
          <w:szCs w:val="20"/>
        </w:rPr>
        <w:t>metodologii testów warunków skrajnych</w:t>
      </w:r>
      <w:r w:rsidR="00B856F1">
        <w:rPr>
          <w:sz w:val="20"/>
          <w:szCs w:val="20"/>
        </w:rPr>
        <w:t xml:space="preserve"> (czyli testów pozwalających na ocenę</w:t>
      </w:r>
      <w:r w:rsidR="00B856F1" w:rsidRPr="00B856F1">
        <w:rPr>
          <w:sz w:val="20"/>
          <w:szCs w:val="20"/>
        </w:rPr>
        <w:t xml:space="preserve"> odporności instytucji finansowej na ekstremalne </w:t>
      </w:r>
      <w:r w:rsidR="002C382F">
        <w:rPr>
          <w:sz w:val="20"/>
          <w:szCs w:val="20"/>
        </w:rPr>
        <w:t>z</w:t>
      </w:r>
      <w:r w:rsidR="002C382F" w:rsidRPr="00B856F1">
        <w:rPr>
          <w:sz w:val="20"/>
          <w:szCs w:val="20"/>
        </w:rPr>
        <w:t xml:space="preserve">darzenia </w:t>
      </w:r>
      <w:r w:rsidR="00AD451F">
        <w:rPr>
          <w:sz w:val="20"/>
          <w:szCs w:val="20"/>
        </w:rPr>
        <w:t>naturalne</w:t>
      </w:r>
      <w:r w:rsidR="009E4253">
        <w:rPr>
          <w:sz w:val="20"/>
          <w:szCs w:val="20"/>
        </w:rPr>
        <w:t xml:space="preserve">, takie </w:t>
      </w:r>
      <w:r w:rsidR="009E4253" w:rsidRPr="00B856F1">
        <w:rPr>
          <w:sz w:val="20"/>
          <w:szCs w:val="20"/>
        </w:rPr>
        <w:t>jak</w:t>
      </w:r>
      <w:r w:rsidR="009E4253">
        <w:rPr>
          <w:sz w:val="20"/>
          <w:szCs w:val="20"/>
        </w:rPr>
        <w:t xml:space="preserve"> ocieplenie klimatu, powodzie, susze i upały, czy krótko- i</w:t>
      </w:r>
      <w:r w:rsidR="006425CB">
        <w:rPr>
          <w:sz w:val="20"/>
          <w:szCs w:val="20"/>
        </w:rPr>
        <w:t> </w:t>
      </w:r>
      <w:r w:rsidR="009E4253">
        <w:rPr>
          <w:sz w:val="20"/>
          <w:szCs w:val="20"/>
        </w:rPr>
        <w:t xml:space="preserve">długoterminowy wpływ transformacji systemowej w zakresie </w:t>
      </w:r>
      <w:r w:rsidR="00382D4F">
        <w:rPr>
          <w:sz w:val="20"/>
          <w:szCs w:val="20"/>
        </w:rPr>
        <w:t>klimatu</w:t>
      </w:r>
      <w:r w:rsidR="00132AE0">
        <w:rPr>
          <w:sz w:val="20"/>
          <w:szCs w:val="20"/>
        </w:rPr>
        <w:t xml:space="preserve"> </w:t>
      </w:r>
      <w:r w:rsidR="00813ED2">
        <w:rPr>
          <w:sz w:val="20"/>
          <w:szCs w:val="20"/>
        </w:rPr>
        <w:t xml:space="preserve">oraz ich </w:t>
      </w:r>
      <w:r w:rsidR="003F12D3">
        <w:rPr>
          <w:sz w:val="20"/>
          <w:szCs w:val="20"/>
        </w:rPr>
        <w:t>wpływ na</w:t>
      </w:r>
      <w:r w:rsidR="00AD7715">
        <w:rPr>
          <w:sz w:val="20"/>
          <w:szCs w:val="20"/>
        </w:rPr>
        <w:t xml:space="preserve"> </w:t>
      </w:r>
      <w:r w:rsidR="00B856F1" w:rsidRPr="00B856F1">
        <w:rPr>
          <w:sz w:val="20"/>
          <w:szCs w:val="20"/>
        </w:rPr>
        <w:t>ryn</w:t>
      </w:r>
      <w:r w:rsidR="00813ED2">
        <w:rPr>
          <w:sz w:val="20"/>
          <w:szCs w:val="20"/>
        </w:rPr>
        <w:t>ki finansowe</w:t>
      </w:r>
      <w:r w:rsidR="00B856F1" w:rsidRPr="00B856F1">
        <w:rPr>
          <w:sz w:val="20"/>
          <w:szCs w:val="20"/>
        </w:rPr>
        <w:t xml:space="preserve"> </w:t>
      </w:r>
      <w:r w:rsidR="00AD7715">
        <w:rPr>
          <w:sz w:val="20"/>
          <w:szCs w:val="20"/>
        </w:rPr>
        <w:t>i</w:t>
      </w:r>
      <w:r w:rsidR="00AD7715" w:rsidRPr="00B856F1">
        <w:rPr>
          <w:sz w:val="20"/>
          <w:szCs w:val="20"/>
        </w:rPr>
        <w:t xml:space="preserve"> gospodar</w:t>
      </w:r>
      <w:r w:rsidR="00AD7715">
        <w:rPr>
          <w:sz w:val="20"/>
          <w:szCs w:val="20"/>
        </w:rPr>
        <w:t>kę</w:t>
      </w:r>
      <w:r w:rsidR="00B856F1">
        <w:rPr>
          <w:sz w:val="20"/>
          <w:szCs w:val="20"/>
        </w:rPr>
        <w:t>).</w:t>
      </w:r>
      <w:r w:rsidR="00C32A8F">
        <w:rPr>
          <w:sz w:val="20"/>
          <w:szCs w:val="20"/>
        </w:rPr>
        <w:t xml:space="preserve"> U</w:t>
      </w:r>
      <w:r w:rsidR="00C32A8F" w:rsidRPr="00546375">
        <w:rPr>
          <w:sz w:val="20"/>
          <w:szCs w:val="20"/>
        </w:rPr>
        <w:t>możliwi</w:t>
      </w:r>
      <w:r w:rsidR="00345A0B">
        <w:rPr>
          <w:sz w:val="20"/>
          <w:szCs w:val="20"/>
        </w:rPr>
        <w:t>łoby</w:t>
      </w:r>
      <w:r w:rsidR="00C32A8F">
        <w:rPr>
          <w:sz w:val="20"/>
          <w:szCs w:val="20"/>
        </w:rPr>
        <w:t xml:space="preserve"> to</w:t>
      </w:r>
      <w:r w:rsidR="00C32A8F" w:rsidRPr="00546375">
        <w:rPr>
          <w:sz w:val="20"/>
          <w:szCs w:val="20"/>
        </w:rPr>
        <w:t xml:space="preserve"> zainteresowanym stronom ocenę</w:t>
      </w:r>
      <w:r w:rsidR="00345A0B">
        <w:rPr>
          <w:sz w:val="20"/>
          <w:szCs w:val="20"/>
        </w:rPr>
        <w:t>,</w:t>
      </w:r>
      <w:r w:rsidR="00C32A8F" w:rsidRPr="00546375">
        <w:rPr>
          <w:sz w:val="20"/>
          <w:szCs w:val="20"/>
        </w:rPr>
        <w:t xml:space="preserve"> czy przyjęte założenia i</w:t>
      </w:r>
      <w:r w:rsidR="00C50C53">
        <w:rPr>
          <w:sz w:val="20"/>
          <w:szCs w:val="20"/>
        </w:rPr>
        <w:t> </w:t>
      </w:r>
      <w:r w:rsidR="00C32A8F">
        <w:rPr>
          <w:sz w:val="20"/>
          <w:szCs w:val="20"/>
        </w:rPr>
        <w:t>wnioski</w:t>
      </w:r>
      <w:r w:rsidR="00C32A8F" w:rsidRPr="00546375">
        <w:rPr>
          <w:sz w:val="20"/>
          <w:szCs w:val="20"/>
        </w:rPr>
        <w:t xml:space="preserve"> są odpowiednie oraz czy ryzyko klimatyczne jest prawidłowo uwzględnione w</w:t>
      </w:r>
      <w:r w:rsidR="008779AE">
        <w:rPr>
          <w:sz w:val="20"/>
          <w:szCs w:val="20"/>
        </w:rPr>
        <w:t> </w:t>
      </w:r>
      <w:r w:rsidR="00C32A8F" w:rsidRPr="00546375">
        <w:rPr>
          <w:sz w:val="20"/>
          <w:szCs w:val="20"/>
        </w:rPr>
        <w:t>testach warunków skrajnych, a tym samym w procesie podejmowania decyzji.</w:t>
      </w:r>
    </w:p>
    <w:p w14:paraId="114654EF" w14:textId="31AA0D62" w:rsidR="00C32A8F" w:rsidRPr="00B856F1" w:rsidRDefault="00F47B2F" w:rsidP="00B856F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Brakujące dane</w:t>
      </w:r>
    </w:p>
    <w:p w14:paraId="52351CD4" w14:textId="0F29CA77" w:rsidR="00C32A8F" w:rsidRPr="00546375" w:rsidRDefault="00C32A8F" w:rsidP="00C32A8F">
      <w:pPr>
        <w:jc w:val="both"/>
        <w:rPr>
          <w:sz w:val="20"/>
          <w:szCs w:val="20"/>
        </w:rPr>
      </w:pPr>
      <w:r w:rsidRPr="00546375">
        <w:rPr>
          <w:sz w:val="20"/>
          <w:szCs w:val="20"/>
        </w:rPr>
        <w:t xml:space="preserve">Jeden z kluczowych problemów większości </w:t>
      </w:r>
      <w:r>
        <w:rPr>
          <w:sz w:val="20"/>
          <w:szCs w:val="20"/>
        </w:rPr>
        <w:t>instytucji finansowych</w:t>
      </w:r>
      <w:r w:rsidRPr="00546375">
        <w:rPr>
          <w:sz w:val="20"/>
          <w:szCs w:val="20"/>
        </w:rPr>
        <w:t xml:space="preserve"> związany</w:t>
      </w:r>
      <w:r>
        <w:rPr>
          <w:sz w:val="20"/>
          <w:szCs w:val="20"/>
        </w:rPr>
        <w:t xml:space="preserve"> jest</w:t>
      </w:r>
      <w:r w:rsidR="00345A0B">
        <w:rPr>
          <w:sz w:val="20"/>
          <w:szCs w:val="20"/>
        </w:rPr>
        <w:t>, zdaniem PRA,</w:t>
      </w:r>
      <w:r w:rsidRPr="00546375">
        <w:rPr>
          <w:sz w:val="20"/>
          <w:szCs w:val="20"/>
        </w:rPr>
        <w:t xml:space="preserve"> z dostępnością danych </w:t>
      </w:r>
      <w:r>
        <w:rPr>
          <w:sz w:val="20"/>
          <w:szCs w:val="20"/>
        </w:rPr>
        <w:t>koniecznych do rozwoju metod zarządzania ryzykiem</w:t>
      </w:r>
      <w:r w:rsidRPr="00546375">
        <w:rPr>
          <w:sz w:val="20"/>
          <w:szCs w:val="20"/>
        </w:rPr>
        <w:t xml:space="preserve"> klimatyczn</w:t>
      </w:r>
      <w:r>
        <w:rPr>
          <w:sz w:val="20"/>
          <w:szCs w:val="20"/>
        </w:rPr>
        <w:t>ym</w:t>
      </w:r>
      <w:r w:rsidRPr="00546375">
        <w:rPr>
          <w:sz w:val="20"/>
          <w:szCs w:val="20"/>
        </w:rPr>
        <w:t xml:space="preserve">. PRA </w:t>
      </w:r>
      <w:r>
        <w:rPr>
          <w:sz w:val="20"/>
          <w:szCs w:val="20"/>
        </w:rPr>
        <w:t>stwierdził</w:t>
      </w:r>
      <w:r w:rsidR="00C34798">
        <w:rPr>
          <w:sz w:val="20"/>
          <w:szCs w:val="20"/>
        </w:rPr>
        <w:t>a</w:t>
      </w:r>
      <w:r w:rsidRPr="00546375">
        <w:rPr>
          <w:sz w:val="20"/>
          <w:szCs w:val="20"/>
        </w:rPr>
        <w:t xml:space="preserve">, że firmy </w:t>
      </w:r>
      <w:r>
        <w:rPr>
          <w:sz w:val="20"/>
          <w:szCs w:val="20"/>
        </w:rPr>
        <w:t>wdrażające</w:t>
      </w:r>
      <w:r w:rsidRPr="00546375">
        <w:rPr>
          <w:sz w:val="20"/>
          <w:szCs w:val="20"/>
        </w:rPr>
        <w:t xml:space="preserve"> skuteczne praktyki w zakresie </w:t>
      </w:r>
      <w:r>
        <w:rPr>
          <w:sz w:val="20"/>
          <w:szCs w:val="20"/>
        </w:rPr>
        <w:t xml:space="preserve">zarządzania </w:t>
      </w:r>
      <w:r w:rsidRPr="00546375">
        <w:rPr>
          <w:sz w:val="20"/>
          <w:szCs w:val="20"/>
        </w:rPr>
        <w:t>ryzyk</w:t>
      </w:r>
      <w:r>
        <w:rPr>
          <w:sz w:val="20"/>
          <w:szCs w:val="20"/>
        </w:rPr>
        <w:t>iem klimatycznym</w:t>
      </w:r>
      <w:r w:rsidRPr="00546375">
        <w:rPr>
          <w:sz w:val="20"/>
          <w:szCs w:val="20"/>
        </w:rPr>
        <w:t xml:space="preserve"> zidentyfikowały </w:t>
      </w:r>
      <w:r>
        <w:rPr>
          <w:sz w:val="20"/>
          <w:szCs w:val="20"/>
        </w:rPr>
        <w:t>istotne</w:t>
      </w:r>
      <w:r w:rsidRPr="00546375">
        <w:rPr>
          <w:sz w:val="20"/>
          <w:szCs w:val="20"/>
        </w:rPr>
        <w:t xml:space="preserve"> luki w</w:t>
      </w:r>
      <w:r w:rsidR="00C34798">
        <w:rPr>
          <w:sz w:val="20"/>
          <w:szCs w:val="20"/>
        </w:rPr>
        <w:t> </w:t>
      </w:r>
      <w:r w:rsidRPr="00546375">
        <w:rPr>
          <w:sz w:val="20"/>
          <w:szCs w:val="20"/>
        </w:rPr>
        <w:t>danych i</w:t>
      </w:r>
      <w:r w:rsidR="00C50C53">
        <w:rPr>
          <w:sz w:val="20"/>
          <w:szCs w:val="20"/>
        </w:rPr>
        <w:t> </w:t>
      </w:r>
      <w:r w:rsidRPr="00546375">
        <w:rPr>
          <w:sz w:val="20"/>
          <w:szCs w:val="20"/>
        </w:rPr>
        <w:t>opracowują strategiczne p</w:t>
      </w:r>
      <w:r>
        <w:rPr>
          <w:sz w:val="20"/>
          <w:szCs w:val="20"/>
        </w:rPr>
        <w:t xml:space="preserve">lany </w:t>
      </w:r>
      <w:r w:rsidRPr="00546375">
        <w:rPr>
          <w:sz w:val="20"/>
          <w:szCs w:val="20"/>
        </w:rPr>
        <w:t>ich likwidacji.</w:t>
      </w:r>
      <w:r w:rsidR="00205B11">
        <w:rPr>
          <w:sz w:val="20"/>
          <w:szCs w:val="20"/>
        </w:rPr>
        <w:t xml:space="preserve"> W</w:t>
      </w:r>
      <w:r w:rsidRPr="00546375">
        <w:rPr>
          <w:sz w:val="20"/>
          <w:szCs w:val="20"/>
        </w:rPr>
        <w:t xml:space="preserve">iele </w:t>
      </w:r>
      <w:r>
        <w:rPr>
          <w:sz w:val="20"/>
          <w:szCs w:val="20"/>
        </w:rPr>
        <w:t>instytucji</w:t>
      </w:r>
      <w:r w:rsidRPr="00546375">
        <w:rPr>
          <w:sz w:val="20"/>
          <w:szCs w:val="20"/>
        </w:rPr>
        <w:t xml:space="preserve"> wciąż jest </w:t>
      </w:r>
      <w:r w:rsidR="00205B11">
        <w:rPr>
          <w:sz w:val="20"/>
          <w:szCs w:val="20"/>
        </w:rPr>
        <w:t xml:space="preserve">jednak </w:t>
      </w:r>
      <w:r w:rsidRPr="00546375">
        <w:rPr>
          <w:sz w:val="20"/>
          <w:szCs w:val="20"/>
        </w:rPr>
        <w:t>na etapie analizy danych</w:t>
      </w:r>
      <w:r>
        <w:rPr>
          <w:sz w:val="20"/>
          <w:szCs w:val="20"/>
        </w:rPr>
        <w:t xml:space="preserve"> </w:t>
      </w:r>
      <w:r w:rsidRPr="00546375">
        <w:rPr>
          <w:sz w:val="20"/>
          <w:szCs w:val="20"/>
        </w:rPr>
        <w:t xml:space="preserve">ze źródeł </w:t>
      </w:r>
      <w:r w:rsidR="00433981">
        <w:rPr>
          <w:sz w:val="20"/>
          <w:szCs w:val="20"/>
        </w:rPr>
        <w:t>zarówno</w:t>
      </w:r>
      <w:r>
        <w:rPr>
          <w:sz w:val="20"/>
          <w:szCs w:val="20"/>
        </w:rPr>
        <w:t xml:space="preserve"> </w:t>
      </w:r>
      <w:r w:rsidRPr="00546375">
        <w:rPr>
          <w:sz w:val="20"/>
          <w:szCs w:val="20"/>
        </w:rPr>
        <w:t>wewnętrznych</w:t>
      </w:r>
      <w:r w:rsidR="00205B11">
        <w:rPr>
          <w:sz w:val="20"/>
          <w:szCs w:val="20"/>
        </w:rPr>
        <w:t>,</w:t>
      </w:r>
      <w:r>
        <w:rPr>
          <w:sz w:val="20"/>
          <w:szCs w:val="20"/>
        </w:rPr>
        <w:t xml:space="preserve"> jak</w:t>
      </w:r>
      <w:r w:rsidRPr="00546375">
        <w:rPr>
          <w:sz w:val="20"/>
          <w:szCs w:val="20"/>
        </w:rPr>
        <w:t xml:space="preserve"> i zewnętrznych</w:t>
      </w:r>
      <w:r w:rsidR="00870DA5">
        <w:rPr>
          <w:sz w:val="20"/>
          <w:szCs w:val="20"/>
        </w:rPr>
        <w:t>,</w:t>
      </w:r>
      <w:r w:rsidRPr="00546375">
        <w:rPr>
          <w:sz w:val="20"/>
          <w:szCs w:val="20"/>
        </w:rPr>
        <w:t xml:space="preserve"> </w:t>
      </w:r>
      <w:r w:rsidR="00870DA5">
        <w:rPr>
          <w:sz w:val="20"/>
          <w:szCs w:val="20"/>
        </w:rPr>
        <w:t>oraz</w:t>
      </w:r>
      <w:r w:rsidR="00870DA5" w:rsidRPr="00546375">
        <w:rPr>
          <w:sz w:val="20"/>
          <w:szCs w:val="20"/>
        </w:rPr>
        <w:t xml:space="preserve"> </w:t>
      </w:r>
      <w:r w:rsidRPr="00546375">
        <w:rPr>
          <w:sz w:val="20"/>
          <w:szCs w:val="20"/>
        </w:rPr>
        <w:t>oceniania</w:t>
      </w:r>
      <w:r>
        <w:rPr>
          <w:sz w:val="20"/>
          <w:szCs w:val="20"/>
        </w:rPr>
        <w:t xml:space="preserve"> </w:t>
      </w:r>
      <w:r w:rsidRPr="00546375">
        <w:rPr>
          <w:sz w:val="20"/>
          <w:szCs w:val="20"/>
        </w:rPr>
        <w:t xml:space="preserve">możliwości </w:t>
      </w:r>
      <w:r>
        <w:rPr>
          <w:sz w:val="20"/>
          <w:szCs w:val="20"/>
        </w:rPr>
        <w:t xml:space="preserve">ich wykorzystania. </w:t>
      </w:r>
    </w:p>
    <w:p w14:paraId="5A9FE035" w14:textId="53585882" w:rsidR="00C32A8F" w:rsidRPr="00546375" w:rsidRDefault="00F47B2F" w:rsidP="00C32A8F">
      <w:pPr>
        <w:jc w:val="both"/>
        <w:rPr>
          <w:sz w:val="20"/>
          <w:szCs w:val="20"/>
        </w:rPr>
      </w:pPr>
      <w:r>
        <w:rPr>
          <w:sz w:val="20"/>
          <w:szCs w:val="20"/>
        </w:rPr>
        <w:t>Trzeba jednak zaznaczyć, że</w:t>
      </w:r>
      <w:r w:rsidR="00C32A8F">
        <w:rPr>
          <w:sz w:val="20"/>
          <w:szCs w:val="20"/>
        </w:rPr>
        <w:t xml:space="preserve"> firmy prezentujące właściwe praktyki</w:t>
      </w:r>
      <w:r w:rsidR="00C32A8F" w:rsidRPr="00546375">
        <w:rPr>
          <w:sz w:val="20"/>
          <w:szCs w:val="20"/>
        </w:rPr>
        <w:t xml:space="preserve"> w zakresie </w:t>
      </w:r>
      <w:r w:rsidR="00C32A8F">
        <w:rPr>
          <w:sz w:val="20"/>
          <w:szCs w:val="20"/>
        </w:rPr>
        <w:t xml:space="preserve">zarządzania </w:t>
      </w:r>
      <w:r w:rsidR="00C32A8F" w:rsidRPr="00546375">
        <w:rPr>
          <w:sz w:val="20"/>
          <w:szCs w:val="20"/>
        </w:rPr>
        <w:t>ryzyk</w:t>
      </w:r>
      <w:r w:rsidR="00C32A8F">
        <w:rPr>
          <w:sz w:val="20"/>
          <w:szCs w:val="20"/>
        </w:rPr>
        <w:t>iem klimatycznym</w:t>
      </w:r>
      <w:r w:rsidR="00C32A8F" w:rsidRPr="00546375">
        <w:rPr>
          <w:sz w:val="20"/>
          <w:szCs w:val="20"/>
        </w:rPr>
        <w:t>, dyspon</w:t>
      </w:r>
      <w:r w:rsidR="00C32A8F">
        <w:rPr>
          <w:sz w:val="20"/>
          <w:szCs w:val="20"/>
        </w:rPr>
        <w:t>ują</w:t>
      </w:r>
      <w:r w:rsidR="00C32A8F" w:rsidRPr="00546375">
        <w:rPr>
          <w:sz w:val="20"/>
          <w:szCs w:val="20"/>
        </w:rPr>
        <w:t xml:space="preserve"> planem działania mającym na celu opracowanie procesów zaangażowania k</w:t>
      </w:r>
      <w:r w:rsidR="00C32A8F">
        <w:rPr>
          <w:sz w:val="20"/>
          <w:szCs w:val="20"/>
        </w:rPr>
        <w:t xml:space="preserve">lientów biznesowych, aby </w:t>
      </w:r>
      <w:r w:rsidR="00C32A8F" w:rsidRPr="00546375">
        <w:rPr>
          <w:sz w:val="20"/>
          <w:szCs w:val="20"/>
        </w:rPr>
        <w:t>zebra</w:t>
      </w:r>
      <w:r w:rsidR="00C32A8F">
        <w:rPr>
          <w:sz w:val="20"/>
          <w:szCs w:val="20"/>
        </w:rPr>
        <w:t xml:space="preserve">ć </w:t>
      </w:r>
      <w:r w:rsidR="00C32A8F" w:rsidRPr="00546375">
        <w:rPr>
          <w:sz w:val="20"/>
          <w:szCs w:val="20"/>
        </w:rPr>
        <w:t>wymagan</w:t>
      </w:r>
      <w:r w:rsidR="00C32A8F">
        <w:rPr>
          <w:sz w:val="20"/>
          <w:szCs w:val="20"/>
        </w:rPr>
        <w:t>e</w:t>
      </w:r>
      <w:r w:rsidR="00C32A8F" w:rsidRPr="00546375">
        <w:rPr>
          <w:sz w:val="20"/>
          <w:szCs w:val="20"/>
        </w:rPr>
        <w:t xml:space="preserve"> dan</w:t>
      </w:r>
      <w:r w:rsidR="00C32A8F">
        <w:rPr>
          <w:sz w:val="20"/>
          <w:szCs w:val="20"/>
        </w:rPr>
        <w:t>e, konieczne do uwzględnienia ryzyka klimatycznego</w:t>
      </w:r>
      <w:r w:rsidR="0001275A">
        <w:rPr>
          <w:sz w:val="20"/>
          <w:szCs w:val="20"/>
        </w:rPr>
        <w:t>.</w:t>
      </w:r>
    </w:p>
    <w:p w14:paraId="31F61216" w14:textId="794D5DB3" w:rsidR="00C32A8F" w:rsidRDefault="00C32A8F" w:rsidP="00C32A8F">
      <w:pPr>
        <w:contextualSpacing/>
        <w:jc w:val="both"/>
        <w:rPr>
          <w:b/>
          <w:bCs/>
          <w:sz w:val="20"/>
          <w:szCs w:val="20"/>
        </w:rPr>
      </w:pPr>
      <w:r w:rsidRPr="00B856F1">
        <w:rPr>
          <w:b/>
          <w:bCs/>
          <w:sz w:val="20"/>
          <w:szCs w:val="20"/>
        </w:rPr>
        <w:t xml:space="preserve">Dalszy rozwój modeli </w:t>
      </w:r>
      <w:r w:rsidR="00F47B2F">
        <w:rPr>
          <w:b/>
          <w:bCs/>
          <w:sz w:val="20"/>
          <w:szCs w:val="20"/>
        </w:rPr>
        <w:t xml:space="preserve">oceny </w:t>
      </w:r>
      <w:r w:rsidRPr="00B856F1">
        <w:rPr>
          <w:b/>
          <w:bCs/>
          <w:sz w:val="20"/>
          <w:szCs w:val="20"/>
        </w:rPr>
        <w:t>ryzyka</w:t>
      </w:r>
    </w:p>
    <w:p w14:paraId="4820B3A7" w14:textId="77777777" w:rsidR="00C32A8F" w:rsidRPr="00B856F1" w:rsidRDefault="00C32A8F" w:rsidP="00B856F1">
      <w:pPr>
        <w:contextualSpacing/>
        <w:jc w:val="both"/>
        <w:rPr>
          <w:b/>
          <w:bCs/>
          <w:sz w:val="20"/>
          <w:szCs w:val="20"/>
        </w:rPr>
      </w:pPr>
    </w:p>
    <w:p w14:paraId="2998E975" w14:textId="51D88894" w:rsidR="00C32A8F" w:rsidRDefault="00C32A8F" w:rsidP="00C32A8F">
      <w:pPr>
        <w:jc w:val="both"/>
        <w:rPr>
          <w:sz w:val="20"/>
          <w:szCs w:val="20"/>
        </w:rPr>
      </w:pPr>
      <w:r w:rsidRPr="00546375">
        <w:rPr>
          <w:sz w:val="20"/>
          <w:szCs w:val="20"/>
        </w:rPr>
        <w:t>PRA stwierdził</w:t>
      </w:r>
      <w:r w:rsidR="00941844">
        <w:rPr>
          <w:sz w:val="20"/>
          <w:szCs w:val="20"/>
        </w:rPr>
        <w:t>a</w:t>
      </w:r>
      <w:r w:rsidRPr="00546375">
        <w:rPr>
          <w:sz w:val="20"/>
          <w:szCs w:val="20"/>
        </w:rPr>
        <w:t xml:space="preserve">, że banki </w:t>
      </w:r>
      <w:r>
        <w:rPr>
          <w:sz w:val="20"/>
          <w:szCs w:val="20"/>
        </w:rPr>
        <w:t xml:space="preserve">w wielu przypadkach </w:t>
      </w:r>
      <w:r w:rsidRPr="00546375">
        <w:rPr>
          <w:sz w:val="20"/>
          <w:szCs w:val="20"/>
        </w:rPr>
        <w:t>korzystały z uproszczeń</w:t>
      </w:r>
      <w:r w:rsidR="00F47B2F">
        <w:rPr>
          <w:sz w:val="20"/>
          <w:szCs w:val="20"/>
        </w:rPr>
        <w:t>. U</w:t>
      </w:r>
      <w:r>
        <w:rPr>
          <w:sz w:val="20"/>
          <w:szCs w:val="20"/>
        </w:rPr>
        <w:t>względniły</w:t>
      </w:r>
      <w:r w:rsidR="00F47B2F">
        <w:rPr>
          <w:sz w:val="20"/>
          <w:szCs w:val="20"/>
        </w:rPr>
        <w:t xml:space="preserve"> na przykład</w:t>
      </w:r>
      <w:r>
        <w:rPr>
          <w:sz w:val="20"/>
          <w:szCs w:val="20"/>
        </w:rPr>
        <w:t xml:space="preserve"> </w:t>
      </w:r>
      <w:r w:rsidRPr="00546375">
        <w:rPr>
          <w:sz w:val="20"/>
          <w:szCs w:val="20"/>
        </w:rPr>
        <w:t xml:space="preserve">modelowanie ryzyka fizycznego </w:t>
      </w:r>
      <w:r>
        <w:rPr>
          <w:sz w:val="20"/>
          <w:szCs w:val="20"/>
        </w:rPr>
        <w:t xml:space="preserve">jedynie </w:t>
      </w:r>
      <w:r w:rsidRPr="00546375">
        <w:rPr>
          <w:sz w:val="20"/>
          <w:szCs w:val="20"/>
        </w:rPr>
        <w:t xml:space="preserve">w przypadku kredytów hipotecznych i </w:t>
      </w:r>
      <w:r>
        <w:rPr>
          <w:sz w:val="20"/>
          <w:szCs w:val="20"/>
        </w:rPr>
        <w:t xml:space="preserve">kredytów zabezpieczonych </w:t>
      </w:r>
      <w:r w:rsidRPr="00546375">
        <w:rPr>
          <w:sz w:val="20"/>
          <w:szCs w:val="20"/>
        </w:rPr>
        <w:t>nieruchomości</w:t>
      </w:r>
      <w:r>
        <w:rPr>
          <w:sz w:val="20"/>
          <w:szCs w:val="20"/>
        </w:rPr>
        <w:t>ami</w:t>
      </w:r>
      <w:r w:rsidRPr="00546375">
        <w:rPr>
          <w:sz w:val="20"/>
          <w:szCs w:val="20"/>
        </w:rPr>
        <w:t xml:space="preserve"> komercyjn</w:t>
      </w:r>
      <w:r>
        <w:rPr>
          <w:sz w:val="20"/>
          <w:szCs w:val="20"/>
        </w:rPr>
        <w:t>ymi.</w:t>
      </w:r>
      <w:r w:rsidRPr="00546375">
        <w:rPr>
          <w:sz w:val="20"/>
          <w:szCs w:val="20"/>
        </w:rPr>
        <w:t xml:space="preserve"> </w:t>
      </w:r>
      <w:r w:rsidR="00F47B2F">
        <w:rPr>
          <w:sz w:val="20"/>
          <w:szCs w:val="20"/>
        </w:rPr>
        <w:t>N</w:t>
      </w:r>
      <w:r>
        <w:rPr>
          <w:sz w:val="20"/>
          <w:szCs w:val="20"/>
        </w:rPr>
        <w:t xml:space="preserve">ie </w:t>
      </w:r>
      <w:r w:rsidR="00F47B2F">
        <w:rPr>
          <w:sz w:val="20"/>
          <w:szCs w:val="20"/>
        </w:rPr>
        <w:t>wzięły pod uwagę</w:t>
      </w:r>
      <w:r w:rsidRPr="00546375">
        <w:rPr>
          <w:sz w:val="20"/>
          <w:szCs w:val="20"/>
        </w:rPr>
        <w:t xml:space="preserve"> </w:t>
      </w:r>
      <w:r w:rsidR="00F47B2F">
        <w:rPr>
          <w:sz w:val="20"/>
          <w:szCs w:val="20"/>
        </w:rPr>
        <w:t>pełnego</w:t>
      </w:r>
      <w:r>
        <w:rPr>
          <w:sz w:val="20"/>
          <w:szCs w:val="20"/>
        </w:rPr>
        <w:t xml:space="preserve"> </w:t>
      </w:r>
      <w:r w:rsidRPr="00546375">
        <w:rPr>
          <w:sz w:val="20"/>
          <w:szCs w:val="20"/>
        </w:rPr>
        <w:t xml:space="preserve">zakresu </w:t>
      </w:r>
      <w:r>
        <w:rPr>
          <w:sz w:val="20"/>
          <w:szCs w:val="20"/>
        </w:rPr>
        <w:t>zagrożeń klimatycznych</w:t>
      </w:r>
      <w:r w:rsidRPr="00546375">
        <w:rPr>
          <w:sz w:val="20"/>
          <w:szCs w:val="20"/>
        </w:rPr>
        <w:t xml:space="preserve"> w przypadku kredytów konsumenckich, </w:t>
      </w:r>
      <w:r>
        <w:rPr>
          <w:sz w:val="20"/>
          <w:szCs w:val="20"/>
        </w:rPr>
        <w:t xml:space="preserve">kredytów dla </w:t>
      </w:r>
      <w:r w:rsidRPr="00546375">
        <w:rPr>
          <w:sz w:val="20"/>
          <w:szCs w:val="20"/>
        </w:rPr>
        <w:t xml:space="preserve">instytucji finansowych i państw. </w:t>
      </w:r>
      <w:r w:rsidR="00F47B2F">
        <w:rPr>
          <w:sz w:val="20"/>
          <w:szCs w:val="20"/>
        </w:rPr>
        <w:t>Zdaniem PRA należy dążyć do zmniejszenia skali tych uproszczeń.</w:t>
      </w:r>
    </w:p>
    <w:p w14:paraId="6A40F489" w14:textId="633EA1E0" w:rsidR="00C32A8F" w:rsidRPr="00546375" w:rsidRDefault="00F47B2F" w:rsidP="00C32A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Jeśli zaś chodzi o klienta korporacyjnego, </w:t>
      </w:r>
      <w:r w:rsidR="00205B11">
        <w:rPr>
          <w:sz w:val="20"/>
          <w:szCs w:val="20"/>
        </w:rPr>
        <w:t xml:space="preserve">zdaniem brytyjskiego </w:t>
      </w:r>
      <w:r w:rsidR="00132AE0">
        <w:rPr>
          <w:sz w:val="20"/>
          <w:szCs w:val="20"/>
        </w:rPr>
        <w:t>organu regulującego</w:t>
      </w:r>
      <w:r w:rsidR="00205B11">
        <w:rPr>
          <w:sz w:val="20"/>
          <w:szCs w:val="20"/>
        </w:rPr>
        <w:t xml:space="preserve"> </w:t>
      </w:r>
      <w:r>
        <w:rPr>
          <w:sz w:val="20"/>
          <w:szCs w:val="20"/>
        </w:rPr>
        <w:t>konieczne jest uwzględnienie w</w:t>
      </w:r>
      <w:r w:rsidR="00D41399">
        <w:rPr>
          <w:sz w:val="20"/>
          <w:szCs w:val="20"/>
        </w:rPr>
        <w:t> </w:t>
      </w:r>
      <w:r>
        <w:rPr>
          <w:sz w:val="20"/>
          <w:szCs w:val="20"/>
        </w:rPr>
        <w:t xml:space="preserve">modelowaniu ryzyka fizycznego. To ważne, </w:t>
      </w:r>
      <w:r w:rsidR="00D41399">
        <w:rPr>
          <w:sz w:val="20"/>
          <w:szCs w:val="20"/>
        </w:rPr>
        <w:t xml:space="preserve">gdyż </w:t>
      </w:r>
      <w:r>
        <w:rPr>
          <w:sz w:val="20"/>
          <w:szCs w:val="20"/>
        </w:rPr>
        <w:t xml:space="preserve">ryzyko fizyczne, które związane jest m.in. </w:t>
      </w:r>
      <w:r w:rsidRPr="00F47B2F">
        <w:rPr>
          <w:sz w:val="20"/>
          <w:szCs w:val="20"/>
        </w:rPr>
        <w:t>z</w:t>
      </w:r>
      <w:r w:rsidR="00D41399">
        <w:rPr>
          <w:sz w:val="20"/>
          <w:szCs w:val="20"/>
        </w:rPr>
        <w:t> </w:t>
      </w:r>
      <w:r w:rsidRPr="00F47B2F">
        <w:rPr>
          <w:sz w:val="20"/>
          <w:szCs w:val="20"/>
        </w:rPr>
        <w:t>ekstremalnymi zjawiskami pogodowymi</w:t>
      </w:r>
      <w:r w:rsidR="002D3A40">
        <w:rPr>
          <w:sz w:val="20"/>
          <w:szCs w:val="20"/>
        </w:rPr>
        <w:t>,</w:t>
      </w:r>
      <w:r w:rsidRPr="00F47B2F">
        <w:rPr>
          <w:sz w:val="20"/>
          <w:szCs w:val="20"/>
        </w:rPr>
        <w:t xml:space="preserve"> </w:t>
      </w:r>
      <w:r>
        <w:rPr>
          <w:sz w:val="20"/>
          <w:szCs w:val="20"/>
        </w:rPr>
        <w:t>w obecnych warunkach dynamicznych zmian klimatycznych ma szczególnie istotne znaczenie</w:t>
      </w:r>
      <w:r w:rsidR="002D3A40">
        <w:rPr>
          <w:sz w:val="20"/>
          <w:szCs w:val="20"/>
        </w:rPr>
        <w:t>.</w:t>
      </w:r>
      <w:r>
        <w:rPr>
          <w:sz w:val="20"/>
          <w:szCs w:val="20"/>
        </w:rPr>
        <w:t xml:space="preserve"> Jest to jednak </w:t>
      </w:r>
      <w:r w:rsidR="00C32A8F" w:rsidRPr="00546375">
        <w:rPr>
          <w:sz w:val="20"/>
          <w:szCs w:val="20"/>
        </w:rPr>
        <w:t>szczególnie trudny obszar</w:t>
      </w:r>
      <w:r>
        <w:rPr>
          <w:sz w:val="20"/>
          <w:szCs w:val="20"/>
        </w:rPr>
        <w:t>, przede wszystkim</w:t>
      </w:r>
      <w:r w:rsidR="00C32A8F" w:rsidRPr="00546375">
        <w:rPr>
          <w:sz w:val="20"/>
          <w:szCs w:val="20"/>
        </w:rPr>
        <w:t xml:space="preserve"> ze względu na </w:t>
      </w:r>
      <w:r w:rsidR="00C32A8F">
        <w:rPr>
          <w:sz w:val="20"/>
          <w:szCs w:val="20"/>
        </w:rPr>
        <w:t xml:space="preserve">szeroką skalę </w:t>
      </w:r>
      <w:r w:rsidR="00164814">
        <w:rPr>
          <w:sz w:val="20"/>
          <w:szCs w:val="20"/>
        </w:rPr>
        <w:t xml:space="preserve">wpływu </w:t>
      </w:r>
      <w:r w:rsidR="00C32A8F">
        <w:rPr>
          <w:sz w:val="20"/>
          <w:szCs w:val="20"/>
        </w:rPr>
        <w:t xml:space="preserve">możliwych </w:t>
      </w:r>
      <w:r w:rsidR="0002133E">
        <w:rPr>
          <w:sz w:val="20"/>
          <w:szCs w:val="20"/>
        </w:rPr>
        <w:t>powiązań</w:t>
      </w:r>
      <w:r w:rsidR="0002133E" w:rsidRPr="00546375">
        <w:rPr>
          <w:sz w:val="20"/>
          <w:szCs w:val="20"/>
        </w:rPr>
        <w:t xml:space="preserve"> </w:t>
      </w:r>
      <w:r w:rsidR="00C32A8F">
        <w:rPr>
          <w:sz w:val="20"/>
          <w:szCs w:val="20"/>
        </w:rPr>
        <w:t>oraz</w:t>
      </w:r>
      <w:r w:rsidR="00C32A8F" w:rsidRPr="00546375">
        <w:rPr>
          <w:sz w:val="20"/>
          <w:szCs w:val="20"/>
        </w:rPr>
        <w:t xml:space="preserve"> brak wystarczających danych</w:t>
      </w:r>
      <w:r w:rsidR="00C32A8F">
        <w:rPr>
          <w:sz w:val="20"/>
          <w:szCs w:val="20"/>
        </w:rPr>
        <w:t xml:space="preserve">. </w:t>
      </w:r>
    </w:p>
    <w:p w14:paraId="58ED7669" w14:textId="4DB1A23E" w:rsidR="00C32A8F" w:rsidRDefault="00205B11" w:rsidP="00B856F1">
      <w:pPr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Długa droga do pokonania</w:t>
      </w:r>
    </w:p>
    <w:p w14:paraId="12FC3876" w14:textId="77777777" w:rsidR="00F47B2F" w:rsidRPr="00F47B2F" w:rsidRDefault="00F47B2F" w:rsidP="00B856F1">
      <w:pPr>
        <w:contextualSpacing/>
        <w:jc w:val="both"/>
        <w:rPr>
          <w:b/>
          <w:bCs/>
          <w:sz w:val="20"/>
          <w:szCs w:val="20"/>
        </w:rPr>
      </w:pPr>
    </w:p>
    <w:p w14:paraId="28E47D6D" w14:textId="59B602A9" w:rsidR="00C32A8F" w:rsidRPr="00546375" w:rsidRDefault="00C32A8F" w:rsidP="00C32A8F">
      <w:pPr>
        <w:jc w:val="both"/>
        <w:rPr>
          <w:sz w:val="20"/>
          <w:szCs w:val="20"/>
        </w:rPr>
      </w:pPr>
      <w:r w:rsidRPr="00546375">
        <w:rPr>
          <w:sz w:val="20"/>
          <w:szCs w:val="20"/>
        </w:rPr>
        <w:lastRenderedPageBreak/>
        <w:t xml:space="preserve">PRA oczekuje, że priorytety </w:t>
      </w:r>
      <w:r>
        <w:rPr>
          <w:sz w:val="20"/>
          <w:szCs w:val="20"/>
        </w:rPr>
        <w:t>instytucji finansowych</w:t>
      </w:r>
      <w:r w:rsidRPr="00546375">
        <w:rPr>
          <w:sz w:val="20"/>
          <w:szCs w:val="20"/>
        </w:rPr>
        <w:t xml:space="preserve"> w zakresie sprawozdawczości finansowej </w:t>
      </w:r>
      <w:r>
        <w:rPr>
          <w:sz w:val="20"/>
          <w:szCs w:val="20"/>
        </w:rPr>
        <w:t xml:space="preserve">na najbliższe lata </w:t>
      </w:r>
      <w:r w:rsidR="002F0C10">
        <w:rPr>
          <w:sz w:val="20"/>
          <w:szCs w:val="20"/>
        </w:rPr>
        <w:t>będą obejmować</w:t>
      </w:r>
      <w:r w:rsidRPr="00546375">
        <w:rPr>
          <w:sz w:val="20"/>
          <w:szCs w:val="20"/>
        </w:rPr>
        <w:t xml:space="preserve"> udoskonal</w:t>
      </w:r>
      <w:r>
        <w:rPr>
          <w:sz w:val="20"/>
          <w:szCs w:val="20"/>
        </w:rPr>
        <w:t>anie</w:t>
      </w:r>
      <w:r w:rsidRPr="00546375">
        <w:rPr>
          <w:sz w:val="20"/>
          <w:szCs w:val="20"/>
        </w:rPr>
        <w:t xml:space="preserve"> możliwości</w:t>
      </w:r>
      <w:r>
        <w:rPr>
          <w:sz w:val="20"/>
          <w:szCs w:val="20"/>
        </w:rPr>
        <w:t xml:space="preserve"> w zakresie modelowania oraz dostępności danych</w:t>
      </w:r>
      <w:r w:rsidR="002F0C10">
        <w:rPr>
          <w:sz w:val="20"/>
          <w:szCs w:val="20"/>
        </w:rPr>
        <w:t xml:space="preserve">. Wszystko po to, </w:t>
      </w:r>
      <w:r>
        <w:rPr>
          <w:sz w:val="20"/>
          <w:szCs w:val="20"/>
        </w:rPr>
        <w:t>by możliwe było oszacowanie</w:t>
      </w:r>
      <w:r w:rsidRPr="00546375">
        <w:rPr>
          <w:sz w:val="20"/>
          <w:szCs w:val="20"/>
        </w:rPr>
        <w:t xml:space="preserve"> wpływu zmian klimatu na </w:t>
      </w:r>
      <w:r>
        <w:rPr>
          <w:sz w:val="20"/>
          <w:szCs w:val="20"/>
        </w:rPr>
        <w:t xml:space="preserve">wartości </w:t>
      </w:r>
      <w:r w:rsidRPr="00546375">
        <w:rPr>
          <w:sz w:val="20"/>
          <w:szCs w:val="20"/>
        </w:rPr>
        <w:t>bilans</w:t>
      </w:r>
      <w:r>
        <w:rPr>
          <w:sz w:val="20"/>
          <w:szCs w:val="20"/>
        </w:rPr>
        <w:t>owe</w:t>
      </w:r>
      <w:r w:rsidRPr="00546375">
        <w:rPr>
          <w:sz w:val="20"/>
          <w:szCs w:val="20"/>
        </w:rPr>
        <w:t xml:space="preserve"> i wyniki finansowe. </w:t>
      </w:r>
    </w:p>
    <w:p w14:paraId="78120578" w14:textId="2387D746" w:rsidR="002F0C10" w:rsidRDefault="00C32A8F" w:rsidP="00E966FE">
      <w:pPr>
        <w:jc w:val="both"/>
        <w:rPr>
          <w:sz w:val="20"/>
          <w:szCs w:val="20"/>
        </w:rPr>
      </w:pPr>
      <w:r>
        <w:rPr>
          <w:sz w:val="20"/>
          <w:szCs w:val="20"/>
        </w:rPr>
        <w:t>Brytyjski regulator</w:t>
      </w:r>
      <w:r w:rsidRPr="00546375">
        <w:rPr>
          <w:sz w:val="20"/>
          <w:szCs w:val="20"/>
        </w:rPr>
        <w:t xml:space="preserve"> przewiduje, że podejście </w:t>
      </w:r>
      <w:r>
        <w:rPr>
          <w:sz w:val="20"/>
          <w:szCs w:val="20"/>
        </w:rPr>
        <w:t>instytucji finansowych</w:t>
      </w:r>
      <w:r w:rsidRPr="00546375">
        <w:rPr>
          <w:sz w:val="20"/>
          <w:szCs w:val="20"/>
        </w:rPr>
        <w:t xml:space="preserve"> do </w:t>
      </w:r>
      <w:r w:rsidR="00382A5E">
        <w:rPr>
          <w:sz w:val="20"/>
          <w:szCs w:val="20"/>
        </w:rPr>
        <w:t>uwzględniania</w:t>
      </w:r>
      <w:r w:rsidR="00382A5E" w:rsidRPr="00546375">
        <w:rPr>
          <w:sz w:val="20"/>
          <w:szCs w:val="20"/>
        </w:rPr>
        <w:t xml:space="preserve"> </w:t>
      </w:r>
      <w:r w:rsidRPr="00546375">
        <w:rPr>
          <w:sz w:val="20"/>
          <w:szCs w:val="20"/>
        </w:rPr>
        <w:t xml:space="preserve">ryzyka klimatycznego </w:t>
      </w:r>
      <w:r w:rsidR="00382A5E">
        <w:rPr>
          <w:sz w:val="20"/>
          <w:szCs w:val="20"/>
        </w:rPr>
        <w:t>w</w:t>
      </w:r>
      <w:r w:rsidR="00382A5E" w:rsidRPr="00546375">
        <w:rPr>
          <w:sz w:val="20"/>
          <w:szCs w:val="20"/>
        </w:rPr>
        <w:t xml:space="preserve"> proces</w:t>
      </w:r>
      <w:r w:rsidR="00382A5E">
        <w:rPr>
          <w:sz w:val="20"/>
          <w:szCs w:val="20"/>
        </w:rPr>
        <w:t>ach</w:t>
      </w:r>
      <w:r w:rsidR="00382A5E" w:rsidRPr="00546375">
        <w:rPr>
          <w:sz w:val="20"/>
          <w:szCs w:val="20"/>
        </w:rPr>
        <w:t xml:space="preserve"> </w:t>
      </w:r>
      <w:r w:rsidRPr="00546375">
        <w:rPr>
          <w:sz w:val="20"/>
          <w:szCs w:val="20"/>
        </w:rPr>
        <w:t xml:space="preserve">sprawozdawczości finansowej będzie </w:t>
      </w:r>
      <w:r w:rsidR="002F0C10">
        <w:rPr>
          <w:sz w:val="20"/>
          <w:szCs w:val="20"/>
        </w:rPr>
        <w:t xml:space="preserve">dalej </w:t>
      </w:r>
      <w:r w:rsidRPr="00546375">
        <w:rPr>
          <w:sz w:val="20"/>
          <w:szCs w:val="20"/>
        </w:rPr>
        <w:t xml:space="preserve">ewoluować przez </w:t>
      </w:r>
      <w:r w:rsidR="002F0C10">
        <w:rPr>
          <w:sz w:val="20"/>
          <w:szCs w:val="20"/>
        </w:rPr>
        <w:t>najbliższe lata</w:t>
      </w:r>
      <w:r w:rsidRPr="00546375">
        <w:rPr>
          <w:sz w:val="20"/>
          <w:szCs w:val="20"/>
        </w:rPr>
        <w:t xml:space="preserve">. </w:t>
      </w:r>
      <w:r w:rsidR="002F0C10">
        <w:rPr>
          <w:sz w:val="20"/>
          <w:szCs w:val="20"/>
        </w:rPr>
        <w:t>Aby było</w:t>
      </w:r>
      <w:r w:rsidR="00BF3574">
        <w:rPr>
          <w:sz w:val="20"/>
          <w:szCs w:val="20"/>
        </w:rPr>
        <w:t xml:space="preserve"> to</w:t>
      </w:r>
      <w:r w:rsidR="002F0C10">
        <w:rPr>
          <w:sz w:val="20"/>
          <w:szCs w:val="20"/>
        </w:rPr>
        <w:t xml:space="preserve"> możliwe, konieczne będzie jednak </w:t>
      </w:r>
      <w:r w:rsidRPr="00546375">
        <w:rPr>
          <w:sz w:val="20"/>
          <w:szCs w:val="20"/>
        </w:rPr>
        <w:t>zastąpieni</w:t>
      </w:r>
      <w:r w:rsidR="002F0C10">
        <w:rPr>
          <w:sz w:val="20"/>
          <w:szCs w:val="20"/>
        </w:rPr>
        <w:t>e</w:t>
      </w:r>
      <w:r w:rsidRPr="00546375">
        <w:rPr>
          <w:sz w:val="20"/>
          <w:szCs w:val="20"/>
        </w:rPr>
        <w:t xml:space="preserve"> ocen jakościowych</w:t>
      </w:r>
      <w:r w:rsidR="002F0C10">
        <w:rPr>
          <w:sz w:val="20"/>
          <w:szCs w:val="20"/>
        </w:rPr>
        <w:t xml:space="preserve">, </w:t>
      </w:r>
      <w:r w:rsidRPr="00546375">
        <w:rPr>
          <w:sz w:val="20"/>
          <w:szCs w:val="20"/>
        </w:rPr>
        <w:t>często przybliżonych</w:t>
      </w:r>
      <w:r w:rsidR="002F0C10">
        <w:rPr>
          <w:sz w:val="20"/>
          <w:szCs w:val="20"/>
        </w:rPr>
        <w:t>,</w:t>
      </w:r>
      <w:r w:rsidRPr="00546375">
        <w:rPr>
          <w:sz w:val="20"/>
          <w:szCs w:val="20"/>
        </w:rPr>
        <w:t xml:space="preserve"> danymi ilościowymi</w:t>
      </w:r>
      <w:r>
        <w:rPr>
          <w:sz w:val="20"/>
          <w:szCs w:val="20"/>
        </w:rPr>
        <w:t>.</w:t>
      </w:r>
      <w:r w:rsidRPr="00546375">
        <w:rPr>
          <w:sz w:val="20"/>
          <w:szCs w:val="20"/>
        </w:rPr>
        <w:t xml:space="preserve"> </w:t>
      </w:r>
      <w:r w:rsidR="002F0C10">
        <w:rPr>
          <w:sz w:val="20"/>
          <w:szCs w:val="20"/>
        </w:rPr>
        <w:t xml:space="preserve">Tych jest na szczęście coraz więcej. </w:t>
      </w:r>
    </w:p>
    <w:p w14:paraId="6C6DD6FA" w14:textId="6F16296F" w:rsidR="002F0C10" w:rsidRDefault="00C32A8F" w:rsidP="002A0379">
      <w:pPr>
        <w:jc w:val="both"/>
        <w:rPr>
          <w:sz w:val="20"/>
          <w:szCs w:val="20"/>
        </w:rPr>
      </w:pPr>
      <w:r>
        <w:rPr>
          <w:sz w:val="20"/>
          <w:szCs w:val="20"/>
        </w:rPr>
        <w:t>Do d</w:t>
      </w:r>
      <w:r w:rsidRPr="00546375">
        <w:rPr>
          <w:sz w:val="20"/>
          <w:szCs w:val="20"/>
        </w:rPr>
        <w:t>alsz</w:t>
      </w:r>
      <w:r>
        <w:rPr>
          <w:sz w:val="20"/>
          <w:szCs w:val="20"/>
        </w:rPr>
        <w:t>ego</w:t>
      </w:r>
      <w:r w:rsidRPr="00546375">
        <w:rPr>
          <w:sz w:val="20"/>
          <w:szCs w:val="20"/>
        </w:rPr>
        <w:t xml:space="preserve"> rozw</w:t>
      </w:r>
      <w:r w:rsidR="003C1BB1">
        <w:rPr>
          <w:sz w:val="20"/>
          <w:szCs w:val="20"/>
        </w:rPr>
        <w:t>o</w:t>
      </w:r>
      <w:r w:rsidR="0024629E">
        <w:rPr>
          <w:sz w:val="20"/>
          <w:szCs w:val="20"/>
        </w:rPr>
        <w:t>ju</w:t>
      </w:r>
      <w:r>
        <w:rPr>
          <w:sz w:val="20"/>
          <w:szCs w:val="20"/>
        </w:rPr>
        <w:t xml:space="preserve"> metod</w:t>
      </w:r>
      <w:r w:rsidR="003C1BB1">
        <w:rPr>
          <w:sz w:val="20"/>
          <w:szCs w:val="20"/>
        </w:rPr>
        <w:t>ologii</w:t>
      </w:r>
      <w:r>
        <w:rPr>
          <w:sz w:val="20"/>
          <w:szCs w:val="20"/>
        </w:rPr>
        <w:t xml:space="preserve"> zarządzania ryzykiem klimatycznym konieczn</w:t>
      </w:r>
      <w:r w:rsidR="002F0C10">
        <w:rPr>
          <w:sz w:val="20"/>
          <w:szCs w:val="20"/>
        </w:rPr>
        <w:t>e będą jeszcze duże nakłady po stronie instytucji finansowych i sporo czasu. Kierunek został już jednak jasno wyznaczony.</w:t>
      </w:r>
    </w:p>
    <w:p w14:paraId="72E9D224" w14:textId="77777777" w:rsidR="002D3A40" w:rsidRDefault="002D3A40" w:rsidP="002D3A40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b/>
          <w:bCs/>
          <w:sz w:val="16"/>
          <w:szCs w:val="16"/>
          <w:lang w:val="pl-PL"/>
        </w:rPr>
      </w:pPr>
    </w:p>
    <w:p w14:paraId="7CA8432B" w14:textId="77777777" w:rsidR="00B364B0" w:rsidRPr="00B364B0" w:rsidRDefault="00B364B0" w:rsidP="00B364B0">
      <w:pPr>
        <w:rPr>
          <w:rFonts w:asciiTheme="majorHAnsi" w:hAnsiTheme="majorHAnsi" w:cstheme="majorHAnsi"/>
          <w:b/>
          <w:bCs/>
          <w:sz w:val="16"/>
          <w:szCs w:val="16"/>
        </w:rPr>
      </w:pPr>
      <w:r w:rsidRPr="00B364B0">
        <w:rPr>
          <w:rFonts w:asciiTheme="majorHAnsi" w:hAnsiTheme="majorHAnsi" w:cstheme="majorHAnsi"/>
          <w:b/>
          <w:bCs/>
          <w:sz w:val="16"/>
          <w:szCs w:val="16"/>
        </w:rPr>
        <w:t xml:space="preserve">O Capgemini Invent </w:t>
      </w:r>
    </w:p>
    <w:p w14:paraId="67E7173B" w14:textId="77777777" w:rsidR="00B364B0" w:rsidRPr="00B364B0" w:rsidRDefault="00B364B0" w:rsidP="00B364B0">
      <w:pPr>
        <w:jc w:val="both"/>
        <w:rPr>
          <w:rFonts w:asciiTheme="majorHAnsi" w:hAnsiTheme="majorHAnsi" w:cstheme="majorHAnsi"/>
          <w:sz w:val="16"/>
          <w:szCs w:val="16"/>
        </w:rPr>
      </w:pPr>
      <w:r w:rsidRPr="00B364B0">
        <w:rPr>
          <w:rFonts w:asciiTheme="majorHAnsi" w:hAnsiTheme="majorHAnsi" w:cstheme="majorHAnsi"/>
          <w:sz w:val="16"/>
          <w:szCs w:val="16"/>
        </w:rPr>
        <w:t>Capgemini Invent to część Grupy Capgemini, specjalizująca się w projektowaniu innowacyjnych transformacji cyfrowych.  Umożliwiamy osobom zarządzającym firmami przewidywanie i kształtowanie przyszłości swoich organizacji. Capgemini Invent działa w prawie 40 studiach i ponad 60 biurach na całym świecie, a nasz zespół składa się z ponad 10 000 ekspertów i ekspertek z dziedzin takich jak strategia, analiza danych, projektowanie produktów i doświadczeń, budowanie marki i technologia. Zespoły technologiczne opracowują nowe usługi cyfrowe, produkty, doświadczenia i modele biznesowe.</w:t>
      </w:r>
    </w:p>
    <w:p w14:paraId="07791F44" w14:textId="77777777" w:rsidR="00B364B0" w:rsidRPr="00B364B0" w:rsidRDefault="00B364B0" w:rsidP="00B364B0">
      <w:pPr>
        <w:jc w:val="both"/>
        <w:rPr>
          <w:rFonts w:asciiTheme="majorHAnsi" w:hAnsiTheme="majorHAnsi" w:cstheme="majorHAnsi"/>
          <w:sz w:val="16"/>
          <w:szCs w:val="16"/>
        </w:rPr>
      </w:pPr>
      <w:r w:rsidRPr="00B364B0">
        <w:rPr>
          <w:rFonts w:asciiTheme="majorHAnsi" w:hAnsiTheme="majorHAnsi" w:cstheme="majorHAnsi"/>
          <w:sz w:val="16"/>
          <w:szCs w:val="16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360 000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2022 roku Grupa odnotowała globalne przychody w wysokości 22 miliardów euro.</w:t>
      </w:r>
    </w:p>
    <w:p w14:paraId="40C35DB5" w14:textId="66DB0509" w:rsidR="00B364B0" w:rsidRPr="00B364B0" w:rsidRDefault="00B364B0" w:rsidP="00B364B0">
      <w:pPr>
        <w:rPr>
          <w:rFonts w:asciiTheme="majorHAnsi" w:hAnsiTheme="majorHAnsi" w:cstheme="majorHAnsi"/>
          <w:sz w:val="16"/>
          <w:szCs w:val="16"/>
          <w:lang w:val="en-GB"/>
        </w:rPr>
      </w:pPr>
      <w:r w:rsidRPr="00B364B0">
        <w:rPr>
          <w:rFonts w:asciiTheme="majorHAnsi" w:hAnsiTheme="majorHAnsi" w:cstheme="majorHAnsi"/>
          <w:sz w:val="16"/>
          <w:szCs w:val="16"/>
          <w:lang w:val="en-GB"/>
        </w:rPr>
        <w:t xml:space="preserve">Get The Future You Want | </w:t>
      </w:r>
      <w:hyperlink r:id="rId10" w:history="1">
        <w:r w:rsidRPr="00B364B0">
          <w:rPr>
            <w:rStyle w:val="Hipercze"/>
            <w:rFonts w:asciiTheme="majorHAnsi" w:hAnsiTheme="majorHAnsi" w:cstheme="majorHAnsi"/>
            <w:sz w:val="16"/>
            <w:szCs w:val="16"/>
            <w:lang w:val="en-GB"/>
          </w:rPr>
          <w:t>www.capgemini.com</w:t>
        </w:r>
      </w:hyperlink>
    </w:p>
    <w:p w14:paraId="6B0F7935" w14:textId="14BD3D9D" w:rsidR="004415C3" w:rsidRPr="00B364B0" w:rsidRDefault="004415C3" w:rsidP="002D3A40">
      <w:pPr>
        <w:jc w:val="both"/>
        <w:rPr>
          <w:rFonts w:eastAsia="Times New Roman" w:cstheme="minorHAnsi"/>
          <w:b/>
          <w:bCs/>
          <w:color w:val="222222"/>
          <w:sz w:val="20"/>
          <w:szCs w:val="20"/>
          <w:lang w:val="en-GB" w:eastAsia="pl-PL"/>
        </w:rPr>
      </w:pPr>
    </w:p>
    <w:sectPr w:rsidR="004415C3" w:rsidRPr="00B364B0" w:rsidSect="004210F9">
      <w:headerReference w:type="default" r:id="rId11"/>
      <w:footerReference w:type="default" r:id="rId12"/>
      <w:pgSz w:w="11906" w:h="16838"/>
      <w:pgMar w:top="1512" w:right="1417" w:bottom="1417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4E53" w14:textId="77777777" w:rsidR="00213B84" w:rsidRDefault="00213B84" w:rsidP="004415C3">
      <w:pPr>
        <w:spacing w:after="0" w:line="240" w:lineRule="auto"/>
      </w:pPr>
      <w:r>
        <w:separator/>
      </w:r>
    </w:p>
  </w:endnote>
  <w:endnote w:type="continuationSeparator" w:id="0">
    <w:p w14:paraId="083F2349" w14:textId="77777777" w:rsidR="00213B84" w:rsidRDefault="00213B84" w:rsidP="004415C3">
      <w:pPr>
        <w:spacing w:after="0" w:line="240" w:lineRule="auto"/>
      </w:pPr>
      <w:r>
        <w:continuationSeparator/>
      </w:r>
    </w:p>
  </w:endnote>
  <w:endnote w:type="continuationNotice" w:id="1">
    <w:p w14:paraId="270BC9D4" w14:textId="77777777" w:rsidR="00213B84" w:rsidRDefault="00213B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AE96" w14:textId="77777777" w:rsidR="004415C3" w:rsidRPr="008F38A4" w:rsidRDefault="004415C3" w:rsidP="004415C3">
    <w:pPr>
      <w:pStyle w:val="Stopka"/>
      <w:rPr>
        <w:i/>
        <w:color w:val="7F7F7F" w:themeColor="text1" w:themeTint="80"/>
        <w:sz w:val="18"/>
        <w:szCs w:val="20"/>
      </w:rPr>
    </w:pPr>
    <w:r w:rsidRPr="008F38A4">
      <w:rPr>
        <w:i/>
        <w:color w:val="7F7F7F" w:themeColor="text1" w:themeTint="80"/>
        <w:sz w:val="18"/>
        <w:szCs w:val="20"/>
      </w:rPr>
      <w:t>Informacja prasowa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F2B2" w14:textId="77777777" w:rsidR="00213B84" w:rsidRDefault="00213B84" w:rsidP="004415C3">
      <w:pPr>
        <w:spacing w:after="0" w:line="240" w:lineRule="auto"/>
      </w:pPr>
      <w:r>
        <w:separator/>
      </w:r>
    </w:p>
  </w:footnote>
  <w:footnote w:type="continuationSeparator" w:id="0">
    <w:p w14:paraId="63BC2106" w14:textId="77777777" w:rsidR="00213B84" w:rsidRDefault="00213B84" w:rsidP="004415C3">
      <w:pPr>
        <w:spacing w:after="0" w:line="240" w:lineRule="auto"/>
      </w:pPr>
      <w:r>
        <w:continuationSeparator/>
      </w:r>
    </w:p>
  </w:footnote>
  <w:footnote w:type="continuationNotice" w:id="1">
    <w:p w14:paraId="5095C153" w14:textId="77777777" w:rsidR="00213B84" w:rsidRDefault="00213B84">
      <w:pPr>
        <w:spacing w:after="0" w:line="240" w:lineRule="auto"/>
      </w:pPr>
    </w:p>
  </w:footnote>
  <w:footnote w:id="2">
    <w:p w14:paraId="2A77234F" w14:textId="77777777" w:rsidR="002F0C10" w:rsidRDefault="002F0C10" w:rsidP="002F0C10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r w:rsidRPr="00167C87">
        <w:t>https://www.bankofengland.co.uk/prudential-regulation/publication/2023/report-on-climate-related-risks-and-the-regulatory-capital-frameworks</w:t>
      </w:r>
    </w:p>
  </w:footnote>
  <w:footnote w:id="3">
    <w:p w14:paraId="3792570E" w14:textId="77777777" w:rsidR="002F0C10" w:rsidRDefault="002F0C10" w:rsidP="002F0C10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r w:rsidRPr="00167C87">
        <w:t>https://www.lexology.com/library/detail.aspx?g=5ca64057-b186-4356-8292-9639f3fd65c7</w:t>
      </w:r>
    </w:p>
  </w:footnote>
  <w:footnote w:id="4">
    <w:p w14:paraId="50D5BB04" w14:textId="77777777" w:rsidR="00824066" w:rsidRDefault="00824066" w:rsidP="00824066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r w:rsidRPr="00BB459F">
        <w:t>https://www.bis.org/bcbs/publ/d502.pdf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79AF" w14:textId="533D2F62" w:rsidR="004415C3" w:rsidRDefault="004415C3">
    <w:pPr>
      <w:pStyle w:val="Nagwek"/>
    </w:pPr>
    <w:r>
      <w:rPr>
        <w:noProof/>
      </w:rPr>
      <w:drawing>
        <wp:inline distT="0" distB="0" distL="0" distR="0" wp14:anchorId="6D4F929F" wp14:editId="20B8DDAB">
          <wp:extent cx="2057400" cy="447675"/>
          <wp:effectExtent l="0" t="0" r="0" b="0"/>
          <wp:docPr id="2" name="Picture 2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690"/>
    <w:multiLevelType w:val="hybridMultilevel"/>
    <w:tmpl w:val="A774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9BD"/>
    <w:multiLevelType w:val="hybridMultilevel"/>
    <w:tmpl w:val="DA4C4022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36627"/>
    <w:multiLevelType w:val="hybridMultilevel"/>
    <w:tmpl w:val="6C265C40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13724"/>
    <w:multiLevelType w:val="hybridMultilevel"/>
    <w:tmpl w:val="375EA250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3C06"/>
    <w:multiLevelType w:val="hybridMultilevel"/>
    <w:tmpl w:val="C860A9D4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E509F"/>
    <w:multiLevelType w:val="hybridMultilevel"/>
    <w:tmpl w:val="75EE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00DF0"/>
    <w:multiLevelType w:val="hybridMultilevel"/>
    <w:tmpl w:val="A6D0F5F4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B4169"/>
    <w:multiLevelType w:val="hybridMultilevel"/>
    <w:tmpl w:val="D7D6E5E2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01592"/>
    <w:multiLevelType w:val="hybridMultilevel"/>
    <w:tmpl w:val="EC145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36EA"/>
    <w:multiLevelType w:val="hybridMultilevel"/>
    <w:tmpl w:val="B52A891E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466686">
    <w:abstractNumId w:val="4"/>
  </w:num>
  <w:num w:numId="2" w16cid:durableId="1503470909">
    <w:abstractNumId w:val="2"/>
  </w:num>
  <w:num w:numId="3" w16cid:durableId="1796824070">
    <w:abstractNumId w:val="0"/>
  </w:num>
  <w:num w:numId="4" w16cid:durableId="1706365123">
    <w:abstractNumId w:val="1"/>
  </w:num>
  <w:num w:numId="5" w16cid:durableId="1622297242">
    <w:abstractNumId w:val="6"/>
  </w:num>
  <w:num w:numId="6" w16cid:durableId="1794404385">
    <w:abstractNumId w:val="9"/>
  </w:num>
  <w:num w:numId="7" w16cid:durableId="98531268">
    <w:abstractNumId w:val="3"/>
  </w:num>
  <w:num w:numId="8" w16cid:durableId="1558202737">
    <w:abstractNumId w:val="5"/>
  </w:num>
  <w:num w:numId="9" w16cid:durableId="885070669">
    <w:abstractNumId w:val="7"/>
  </w:num>
  <w:num w:numId="10" w16cid:durableId="607926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1E"/>
    <w:rsid w:val="00010C6E"/>
    <w:rsid w:val="0001275A"/>
    <w:rsid w:val="00016CDC"/>
    <w:rsid w:val="0002133E"/>
    <w:rsid w:val="0003598D"/>
    <w:rsid w:val="000456D5"/>
    <w:rsid w:val="00051551"/>
    <w:rsid w:val="000539A0"/>
    <w:rsid w:val="0006517C"/>
    <w:rsid w:val="00065450"/>
    <w:rsid w:val="000775E6"/>
    <w:rsid w:val="000819B4"/>
    <w:rsid w:val="00085101"/>
    <w:rsid w:val="000872C3"/>
    <w:rsid w:val="0008736A"/>
    <w:rsid w:val="00093174"/>
    <w:rsid w:val="00097C1B"/>
    <w:rsid w:val="000C5A68"/>
    <w:rsid w:val="000E14B5"/>
    <w:rsid w:val="000E3845"/>
    <w:rsid w:val="000F7A40"/>
    <w:rsid w:val="0010105D"/>
    <w:rsid w:val="00102983"/>
    <w:rsid w:val="001074D1"/>
    <w:rsid w:val="001112AC"/>
    <w:rsid w:val="001157FC"/>
    <w:rsid w:val="00122E8E"/>
    <w:rsid w:val="00124848"/>
    <w:rsid w:val="00126972"/>
    <w:rsid w:val="00132AE0"/>
    <w:rsid w:val="001459C6"/>
    <w:rsid w:val="00152709"/>
    <w:rsid w:val="00152A7F"/>
    <w:rsid w:val="0015730A"/>
    <w:rsid w:val="00164814"/>
    <w:rsid w:val="00167C87"/>
    <w:rsid w:val="001730EF"/>
    <w:rsid w:val="0018306F"/>
    <w:rsid w:val="0019535D"/>
    <w:rsid w:val="001969FB"/>
    <w:rsid w:val="001B6E9D"/>
    <w:rsid w:val="001C7C43"/>
    <w:rsid w:val="001E021F"/>
    <w:rsid w:val="001E43C1"/>
    <w:rsid w:val="001E5D55"/>
    <w:rsid w:val="001F0816"/>
    <w:rsid w:val="001F6163"/>
    <w:rsid w:val="00201881"/>
    <w:rsid w:val="00205B11"/>
    <w:rsid w:val="00207634"/>
    <w:rsid w:val="00213B84"/>
    <w:rsid w:val="002223F0"/>
    <w:rsid w:val="00225FBE"/>
    <w:rsid w:val="002304F1"/>
    <w:rsid w:val="00241A1E"/>
    <w:rsid w:val="0024629E"/>
    <w:rsid w:val="00246B5C"/>
    <w:rsid w:val="002577E0"/>
    <w:rsid w:val="00261B3F"/>
    <w:rsid w:val="00261C26"/>
    <w:rsid w:val="00266007"/>
    <w:rsid w:val="002A0379"/>
    <w:rsid w:val="002A3DDD"/>
    <w:rsid w:val="002B72C0"/>
    <w:rsid w:val="002C382F"/>
    <w:rsid w:val="002D06E1"/>
    <w:rsid w:val="002D1350"/>
    <w:rsid w:val="002D3A40"/>
    <w:rsid w:val="002D69E1"/>
    <w:rsid w:val="002E6125"/>
    <w:rsid w:val="002F031E"/>
    <w:rsid w:val="002F0C10"/>
    <w:rsid w:val="002F2F9B"/>
    <w:rsid w:val="00305445"/>
    <w:rsid w:val="003073D6"/>
    <w:rsid w:val="00331013"/>
    <w:rsid w:val="00343131"/>
    <w:rsid w:val="00345A0B"/>
    <w:rsid w:val="00350F01"/>
    <w:rsid w:val="0036019C"/>
    <w:rsid w:val="00372F53"/>
    <w:rsid w:val="00373AD8"/>
    <w:rsid w:val="00374F91"/>
    <w:rsid w:val="00375153"/>
    <w:rsid w:val="00375815"/>
    <w:rsid w:val="00376BE9"/>
    <w:rsid w:val="00382A5E"/>
    <w:rsid w:val="00382D4F"/>
    <w:rsid w:val="00385DB0"/>
    <w:rsid w:val="003917BE"/>
    <w:rsid w:val="0039262B"/>
    <w:rsid w:val="003B1BA5"/>
    <w:rsid w:val="003B4C43"/>
    <w:rsid w:val="003B7AC5"/>
    <w:rsid w:val="003C1BB1"/>
    <w:rsid w:val="003D1AF6"/>
    <w:rsid w:val="003D346D"/>
    <w:rsid w:val="003E1555"/>
    <w:rsid w:val="003E1560"/>
    <w:rsid w:val="003F12D3"/>
    <w:rsid w:val="003F1C13"/>
    <w:rsid w:val="003F36D4"/>
    <w:rsid w:val="003F75B3"/>
    <w:rsid w:val="004058AD"/>
    <w:rsid w:val="00406897"/>
    <w:rsid w:val="00407B59"/>
    <w:rsid w:val="004153A3"/>
    <w:rsid w:val="004210F9"/>
    <w:rsid w:val="00423DF1"/>
    <w:rsid w:val="00433981"/>
    <w:rsid w:val="00434A1C"/>
    <w:rsid w:val="004415C3"/>
    <w:rsid w:val="00443DDE"/>
    <w:rsid w:val="00446987"/>
    <w:rsid w:val="00455200"/>
    <w:rsid w:val="00472264"/>
    <w:rsid w:val="00476F6D"/>
    <w:rsid w:val="00481D19"/>
    <w:rsid w:val="00492871"/>
    <w:rsid w:val="004937FD"/>
    <w:rsid w:val="00493B22"/>
    <w:rsid w:val="004A1B66"/>
    <w:rsid w:val="004A55B6"/>
    <w:rsid w:val="004B58F0"/>
    <w:rsid w:val="004C4687"/>
    <w:rsid w:val="004C4A6F"/>
    <w:rsid w:val="004D4981"/>
    <w:rsid w:val="004E2326"/>
    <w:rsid w:val="004F016E"/>
    <w:rsid w:val="004F5FD1"/>
    <w:rsid w:val="0050408C"/>
    <w:rsid w:val="00506447"/>
    <w:rsid w:val="00515EB6"/>
    <w:rsid w:val="00517201"/>
    <w:rsid w:val="0051774C"/>
    <w:rsid w:val="00541A4D"/>
    <w:rsid w:val="00543C92"/>
    <w:rsid w:val="00556D34"/>
    <w:rsid w:val="00560AE9"/>
    <w:rsid w:val="00565C94"/>
    <w:rsid w:val="00570678"/>
    <w:rsid w:val="005724CD"/>
    <w:rsid w:val="00576DB5"/>
    <w:rsid w:val="00593863"/>
    <w:rsid w:val="005941D4"/>
    <w:rsid w:val="00596CE7"/>
    <w:rsid w:val="005A0601"/>
    <w:rsid w:val="005B40A2"/>
    <w:rsid w:val="005D1510"/>
    <w:rsid w:val="005D2052"/>
    <w:rsid w:val="005D7AEC"/>
    <w:rsid w:val="005E39BC"/>
    <w:rsid w:val="005F4817"/>
    <w:rsid w:val="00604846"/>
    <w:rsid w:val="0060744C"/>
    <w:rsid w:val="0062272C"/>
    <w:rsid w:val="00633E7E"/>
    <w:rsid w:val="00642232"/>
    <w:rsid w:val="006425CB"/>
    <w:rsid w:val="00646FB9"/>
    <w:rsid w:val="00657230"/>
    <w:rsid w:val="00657F1F"/>
    <w:rsid w:val="00683BFD"/>
    <w:rsid w:val="00686191"/>
    <w:rsid w:val="00686D09"/>
    <w:rsid w:val="006A624D"/>
    <w:rsid w:val="006B6B78"/>
    <w:rsid w:val="006D513C"/>
    <w:rsid w:val="006D7A30"/>
    <w:rsid w:val="006E0B33"/>
    <w:rsid w:val="006E17CC"/>
    <w:rsid w:val="006F1031"/>
    <w:rsid w:val="006F6CC7"/>
    <w:rsid w:val="00700A0C"/>
    <w:rsid w:val="007010F6"/>
    <w:rsid w:val="007122D5"/>
    <w:rsid w:val="00715993"/>
    <w:rsid w:val="00721FDA"/>
    <w:rsid w:val="00726E36"/>
    <w:rsid w:val="00736373"/>
    <w:rsid w:val="007400D7"/>
    <w:rsid w:val="00766ABF"/>
    <w:rsid w:val="007809E4"/>
    <w:rsid w:val="0078141A"/>
    <w:rsid w:val="0079027B"/>
    <w:rsid w:val="007902E8"/>
    <w:rsid w:val="00797F5A"/>
    <w:rsid w:val="007A1F06"/>
    <w:rsid w:val="007A42D1"/>
    <w:rsid w:val="007A7294"/>
    <w:rsid w:val="007A78B2"/>
    <w:rsid w:val="007C2423"/>
    <w:rsid w:val="007C7F0E"/>
    <w:rsid w:val="007D3EA2"/>
    <w:rsid w:val="007D599C"/>
    <w:rsid w:val="007D6A9C"/>
    <w:rsid w:val="007E0D49"/>
    <w:rsid w:val="007E22B3"/>
    <w:rsid w:val="007E3025"/>
    <w:rsid w:val="007F2187"/>
    <w:rsid w:val="007F724C"/>
    <w:rsid w:val="00801273"/>
    <w:rsid w:val="00805892"/>
    <w:rsid w:val="00813ED2"/>
    <w:rsid w:val="00814245"/>
    <w:rsid w:val="00814390"/>
    <w:rsid w:val="00814819"/>
    <w:rsid w:val="008154E8"/>
    <w:rsid w:val="00824066"/>
    <w:rsid w:val="0082406F"/>
    <w:rsid w:val="0084125C"/>
    <w:rsid w:val="0085704C"/>
    <w:rsid w:val="008616B1"/>
    <w:rsid w:val="00870DA5"/>
    <w:rsid w:val="008779AE"/>
    <w:rsid w:val="0089128C"/>
    <w:rsid w:val="0089784F"/>
    <w:rsid w:val="008A6C84"/>
    <w:rsid w:val="008B26A0"/>
    <w:rsid w:val="008B324E"/>
    <w:rsid w:val="008B3462"/>
    <w:rsid w:val="008B3798"/>
    <w:rsid w:val="008B7138"/>
    <w:rsid w:val="008C0871"/>
    <w:rsid w:val="008C33AE"/>
    <w:rsid w:val="008D3E38"/>
    <w:rsid w:val="008D6134"/>
    <w:rsid w:val="00902844"/>
    <w:rsid w:val="00916370"/>
    <w:rsid w:val="009172A7"/>
    <w:rsid w:val="00930F66"/>
    <w:rsid w:val="009324FB"/>
    <w:rsid w:val="009372D7"/>
    <w:rsid w:val="0093794A"/>
    <w:rsid w:val="0094022F"/>
    <w:rsid w:val="00941078"/>
    <w:rsid w:val="00941844"/>
    <w:rsid w:val="00945C6D"/>
    <w:rsid w:val="009524FA"/>
    <w:rsid w:val="00952FCE"/>
    <w:rsid w:val="009707F1"/>
    <w:rsid w:val="009772D6"/>
    <w:rsid w:val="0099296F"/>
    <w:rsid w:val="009956C4"/>
    <w:rsid w:val="009971EA"/>
    <w:rsid w:val="009A1E60"/>
    <w:rsid w:val="009A42C3"/>
    <w:rsid w:val="009B5E4A"/>
    <w:rsid w:val="009D79E2"/>
    <w:rsid w:val="009E4253"/>
    <w:rsid w:val="009F46E5"/>
    <w:rsid w:val="009F58ED"/>
    <w:rsid w:val="00A215A3"/>
    <w:rsid w:val="00A35F40"/>
    <w:rsid w:val="00A451CE"/>
    <w:rsid w:val="00A47FFA"/>
    <w:rsid w:val="00A53D11"/>
    <w:rsid w:val="00A54048"/>
    <w:rsid w:val="00A667FE"/>
    <w:rsid w:val="00A706D1"/>
    <w:rsid w:val="00A71AF4"/>
    <w:rsid w:val="00A779A3"/>
    <w:rsid w:val="00A8590D"/>
    <w:rsid w:val="00A85D2F"/>
    <w:rsid w:val="00AD180A"/>
    <w:rsid w:val="00AD451F"/>
    <w:rsid w:val="00AD7715"/>
    <w:rsid w:val="00AF0B1E"/>
    <w:rsid w:val="00AF147F"/>
    <w:rsid w:val="00AF715E"/>
    <w:rsid w:val="00B06A40"/>
    <w:rsid w:val="00B17259"/>
    <w:rsid w:val="00B32E34"/>
    <w:rsid w:val="00B364B0"/>
    <w:rsid w:val="00B37912"/>
    <w:rsid w:val="00B50680"/>
    <w:rsid w:val="00B55C1E"/>
    <w:rsid w:val="00B60019"/>
    <w:rsid w:val="00B628D0"/>
    <w:rsid w:val="00B647E1"/>
    <w:rsid w:val="00B856F1"/>
    <w:rsid w:val="00B85A16"/>
    <w:rsid w:val="00B94032"/>
    <w:rsid w:val="00BA2DF4"/>
    <w:rsid w:val="00BA5F78"/>
    <w:rsid w:val="00BB3E18"/>
    <w:rsid w:val="00BB4300"/>
    <w:rsid w:val="00BB459F"/>
    <w:rsid w:val="00BC2D8E"/>
    <w:rsid w:val="00BC7600"/>
    <w:rsid w:val="00BF34B3"/>
    <w:rsid w:val="00BF3574"/>
    <w:rsid w:val="00BF5F36"/>
    <w:rsid w:val="00BF74CD"/>
    <w:rsid w:val="00BF7B2C"/>
    <w:rsid w:val="00BF7DF1"/>
    <w:rsid w:val="00C1264C"/>
    <w:rsid w:val="00C22F4C"/>
    <w:rsid w:val="00C32A8F"/>
    <w:rsid w:val="00C34798"/>
    <w:rsid w:val="00C50C53"/>
    <w:rsid w:val="00C77966"/>
    <w:rsid w:val="00C803A7"/>
    <w:rsid w:val="00C86D52"/>
    <w:rsid w:val="00C95600"/>
    <w:rsid w:val="00CA591D"/>
    <w:rsid w:val="00CD66DA"/>
    <w:rsid w:val="00CE0C3E"/>
    <w:rsid w:val="00CE13BF"/>
    <w:rsid w:val="00CE2B1A"/>
    <w:rsid w:val="00CE3364"/>
    <w:rsid w:val="00CE689A"/>
    <w:rsid w:val="00CE77DC"/>
    <w:rsid w:val="00D02EC2"/>
    <w:rsid w:val="00D03D28"/>
    <w:rsid w:val="00D177F4"/>
    <w:rsid w:val="00D310FA"/>
    <w:rsid w:val="00D361E3"/>
    <w:rsid w:val="00D41399"/>
    <w:rsid w:val="00D430D8"/>
    <w:rsid w:val="00D43D09"/>
    <w:rsid w:val="00D51518"/>
    <w:rsid w:val="00D60F3D"/>
    <w:rsid w:val="00D65624"/>
    <w:rsid w:val="00D768C8"/>
    <w:rsid w:val="00D800D9"/>
    <w:rsid w:val="00D815EB"/>
    <w:rsid w:val="00D94992"/>
    <w:rsid w:val="00D961CB"/>
    <w:rsid w:val="00DA24C1"/>
    <w:rsid w:val="00DA2DA6"/>
    <w:rsid w:val="00DA386A"/>
    <w:rsid w:val="00DB5121"/>
    <w:rsid w:val="00DB691F"/>
    <w:rsid w:val="00DB7A64"/>
    <w:rsid w:val="00DC0B1C"/>
    <w:rsid w:val="00DC2E37"/>
    <w:rsid w:val="00DD7CB8"/>
    <w:rsid w:val="00DD7E28"/>
    <w:rsid w:val="00DE153D"/>
    <w:rsid w:val="00DF76F5"/>
    <w:rsid w:val="00E03578"/>
    <w:rsid w:val="00E0630F"/>
    <w:rsid w:val="00E13B78"/>
    <w:rsid w:val="00E164D7"/>
    <w:rsid w:val="00E24D2B"/>
    <w:rsid w:val="00E25838"/>
    <w:rsid w:val="00E30D67"/>
    <w:rsid w:val="00E33F27"/>
    <w:rsid w:val="00E378AB"/>
    <w:rsid w:val="00E40770"/>
    <w:rsid w:val="00E53752"/>
    <w:rsid w:val="00E57169"/>
    <w:rsid w:val="00E6427F"/>
    <w:rsid w:val="00E6440A"/>
    <w:rsid w:val="00E747C3"/>
    <w:rsid w:val="00E804A5"/>
    <w:rsid w:val="00E82F90"/>
    <w:rsid w:val="00E966FE"/>
    <w:rsid w:val="00EA734A"/>
    <w:rsid w:val="00EA75D6"/>
    <w:rsid w:val="00EC062B"/>
    <w:rsid w:val="00EC59DE"/>
    <w:rsid w:val="00ED012D"/>
    <w:rsid w:val="00ED34BD"/>
    <w:rsid w:val="00ED7C0D"/>
    <w:rsid w:val="00EE17E1"/>
    <w:rsid w:val="00EF0CBF"/>
    <w:rsid w:val="00EF218A"/>
    <w:rsid w:val="00F11982"/>
    <w:rsid w:val="00F27647"/>
    <w:rsid w:val="00F47B2F"/>
    <w:rsid w:val="00F50513"/>
    <w:rsid w:val="00F50F89"/>
    <w:rsid w:val="00F519DA"/>
    <w:rsid w:val="00F53124"/>
    <w:rsid w:val="00F56A90"/>
    <w:rsid w:val="00F62340"/>
    <w:rsid w:val="00F70CA1"/>
    <w:rsid w:val="00F7660A"/>
    <w:rsid w:val="00F76942"/>
    <w:rsid w:val="00F778C1"/>
    <w:rsid w:val="00F83CEA"/>
    <w:rsid w:val="00F86F80"/>
    <w:rsid w:val="00F93EF0"/>
    <w:rsid w:val="00F94546"/>
    <w:rsid w:val="00FC1648"/>
    <w:rsid w:val="00FC39F6"/>
    <w:rsid w:val="00FC6D45"/>
    <w:rsid w:val="00FD6E66"/>
    <w:rsid w:val="00FD7026"/>
    <w:rsid w:val="00FD7B60"/>
    <w:rsid w:val="00FE01C3"/>
    <w:rsid w:val="00FE115E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122BE"/>
  <w15:chartTrackingRefBased/>
  <w15:docId w15:val="{AF7C4C4B-5CED-4513-A67C-330828DA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5C3"/>
  </w:style>
  <w:style w:type="paragraph" w:styleId="Stopka">
    <w:name w:val="footer"/>
    <w:basedOn w:val="Normalny"/>
    <w:link w:val="StopkaZnak"/>
    <w:uiPriority w:val="99"/>
    <w:unhideWhenUsed/>
    <w:rsid w:val="0044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415C3"/>
  </w:style>
  <w:style w:type="character" w:customStyle="1" w:styleId="czeinternetowe">
    <w:name w:val="Łącze internetowe"/>
    <w:basedOn w:val="Domylnaczcionkaakapitu"/>
    <w:uiPriority w:val="99"/>
    <w:unhideWhenUsed/>
    <w:rsid w:val="004415C3"/>
    <w:rPr>
      <w:color w:val="0000FF"/>
      <w:u w:val="single"/>
    </w:rPr>
  </w:style>
  <w:style w:type="character" w:customStyle="1" w:styleId="null1">
    <w:name w:val="null1"/>
    <w:basedOn w:val="Domylnaczcionkaakapitu"/>
    <w:qFormat/>
    <w:rsid w:val="004415C3"/>
  </w:style>
  <w:style w:type="paragraph" w:customStyle="1" w:styleId="null">
    <w:name w:val="null"/>
    <w:basedOn w:val="Normalny"/>
    <w:qFormat/>
    <w:rsid w:val="004415C3"/>
    <w:pPr>
      <w:spacing w:beforeAutospacing="1" w:after="0" w:afterAutospacing="1" w:line="240" w:lineRule="auto"/>
    </w:pPr>
    <w:rPr>
      <w:rFonts w:ascii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4F016E"/>
    <w:pPr>
      <w:spacing w:after="0" w:line="240" w:lineRule="auto"/>
      <w:ind w:left="720"/>
    </w:pPr>
    <w:rPr>
      <w:rFonts w:ascii="Calibri" w:hAnsi="Calibri" w:cs="Calibri"/>
      <w:lang w:val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1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1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1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C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C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47E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D6A9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A9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A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A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A9C"/>
    <w:rPr>
      <w:vertAlign w:val="superscript"/>
    </w:rPr>
  </w:style>
  <w:style w:type="character" w:customStyle="1" w:styleId="cf01">
    <w:name w:val="cf01"/>
    <w:basedOn w:val="Domylnaczcionkaakapitu"/>
    <w:rsid w:val="00570678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A7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02EC2"/>
    <w:rPr>
      <w:rFonts w:ascii="Times New Roman" w:hAnsi="Times New Roman" w:cs="Times New Roman"/>
      <w:sz w:val="24"/>
      <w:szCs w:val="24"/>
    </w:rPr>
  </w:style>
  <w:style w:type="character" w:customStyle="1" w:styleId="cf11">
    <w:name w:val="cf11"/>
    <w:basedOn w:val="Domylnaczcionkaakapitu"/>
    <w:rsid w:val="00D177F4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76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3553621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271136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19987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76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162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raszczyk@capgemin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Olga%20Skar&#380;y&#324;ska\AppData\Local\Microsoft\Windows\INetCache\Content.Outlook\9NEFZUWW\www.capgemini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lga%20Skar&#380;y&#324;ska\AppData\Local\Microsoft\Windows\INetCache\Content.Outlook\9NEFZUWW\olga.skarzynska@linkleader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4092-5F48-4596-89BD-BE78D7EA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1750</Words>
  <Characters>7964</Characters>
  <Application>Microsoft Office Word</Application>
  <DocSecurity>0</DocSecurity>
  <Lines>153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9683</CharactersWithSpaces>
  <SharedDoc>false</SharedDoc>
  <HLinks>
    <vt:vector size="18" baseType="variant">
      <vt:variant>
        <vt:i4>5439508</vt:i4>
      </vt:variant>
      <vt:variant>
        <vt:i4>6</vt:i4>
      </vt:variant>
      <vt:variant>
        <vt:i4>0</vt:i4>
      </vt:variant>
      <vt:variant>
        <vt:i4>5</vt:i4>
      </vt:variant>
      <vt:variant>
        <vt:lpwstr>http://www.capgemini.com/</vt:lpwstr>
      </vt:variant>
      <vt:variant>
        <vt:lpwstr/>
      </vt:variant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C:\Users\Olga Skarżyńska\Documents\Capgemini\Informacje prasowe\2023\olga.skarzynska@linkleaders.pl</vt:lpwstr>
      </vt:variant>
      <vt:variant>
        <vt:lpwstr/>
      </vt:variant>
      <vt:variant>
        <vt:i4>6684696</vt:i4>
      </vt:variant>
      <vt:variant>
        <vt:i4>0</vt:i4>
      </vt:variant>
      <vt:variant>
        <vt:i4>0</vt:i4>
      </vt:variant>
      <vt:variant>
        <vt:i4>5</vt:i4>
      </vt:variant>
      <vt:variant>
        <vt:lpwstr>mailto:agnieszka.juraszczyk@capgemini.com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Witkowska</dc:creator>
  <cp:keywords/>
  <dc:description/>
  <cp:lastModifiedBy>L L</cp:lastModifiedBy>
  <cp:revision>2</cp:revision>
  <dcterms:created xsi:type="dcterms:W3CDTF">2023-05-10T12:41:00Z</dcterms:created>
  <dcterms:modified xsi:type="dcterms:W3CDTF">2023-05-10T12:41:00Z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ccf7db75a3f8cdf82e568ce9d2209694482de6678ee7e1b1a71d1bc4cee19cb7</vt:lpwstr>
  </property>
</Properties>
</file>