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A60A" w14:textId="557FC9A9" w:rsidR="00751138" w:rsidRDefault="00063C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Warszawa, </w:t>
      </w:r>
      <w:r w:rsidR="00316D4F">
        <w:rPr>
          <w:sz w:val="24"/>
          <w:szCs w:val="24"/>
        </w:rPr>
        <w:t>0</w:t>
      </w:r>
      <w:r w:rsidR="00F11005">
        <w:rPr>
          <w:sz w:val="24"/>
          <w:szCs w:val="24"/>
        </w:rPr>
        <w:t>5</w:t>
      </w:r>
      <w:r w:rsidR="007B080F">
        <w:rPr>
          <w:sz w:val="24"/>
          <w:szCs w:val="24"/>
        </w:rPr>
        <w:t>.</w:t>
      </w:r>
      <w:r w:rsidR="00EF173E">
        <w:rPr>
          <w:sz w:val="24"/>
          <w:szCs w:val="24"/>
        </w:rPr>
        <w:t>0</w:t>
      </w:r>
      <w:r w:rsidR="00316D4F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EF173E">
        <w:rPr>
          <w:sz w:val="24"/>
          <w:szCs w:val="24"/>
        </w:rPr>
        <w:t>3</w:t>
      </w:r>
    </w:p>
    <w:p w14:paraId="0FF0D171" w14:textId="2C425B33" w:rsidR="00751138" w:rsidRPr="00E5683B" w:rsidRDefault="00063C08" w:rsidP="00E5683B">
      <w:pPr>
        <w:rPr>
          <w:sz w:val="24"/>
          <w:szCs w:val="24"/>
        </w:rPr>
      </w:pPr>
      <w:r>
        <w:rPr>
          <w:sz w:val="24"/>
          <w:szCs w:val="24"/>
        </w:rPr>
        <w:t xml:space="preserve">Informacja prasowa </w:t>
      </w:r>
    </w:p>
    <w:p w14:paraId="4BADF52A" w14:textId="60606B1C" w:rsidR="00673379" w:rsidRPr="005B1914" w:rsidRDefault="0003075C" w:rsidP="0046290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Raport 5G</w:t>
      </w:r>
      <w:r w:rsidR="00462902" w:rsidRPr="005B1914">
        <w:rPr>
          <w:b/>
          <w:bCs/>
          <w:sz w:val="32"/>
          <w:szCs w:val="32"/>
        </w:rPr>
        <w:t>:</w:t>
      </w:r>
      <w:r w:rsidR="003721C9" w:rsidRPr="005B191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Polska szyb</w:t>
      </w:r>
      <w:r w:rsidR="00397078">
        <w:rPr>
          <w:b/>
          <w:bCs/>
          <w:sz w:val="32"/>
          <w:szCs w:val="32"/>
        </w:rPr>
        <w:t>ko</w:t>
      </w:r>
      <w:r>
        <w:rPr>
          <w:b/>
          <w:bCs/>
          <w:sz w:val="32"/>
          <w:szCs w:val="32"/>
        </w:rPr>
        <w:t xml:space="preserve"> poprawia gotowość do wprowadzenia 5G</w:t>
      </w:r>
      <w:r w:rsidR="00332361">
        <w:rPr>
          <w:b/>
          <w:bCs/>
          <w:sz w:val="32"/>
          <w:szCs w:val="32"/>
        </w:rPr>
        <w:t xml:space="preserve">, ale </w:t>
      </w:r>
      <w:r w:rsidR="00DD4C96">
        <w:rPr>
          <w:b/>
          <w:bCs/>
          <w:sz w:val="32"/>
          <w:szCs w:val="32"/>
        </w:rPr>
        <w:t>przed nami jeszcze dużo</w:t>
      </w:r>
      <w:r w:rsidR="00332361">
        <w:rPr>
          <w:b/>
          <w:bCs/>
          <w:sz w:val="32"/>
          <w:szCs w:val="32"/>
        </w:rPr>
        <w:t xml:space="preserve"> przygotowa</w:t>
      </w:r>
      <w:r w:rsidR="00DD4C96">
        <w:rPr>
          <w:b/>
          <w:bCs/>
          <w:sz w:val="32"/>
          <w:szCs w:val="32"/>
        </w:rPr>
        <w:t>ń</w:t>
      </w:r>
      <w:r>
        <w:rPr>
          <w:b/>
          <w:bCs/>
          <w:sz w:val="32"/>
          <w:szCs w:val="32"/>
        </w:rPr>
        <w:t xml:space="preserve"> </w:t>
      </w:r>
      <w:r w:rsidR="002A3FA1">
        <w:rPr>
          <w:b/>
          <w:bCs/>
          <w:sz w:val="32"/>
          <w:szCs w:val="32"/>
        </w:rPr>
        <w:t xml:space="preserve">  </w:t>
      </w:r>
    </w:p>
    <w:p w14:paraId="4E8C2E67" w14:textId="64BD462B" w:rsidR="007F6988" w:rsidRDefault="0003075C" w:rsidP="007F6988">
      <w:pPr>
        <w:jc w:val="both"/>
        <w:rPr>
          <w:b/>
          <w:bCs/>
        </w:rPr>
      </w:pPr>
      <w:r>
        <w:rPr>
          <w:b/>
          <w:bCs/>
        </w:rPr>
        <w:t xml:space="preserve">Polska jest jednym z krajów </w:t>
      </w:r>
      <w:r w:rsidR="00B449C6">
        <w:rPr>
          <w:b/>
          <w:bCs/>
        </w:rPr>
        <w:t xml:space="preserve">o </w:t>
      </w:r>
      <w:r>
        <w:rPr>
          <w:b/>
          <w:bCs/>
        </w:rPr>
        <w:t>najszybciej</w:t>
      </w:r>
      <w:r w:rsidR="00B449C6">
        <w:rPr>
          <w:b/>
          <w:bCs/>
        </w:rPr>
        <w:t xml:space="preserve"> wzrastającej gotowości</w:t>
      </w:r>
      <w:r>
        <w:rPr>
          <w:b/>
          <w:bCs/>
        </w:rPr>
        <w:t xml:space="preserve"> do wprowadzenia 5G – wynika z najnowszego raportu </w:t>
      </w:r>
      <w:proofErr w:type="spellStart"/>
      <w:r>
        <w:rPr>
          <w:b/>
          <w:bCs/>
        </w:rPr>
        <w:t>Kearney</w:t>
      </w:r>
      <w:proofErr w:type="spellEnd"/>
      <w:r>
        <w:rPr>
          <w:b/>
          <w:bCs/>
        </w:rPr>
        <w:t xml:space="preserve"> „</w:t>
      </w:r>
      <w:r w:rsidR="0056468B">
        <w:rPr>
          <w:b/>
          <w:bCs/>
        </w:rPr>
        <w:t xml:space="preserve">2023 </w:t>
      </w:r>
      <w:r w:rsidR="00CF597D">
        <w:rPr>
          <w:b/>
          <w:bCs/>
        </w:rPr>
        <w:t xml:space="preserve">5G Readiness Index”. </w:t>
      </w:r>
      <w:r>
        <w:rPr>
          <w:b/>
          <w:bCs/>
        </w:rPr>
        <w:t xml:space="preserve">W ciągu roku poprawiła </w:t>
      </w:r>
      <w:r w:rsidR="00B449C6">
        <w:rPr>
          <w:b/>
          <w:bCs/>
        </w:rPr>
        <w:t xml:space="preserve">penetrację 5G </w:t>
      </w:r>
      <w:r>
        <w:rPr>
          <w:b/>
          <w:bCs/>
        </w:rPr>
        <w:t xml:space="preserve">aż trzykrotnie, jednak </w:t>
      </w:r>
      <w:r w:rsidR="00CF597D">
        <w:rPr>
          <w:b/>
          <w:bCs/>
        </w:rPr>
        <w:t xml:space="preserve">w rankingu </w:t>
      </w:r>
      <w:r w:rsidR="00397078">
        <w:rPr>
          <w:b/>
          <w:bCs/>
        </w:rPr>
        <w:t xml:space="preserve">nadal </w:t>
      </w:r>
      <w:r w:rsidR="00CF597D">
        <w:rPr>
          <w:b/>
          <w:bCs/>
        </w:rPr>
        <w:t>pozostaje</w:t>
      </w:r>
      <w:r w:rsidR="00B449C6">
        <w:rPr>
          <w:b/>
          <w:bCs/>
        </w:rPr>
        <w:t xml:space="preserve"> za większością krajów europejskich</w:t>
      </w:r>
      <w:r w:rsidR="00CF597D">
        <w:rPr>
          <w:b/>
          <w:bCs/>
        </w:rPr>
        <w:t xml:space="preserve">. Nadchodząca </w:t>
      </w:r>
      <w:r w:rsidR="00332361">
        <w:rPr>
          <w:b/>
          <w:bCs/>
        </w:rPr>
        <w:t>licytacja</w:t>
      </w:r>
      <w:r w:rsidR="00CF597D">
        <w:rPr>
          <w:b/>
          <w:bCs/>
        </w:rPr>
        <w:t xml:space="preserve"> na </w:t>
      </w:r>
      <w:r w:rsidR="00397078" w:rsidRPr="00397078">
        <w:rPr>
          <w:b/>
          <w:bCs/>
        </w:rPr>
        <w:t>częstotliwości 5G</w:t>
      </w:r>
      <w:r w:rsidR="00397078">
        <w:rPr>
          <w:b/>
          <w:bCs/>
        </w:rPr>
        <w:t xml:space="preserve"> </w:t>
      </w:r>
      <w:r w:rsidR="00FB42FB">
        <w:rPr>
          <w:b/>
          <w:bCs/>
        </w:rPr>
        <w:t xml:space="preserve">umożliwi nam </w:t>
      </w:r>
      <w:r w:rsidR="00397078">
        <w:rPr>
          <w:b/>
          <w:bCs/>
        </w:rPr>
        <w:t xml:space="preserve">zrobienie </w:t>
      </w:r>
      <w:r w:rsidR="00DD4C96">
        <w:rPr>
          <w:b/>
          <w:bCs/>
        </w:rPr>
        <w:t xml:space="preserve">bardziej </w:t>
      </w:r>
      <w:r w:rsidR="00F11005">
        <w:rPr>
          <w:b/>
          <w:bCs/>
        </w:rPr>
        <w:t>znaczącego i jakościowego</w:t>
      </w:r>
      <w:r w:rsidR="00DD4C96">
        <w:rPr>
          <w:b/>
          <w:bCs/>
        </w:rPr>
        <w:t xml:space="preserve"> </w:t>
      </w:r>
      <w:r w:rsidR="00397078">
        <w:rPr>
          <w:b/>
          <w:bCs/>
        </w:rPr>
        <w:t xml:space="preserve">postępu. </w:t>
      </w:r>
      <w:r w:rsidR="00397078" w:rsidRPr="00397078">
        <w:rPr>
          <w:b/>
          <w:bCs/>
        </w:rPr>
        <w:t>Wyłonieni operatorzy</w:t>
      </w:r>
      <w:r w:rsidR="00C86780">
        <w:rPr>
          <w:b/>
          <w:bCs/>
        </w:rPr>
        <w:t>,</w:t>
      </w:r>
      <w:r w:rsidR="00397078" w:rsidRPr="00397078">
        <w:rPr>
          <w:b/>
          <w:bCs/>
        </w:rPr>
        <w:t xml:space="preserve"> zgodnie z wymaganiami postępowania</w:t>
      </w:r>
      <w:r w:rsidR="00C86780">
        <w:rPr>
          <w:b/>
          <w:bCs/>
        </w:rPr>
        <w:t>,</w:t>
      </w:r>
      <w:r w:rsidR="00397078" w:rsidRPr="00397078">
        <w:rPr>
          <w:b/>
          <w:bCs/>
        </w:rPr>
        <w:t xml:space="preserve"> muszą</w:t>
      </w:r>
      <w:r w:rsidR="0056468B">
        <w:rPr>
          <w:b/>
          <w:bCs/>
        </w:rPr>
        <w:t xml:space="preserve"> w</w:t>
      </w:r>
      <w:r w:rsidR="00397078" w:rsidRPr="00397078">
        <w:rPr>
          <w:b/>
          <w:bCs/>
        </w:rPr>
        <w:t xml:space="preserve"> </w:t>
      </w:r>
      <w:r w:rsidR="00124F89">
        <w:rPr>
          <w:b/>
          <w:bCs/>
        </w:rPr>
        <w:t xml:space="preserve">większym stopniu </w:t>
      </w:r>
      <w:r w:rsidR="00124F89" w:rsidRPr="00124F89">
        <w:rPr>
          <w:b/>
          <w:bCs/>
        </w:rPr>
        <w:t>umożliwić korzystanie z sieci nowej generacji</w:t>
      </w:r>
      <w:r w:rsidR="00124F89">
        <w:rPr>
          <w:b/>
          <w:bCs/>
        </w:rPr>
        <w:t xml:space="preserve">. Jak wpłynie to na dalszy rozwój </w:t>
      </w:r>
      <w:r w:rsidR="0056468B">
        <w:rPr>
          <w:b/>
          <w:bCs/>
        </w:rPr>
        <w:t>5G</w:t>
      </w:r>
      <w:r w:rsidR="00FB42FB">
        <w:rPr>
          <w:b/>
          <w:bCs/>
        </w:rPr>
        <w:t xml:space="preserve"> w Polsce</w:t>
      </w:r>
      <w:r w:rsidR="00124F89">
        <w:rPr>
          <w:b/>
          <w:bCs/>
        </w:rPr>
        <w:t xml:space="preserve"> i jakie działania mogą przynieść największy zysk?  </w:t>
      </w:r>
    </w:p>
    <w:p w14:paraId="72C602FA" w14:textId="6271ACDB" w:rsidR="009C2E6B" w:rsidRDefault="00FB42FB" w:rsidP="00462902">
      <w:pPr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Zgodnie z najnowszymi danymi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Kearney</w:t>
      </w:r>
      <w:proofErr w:type="spellEnd"/>
      <w:r w:rsidR="00534172">
        <w:rPr>
          <w:rStyle w:val="cf01"/>
          <w:rFonts w:asciiTheme="minorHAnsi" w:hAnsiTheme="minorHAnsi" w:cstheme="minorHAnsi"/>
          <w:sz w:val="22"/>
          <w:szCs w:val="22"/>
        </w:rPr>
        <w:t xml:space="preserve"> Polska, Belgia i Hiszpania 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 xml:space="preserve">zrobiły największy postęp w przygotowaniach </w:t>
      </w:r>
      <w:r w:rsidR="00534172">
        <w:rPr>
          <w:rStyle w:val="cf01"/>
          <w:rFonts w:asciiTheme="minorHAnsi" w:hAnsiTheme="minorHAnsi" w:cstheme="minorHAnsi"/>
          <w:sz w:val="22"/>
          <w:szCs w:val="22"/>
        </w:rPr>
        <w:t xml:space="preserve">do wprowadzenia 5G względem poprzedniego roku. Potroiliśmy swoją 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>penetrację 5G</w:t>
      </w:r>
      <w:r w:rsidR="00534172">
        <w:rPr>
          <w:rStyle w:val="cf01"/>
          <w:rFonts w:asciiTheme="minorHAnsi" w:hAnsiTheme="minorHAnsi" w:cstheme="minorHAnsi"/>
          <w:sz w:val="22"/>
          <w:szCs w:val="22"/>
        </w:rPr>
        <w:t xml:space="preserve">, wyprzedając 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 xml:space="preserve">w gotowości na nową technologię </w:t>
      </w:r>
      <w:r w:rsidR="00534172">
        <w:rPr>
          <w:rStyle w:val="cf01"/>
          <w:rFonts w:asciiTheme="minorHAnsi" w:hAnsiTheme="minorHAnsi" w:cstheme="minorHAnsi"/>
          <w:sz w:val="22"/>
          <w:szCs w:val="22"/>
        </w:rPr>
        <w:t>Rumunię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 xml:space="preserve"> i </w:t>
      </w:r>
      <w:r w:rsidR="00534172">
        <w:rPr>
          <w:rStyle w:val="cf01"/>
          <w:rFonts w:asciiTheme="minorHAnsi" w:hAnsiTheme="minorHAnsi" w:cstheme="minorHAnsi"/>
          <w:sz w:val="22"/>
          <w:szCs w:val="22"/>
        </w:rPr>
        <w:t xml:space="preserve">Meksyk. Jednak wciąż pozostajemy w tyle w stosunku do innych krajów europejskich. Wyprzedza nas m.in. Francja, 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>Belgia</w:t>
      </w:r>
      <w:r w:rsidR="00534172">
        <w:rPr>
          <w:rStyle w:val="cf01"/>
          <w:rFonts w:asciiTheme="minorHAnsi" w:hAnsiTheme="minorHAnsi" w:cstheme="minorHAnsi"/>
          <w:sz w:val="22"/>
          <w:szCs w:val="22"/>
        </w:rPr>
        <w:t xml:space="preserve"> czy Czechy. </w:t>
      </w:r>
      <w:r w:rsidR="009C2E6B">
        <w:rPr>
          <w:rStyle w:val="cf01"/>
          <w:rFonts w:asciiTheme="minorHAnsi" w:hAnsiTheme="minorHAnsi" w:cstheme="minorHAnsi"/>
          <w:sz w:val="22"/>
          <w:szCs w:val="22"/>
        </w:rPr>
        <w:t xml:space="preserve">W związku z aukcją 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>na cztery rezerwacje częstotliwości z pasma 3,6 GHz (</w:t>
      </w:r>
      <w:r w:rsidR="000B7FCF">
        <w:rPr>
          <w:rStyle w:val="cf01"/>
          <w:rFonts w:asciiTheme="minorHAnsi" w:hAnsiTheme="minorHAnsi" w:cstheme="minorHAnsi"/>
          <w:sz w:val="22"/>
          <w:szCs w:val="22"/>
        </w:rPr>
        <w:t xml:space="preserve">zakres 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>3400 – 3800 MHz)</w:t>
      </w:r>
      <w:r w:rsidR="009C2E6B">
        <w:rPr>
          <w:rStyle w:val="cf01"/>
          <w:rFonts w:asciiTheme="minorHAnsi" w:hAnsiTheme="minorHAnsi" w:cstheme="minorHAnsi"/>
          <w:sz w:val="22"/>
          <w:szCs w:val="22"/>
        </w:rPr>
        <w:t xml:space="preserve"> mamy szansę </w:t>
      </w:r>
      <w:r w:rsidR="00F11005">
        <w:rPr>
          <w:rStyle w:val="cf01"/>
          <w:rFonts w:asciiTheme="minorHAnsi" w:hAnsiTheme="minorHAnsi" w:cstheme="minorHAnsi"/>
          <w:sz w:val="22"/>
          <w:szCs w:val="22"/>
        </w:rPr>
        <w:t>na zrobienie ważnego kroku</w:t>
      </w:r>
      <w:r w:rsidR="009C2E6B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F11005">
        <w:rPr>
          <w:rStyle w:val="cf01"/>
          <w:rFonts w:asciiTheme="minorHAnsi" w:hAnsiTheme="minorHAnsi" w:cstheme="minorHAnsi"/>
          <w:sz w:val="22"/>
          <w:szCs w:val="22"/>
        </w:rPr>
        <w:t>W sierpniu</w:t>
      </w:r>
      <w:r w:rsidR="009C2E6B">
        <w:rPr>
          <w:rStyle w:val="cf01"/>
          <w:rFonts w:asciiTheme="minorHAnsi" w:hAnsiTheme="minorHAnsi" w:cstheme="minorHAnsi"/>
          <w:sz w:val="22"/>
          <w:szCs w:val="22"/>
        </w:rPr>
        <w:t xml:space="preserve"> zakończyło się zgłaszanie wstępnych ofert i zbliża się licytacja, dzięki której zostaną wyłonieni 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>operatorzy</w:t>
      </w:r>
      <w:r w:rsidR="009C2E6B">
        <w:rPr>
          <w:rStyle w:val="cf01"/>
          <w:rFonts w:asciiTheme="minorHAnsi" w:hAnsiTheme="minorHAnsi" w:cstheme="minorHAnsi"/>
          <w:sz w:val="22"/>
          <w:szCs w:val="22"/>
        </w:rPr>
        <w:t xml:space="preserve">. W ciągu 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 xml:space="preserve">4 lat </w:t>
      </w:r>
      <w:r w:rsidR="009C2E6B">
        <w:rPr>
          <w:rStyle w:val="cf01"/>
          <w:rFonts w:asciiTheme="minorHAnsi" w:hAnsiTheme="minorHAnsi" w:cstheme="minorHAnsi"/>
          <w:sz w:val="22"/>
          <w:szCs w:val="22"/>
        </w:rPr>
        <w:t xml:space="preserve">będą musieli 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>uruchomić 3,8 tys. stacji bazowych</w:t>
      </w:r>
      <w:r w:rsidR="009325EA">
        <w:rPr>
          <w:rStyle w:val="cf01"/>
          <w:rFonts w:asciiTheme="minorHAnsi" w:hAnsiTheme="minorHAnsi" w:cstheme="minorHAnsi"/>
          <w:sz w:val="22"/>
          <w:szCs w:val="22"/>
        </w:rPr>
        <w:t>, a po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 xml:space="preserve"> 5 latach 90 proc. </w:t>
      </w:r>
      <w:r w:rsidR="000B7FCF">
        <w:rPr>
          <w:rStyle w:val="cf01"/>
          <w:rFonts w:asciiTheme="minorHAnsi" w:hAnsiTheme="minorHAnsi" w:cstheme="minorHAnsi"/>
          <w:sz w:val="22"/>
          <w:szCs w:val="22"/>
        </w:rPr>
        <w:t>o</w:t>
      </w:r>
      <w:r w:rsidR="00DD4C96">
        <w:rPr>
          <w:rStyle w:val="cf01"/>
          <w:rFonts w:asciiTheme="minorHAnsi" w:hAnsiTheme="minorHAnsi" w:cstheme="minorHAnsi"/>
          <w:sz w:val="22"/>
          <w:szCs w:val="22"/>
        </w:rPr>
        <w:t xml:space="preserve">bszaru 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 xml:space="preserve">kraju </w:t>
      </w:r>
      <w:r w:rsidR="009325EA">
        <w:rPr>
          <w:rStyle w:val="cf01"/>
          <w:rFonts w:asciiTheme="minorHAnsi" w:hAnsiTheme="minorHAnsi" w:cstheme="minorHAnsi"/>
          <w:sz w:val="22"/>
          <w:szCs w:val="22"/>
        </w:rPr>
        <w:t>powinno</w:t>
      </w:r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 xml:space="preserve"> znaleźć się w zasięgu szybkiej sieci o przepustowości 95 </w:t>
      </w:r>
      <w:proofErr w:type="spellStart"/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>Mb</w:t>
      </w:r>
      <w:proofErr w:type="spellEnd"/>
      <w:r w:rsidR="009C2E6B" w:rsidRPr="009C2E6B">
        <w:rPr>
          <w:rStyle w:val="cf01"/>
          <w:rFonts w:asciiTheme="minorHAnsi" w:hAnsiTheme="minorHAnsi" w:cstheme="minorHAnsi"/>
          <w:sz w:val="22"/>
          <w:szCs w:val="22"/>
        </w:rPr>
        <w:t>/s.</w:t>
      </w:r>
      <w:r w:rsidR="009325EA">
        <w:rPr>
          <w:rStyle w:val="cf01"/>
          <w:rFonts w:asciiTheme="minorHAnsi" w:hAnsiTheme="minorHAnsi" w:cstheme="minorHAnsi"/>
          <w:sz w:val="22"/>
          <w:szCs w:val="22"/>
        </w:rPr>
        <w:t xml:space="preserve"> Jednak największy rozwój może nastąpić dzięki wykonywaniu zdecydowanych, innowacyjnych działań opartych na współpracy, nowych modelach biznesowych oraz przyśpiesz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 xml:space="preserve">eniu </w:t>
      </w:r>
      <w:r w:rsidR="009325EA">
        <w:rPr>
          <w:rStyle w:val="cf01"/>
          <w:rFonts w:asciiTheme="minorHAnsi" w:hAnsiTheme="minorHAnsi" w:cstheme="minorHAnsi"/>
          <w:sz w:val="22"/>
          <w:szCs w:val="22"/>
        </w:rPr>
        <w:t>proces</w:t>
      </w:r>
      <w:r w:rsidR="00B449C6">
        <w:rPr>
          <w:rStyle w:val="cf01"/>
          <w:rFonts w:asciiTheme="minorHAnsi" w:hAnsiTheme="minorHAnsi" w:cstheme="minorHAnsi"/>
          <w:sz w:val="22"/>
          <w:szCs w:val="22"/>
        </w:rPr>
        <w:t>u</w:t>
      </w:r>
      <w:r w:rsidR="009325E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25EA">
        <w:rPr>
          <w:rStyle w:val="cf01"/>
          <w:rFonts w:asciiTheme="minorHAnsi" w:hAnsiTheme="minorHAnsi" w:cstheme="minorHAnsi"/>
          <w:sz w:val="22"/>
          <w:szCs w:val="22"/>
        </w:rPr>
        <w:t>monetyzacji</w:t>
      </w:r>
      <w:proofErr w:type="spellEnd"/>
      <w:r w:rsidR="009325EA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14:paraId="132F6C99" w14:textId="090EF147" w:rsidR="004001B6" w:rsidRPr="004001B6" w:rsidRDefault="00124F89" w:rsidP="004001B6">
      <w:pPr>
        <w:jc w:val="both"/>
        <w:rPr>
          <w:b/>
          <w:bCs/>
        </w:rPr>
      </w:pPr>
      <w:r>
        <w:rPr>
          <w:b/>
          <w:bCs/>
        </w:rPr>
        <w:t>Zmiany w gotowości do wprowadzenia 5G</w:t>
      </w:r>
    </w:p>
    <w:p w14:paraId="3BDC772F" w14:textId="673426DF" w:rsidR="002105C3" w:rsidRDefault="002105C3" w:rsidP="009325EA">
      <w:pPr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2105C3">
        <w:rPr>
          <w:rStyle w:val="cf01"/>
          <w:rFonts w:asciiTheme="minorHAnsi" w:hAnsiTheme="minorHAnsi" w:cstheme="minorHAnsi"/>
          <w:sz w:val="22"/>
          <w:szCs w:val="22"/>
        </w:rPr>
        <w:t>Edycja Indeksu z 2023 r</w:t>
      </w:r>
      <w:r>
        <w:rPr>
          <w:rStyle w:val="cf01"/>
          <w:rFonts w:asciiTheme="minorHAnsi" w:hAnsiTheme="minorHAnsi" w:cstheme="minorHAnsi"/>
          <w:sz w:val="22"/>
          <w:szCs w:val="22"/>
        </w:rPr>
        <w:t>oku</w:t>
      </w:r>
      <w:r w:rsidRPr="002105C3">
        <w:rPr>
          <w:rStyle w:val="cf01"/>
          <w:rFonts w:asciiTheme="minorHAnsi" w:hAnsiTheme="minorHAnsi" w:cstheme="minorHAnsi"/>
          <w:sz w:val="22"/>
          <w:szCs w:val="22"/>
        </w:rPr>
        <w:t xml:space="preserve"> wykazała, że każdy uwzględniony kraj odnotował wzrost stopnia gotowości, </w:t>
      </w:r>
      <w:r w:rsidR="000850FB">
        <w:rPr>
          <w:rStyle w:val="cf01"/>
          <w:rFonts w:asciiTheme="minorHAnsi" w:hAnsiTheme="minorHAnsi" w:cstheme="minorHAnsi"/>
          <w:sz w:val="22"/>
          <w:szCs w:val="22"/>
        </w:rPr>
        <w:t>a regiony</w:t>
      </w:r>
      <w:r w:rsidRPr="002105C3">
        <w:rPr>
          <w:rStyle w:val="cf01"/>
          <w:rFonts w:asciiTheme="minorHAnsi" w:hAnsiTheme="minorHAnsi" w:cstheme="minorHAnsi"/>
          <w:sz w:val="22"/>
          <w:szCs w:val="22"/>
        </w:rPr>
        <w:t xml:space="preserve"> utrzymały swoją pozycję</w:t>
      </w:r>
      <w:r w:rsidR="0056468B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Pr="002105C3">
        <w:rPr>
          <w:rStyle w:val="cf01"/>
          <w:rFonts w:asciiTheme="minorHAnsi" w:hAnsiTheme="minorHAnsi" w:cstheme="minorHAnsi"/>
          <w:sz w:val="22"/>
          <w:szCs w:val="22"/>
        </w:rPr>
        <w:t xml:space="preserve">Stany Zjednoczone, </w:t>
      </w:r>
      <w:r w:rsidR="0056468B">
        <w:rPr>
          <w:rStyle w:val="cf01"/>
          <w:rFonts w:asciiTheme="minorHAnsi" w:hAnsiTheme="minorHAnsi" w:cstheme="minorHAnsi"/>
          <w:sz w:val="22"/>
          <w:szCs w:val="22"/>
        </w:rPr>
        <w:t xml:space="preserve">rozwinięte państwa azjatyckie </w:t>
      </w:r>
      <w:r w:rsidRPr="002105C3">
        <w:rPr>
          <w:rStyle w:val="cf01"/>
          <w:rFonts w:asciiTheme="minorHAnsi" w:hAnsiTheme="minorHAnsi" w:cstheme="minorHAnsi"/>
          <w:sz w:val="22"/>
          <w:szCs w:val="22"/>
        </w:rPr>
        <w:t>i kilka krajów Europy Północnej przewodzą, Europa Zachodnia i Bliski Wschód znajdują się pośrodku</w:t>
      </w:r>
      <w:r w:rsidR="0056468B">
        <w:rPr>
          <w:rStyle w:val="cf01"/>
          <w:rFonts w:asciiTheme="minorHAnsi" w:hAnsiTheme="minorHAnsi" w:cstheme="minorHAnsi"/>
          <w:sz w:val="22"/>
          <w:szCs w:val="22"/>
        </w:rPr>
        <w:t xml:space="preserve"> rankingu. Natomiast najwolniejszy postęp odnotowały rozwijające się kraje azjatyckie </w:t>
      </w:r>
      <w:r w:rsidRPr="002105C3">
        <w:rPr>
          <w:rStyle w:val="cf01"/>
          <w:rFonts w:asciiTheme="minorHAnsi" w:hAnsiTheme="minorHAnsi" w:cstheme="minorHAnsi"/>
          <w:sz w:val="22"/>
          <w:szCs w:val="22"/>
        </w:rPr>
        <w:t>i Europa Wschodnia</w:t>
      </w:r>
      <w:r w:rsidR="0056468B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</w:p>
    <w:p w14:paraId="3C711819" w14:textId="454957D1" w:rsidR="00EF26E0" w:rsidRDefault="00EF26E0" w:rsidP="00CD7F4D">
      <w:pPr>
        <w:jc w:val="both"/>
      </w:pPr>
      <w:r>
        <w:rPr>
          <w:noProof/>
        </w:rPr>
        <w:drawing>
          <wp:inline distT="0" distB="0" distL="0" distR="0" wp14:anchorId="52FD72B9" wp14:editId="0972949C">
            <wp:extent cx="5215255" cy="2500437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187" cy="2510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B3355" w14:textId="0C955E0D" w:rsidR="00534172" w:rsidRPr="00534172" w:rsidRDefault="00534172" w:rsidP="00CD7F4D">
      <w:pPr>
        <w:jc w:val="both"/>
        <w:rPr>
          <w:i/>
          <w:iCs/>
        </w:rPr>
      </w:pPr>
      <w:proofErr w:type="spellStart"/>
      <w:r w:rsidRPr="00534172">
        <w:rPr>
          <w:i/>
          <w:iCs/>
        </w:rPr>
        <w:t>Kearney</w:t>
      </w:r>
      <w:proofErr w:type="spellEnd"/>
      <w:r w:rsidRPr="00534172">
        <w:rPr>
          <w:i/>
          <w:iCs/>
        </w:rPr>
        <w:t>, 2023 5G Readiness Index</w:t>
      </w:r>
    </w:p>
    <w:p w14:paraId="5F8103AA" w14:textId="77777777" w:rsidR="000850FB" w:rsidRDefault="000850FB" w:rsidP="000850FB">
      <w:pPr>
        <w:jc w:val="both"/>
      </w:pPr>
    </w:p>
    <w:p w14:paraId="0E0120C3" w14:textId="2ACF3B62" w:rsidR="00332361" w:rsidRDefault="00332361" w:rsidP="00332361">
      <w:pPr>
        <w:jc w:val="both"/>
      </w:pPr>
      <w:r>
        <w:t>Wyniki są wyższe, ponieważ kraje dysponują coraz większą penetracją</w:t>
      </w:r>
      <w:r w:rsidR="0056468B">
        <w:t xml:space="preserve"> i operatorzy </w:t>
      </w:r>
      <w:r>
        <w:t>uruchamia</w:t>
      </w:r>
      <w:r w:rsidR="0056468B">
        <w:t>ją</w:t>
      </w:r>
      <w:r>
        <w:t xml:space="preserve"> samodzielne sieci, a jest to kluczowym czynnikiem umożliwiającym innowację. Siedemnaście krajów ma obecnie co najmniej jednego operatora z samodzielnym rdzeniem w porównaniu z 11 w zeszłym roku. Nie nastąpił jednak duży wzrost liczby połączeń ani przyśpieszenia ruchu </w:t>
      </w:r>
      <w:r w:rsidRPr="000850FB">
        <w:t xml:space="preserve">w </w:t>
      </w:r>
      <w:proofErr w:type="spellStart"/>
      <w:r w:rsidRPr="000850FB">
        <w:t>mmWave</w:t>
      </w:r>
      <w:proofErr w:type="spellEnd"/>
      <w:r w:rsidRPr="000850FB">
        <w:t xml:space="preserve">, co </w:t>
      </w:r>
      <w:r>
        <w:t>sprawia, że</w:t>
      </w:r>
      <w:r w:rsidRPr="000850FB">
        <w:t xml:space="preserve"> wprowadzanie kompatybilnych urządzeń</w:t>
      </w:r>
      <w:r>
        <w:t xml:space="preserve"> jest nadal powolne</w:t>
      </w:r>
      <w:r w:rsidRPr="000850FB">
        <w:t>.</w:t>
      </w:r>
      <w:r w:rsidR="00AA62E6" w:rsidRPr="00AA62E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A62E6">
        <w:rPr>
          <w:rStyle w:val="cf01"/>
          <w:rFonts w:asciiTheme="minorHAnsi" w:hAnsiTheme="minorHAnsi" w:cstheme="minorHAnsi"/>
          <w:sz w:val="22"/>
          <w:szCs w:val="22"/>
        </w:rPr>
        <w:t xml:space="preserve">Tegoroczne wyniki pokazują również, że mimo miliardowych nakładów na inwestycje, </w:t>
      </w:r>
      <w:r w:rsidR="00AA62E6" w:rsidRPr="009C2E6B">
        <w:rPr>
          <w:rStyle w:val="cf01"/>
          <w:rFonts w:asciiTheme="minorHAnsi" w:hAnsiTheme="minorHAnsi" w:cstheme="minorHAnsi"/>
          <w:sz w:val="22"/>
          <w:szCs w:val="22"/>
        </w:rPr>
        <w:t>średni przychód na abonenta jest stały lub spada</w:t>
      </w:r>
      <w:r w:rsidR="00AA62E6">
        <w:rPr>
          <w:rStyle w:val="cf01"/>
          <w:rFonts w:asciiTheme="minorHAnsi" w:hAnsiTheme="minorHAnsi" w:cstheme="minorHAnsi"/>
          <w:sz w:val="22"/>
          <w:szCs w:val="22"/>
        </w:rPr>
        <w:t xml:space="preserve">, a branża wstrzymuje się przed dużymi krokami, które mogą przynieść prawdziwą wartość dla wdrażanej technologii. </w:t>
      </w:r>
    </w:p>
    <w:p w14:paraId="09C33DB6" w14:textId="0404FDCB" w:rsidR="000850FB" w:rsidRDefault="000850FB" w:rsidP="000850FB">
      <w:pPr>
        <w:jc w:val="both"/>
      </w:pPr>
      <w:r w:rsidRPr="0012375E">
        <w:t>–</w:t>
      </w:r>
      <w:r>
        <w:t xml:space="preserve"> </w:t>
      </w:r>
      <w:r w:rsidRPr="00332361">
        <w:rPr>
          <w:i/>
          <w:iCs/>
        </w:rPr>
        <w:t>W</w:t>
      </w:r>
      <w:r w:rsidR="00C63A12" w:rsidRPr="00332361">
        <w:rPr>
          <w:i/>
          <w:iCs/>
        </w:rPr>
        <w:t xml:space="preserve"> „</w:t>
      </w:r>
      <w:r w:rsidR="00B449C6" w:rsidRPr="00332361">
        <w:rPr>
          <w:i/>
          <w:iCs/>
        </w:rPr>
        <w:t xml:space="preserve">2023 </w:t>
      </w:r>
      <w:r w:rsidR="00C63A12" w:rsidRPr="00332361">
        <w:rPr>
          <w:i/>
          <w:iCs/>
        </w:rPr>
        <w:t xml:space="preserve">5G Readiness Index” </w:t>
      </w:r>
      <w:proofErr w:type="spellStart"/>
      <w:r w:rsidR="00B449C6" w:rsidRPr="00332361">
        <w:rPr>
          <w:i/>
          <w:iCs/>
        </w:rPr>
        <w:t>Kearney</w:t>
      </w:r>
      <w:proofErr w:type="spellEnd"/>
      <w:r w:rsidR="00B449C6" w:rsidRPr="00332361">
        <w:rPr>
          <w:i/>
          <w:iCs/>
        </w:rPr>
        <w:t xml:space="preserve"> zdecydowanie wyróżnia się Polska. </w:t>
      </w:r>
      <w:r w:rsidR="00363712" w:rsidRPr="00332361">
        <w:rPr>
          <w:i/>
          <w:iCs/>
        </w:rPr>
        <w:t>Dużym sukcesem jest rozwinięcie penetracji 5G aż trzykrotnie</w:t>
      </w:r>
      <w:r w:rsidR="00812195">
        <w:rPr>
          <w:i/>
          <w:iCs/>
        </w:rPr>
        <w:t xml:space="preserve"> w ciągu roku</w:t>
      </w:r>
      <w:r w:rsidR="00363712" w:rsidRPr="00332361">
        <w:rPr>
          <w:i/>
          <w:iCs/>
        </w:rPr>
        <w:t>, co przykuwa międzynarodową uwagę branży. Wynik Polski</w:t>
      </w:r>
      <w:r w:rsidR="00332361">
        <w:rPr>
          <w:i/>
          <w:iCs/>
        </w:rPr>
        <w:t xml:space="preserve"> w gotowości do wprowadzenia tej technologii</w:t>
      </w:r>
      <w:r w:rsidR="00812195">
        <w:rPr>
          <w:i/>
          <w:iCs/>
        </w:rPr>
        <w:t xml:space="preserve"> w tym czasie</w:t>
      </w:r>
      <w:r w:rsidR="00B449C6" w:rsidRPr="00332361">
        <w:rPr>
          <w:i/>
          <w:iCs/>
        </w:rPr>
        <w:t xml:space="preserve"> </w:t>
      </w:r>
      <w:r w:rsidR="00332361" w:rsidRPr="00332361">
        <w:rPr>
          <w:i/>
          <w:iCs/>
        </w:rPr>
        <w:t>wzrósł</w:t>
      </w:r>
      <w:r w:rsidR="00B449C6" w:rsidRPr="00332361">
        <w:rPr>
          <w:i/>
          <w:iCs/>
        </w:rPr>
        <w:t xml:space="preserve"> </w:t>
      </w:r>
      <w:r w:rsidR="00363712" w:rsidRPr="00332361">
        <w:rPr>
          <w:i/>
          <w:iCs/>
        </w:rPr>
        <w:t xml:space="preserve">o </w:t>
      </w:r>
      <w:r w:rsidR="002A0615">
        <w:rPr>
          <w:i/>
          <w:iCs/>
        </w:rPr>
        <w:t>p</w:t>
      </w:r>
      <w:r w:rsidR="00812195">
        <w:rPr>
          <w:i/>
          <w:iCs/>
        </w:rPr>
        <w:t>rawie 3</w:t>
      </w:r>
      <w:r w:rsidR="002A0615">
        <w:rPr>
          <w:i/>
          <w:iCs/>
        </w:rPr>
        <w:t>0</w:t>
      </w:r>
      <w:r w:rsidR="00841CD5">
        <w:rPr>
          <w:i/>
          <w:iCs/>
        </w:rPr>
        <w:t xml:space="preserve"> </w:t>
      </w:r>
      <w:r w:rsidR="00363712" w:rsidRPr="00332361">
        <w:rPr>
          <w:i/>
          <w:iCs/>
        </w:rPr>
        <w:t>proc, dzięki czemu wyprzedzamy m.in. Rumunię, jednak nadal</w:t>
      </w:r>
      <w:r w:rsidR="0007729C">
        <w:rPr>
          <w:i/>
          <w:iCs/>
        </w:rPr>
        <w:t xml:space="preserve"> globalnie i</w:t>
      </w:r>
      <w:r w:rsidR="00363712" w:rsidRPr="00332361">
        <w:rPr>
          <w:i/>
          <w:iCs/>
        </w:rPr>
        <w:t xml:space="preserve"> w</w:t>
      </w:r>
      <w:r w:rsidR="00332361">
        <w:rPr>
          <w:i/>
          <w:iCs/>
        </w:rPr>
        <w:t>śród państw europejskich</w:t>
      </w:r>
      <w:r w:rsidR="00363712" w:rsidRPr="00332361">
        <w:rPr>
          <w:i/>
          <w:iCs/>
        </w:rPr>
        <w:t xml:space="preserve"> </w:t>
      </w:r>
      <w:r w:rsidR="00332361">
        <w:rPr>
          <w:i/>
          <w:iCs/>
        </w:rPr>
        <w:t xml:space="preserve">pozostajemy w </w:t>
      </w:r>
      <w:r w:rsidR="00363712" w:rsidRPr="00332361">
        <w:rPr>
          <w:i/>
          <w:iCs/>
        </w:rPr>
        <w:t xml:space="preserve">końcówce </w:t>
      </w:r>
      <w:r w:rsidR="00332361">
        <w:rPr>
          <w:i/>
          <w:iCs/>
        </w:rPr>
        <w:t>rankingu</w:t>
      </w:r>
      <w:r w:rsidR="008A4A54">
        <w:rPr>
          <w:i/>
          <w:iCs/>
        </w:rPr>
        <w:t xml:space="preserve"> </w:t>
      </w:r>
      <w:r w:rsidRPr="0012375E">
        <w:t xml:space="preserve">– </w:t>
      </w:r>
      <w:r w:rsidR="0094606A">
        <w:t xml:space="preserve">mówi </w:t>
      </w:r>
      <w:r w:rsidR="00841CD5">
        <w:t>Bartłomiej Majewski</w:t>
      </w:r>
      <w:r w:rsidR="0007729C">
        <w:t xml:space="preserve">, </w:t>
      </w:r>
      <w:r w:rsidR="00841CD5">
        <w:t xml:space="preserve">manager </w:t>
      </w:r>
      <w:r w:rsidR="0094606A">
        <w:t xml:space="preserve">z warszawskiego biura </w:t>
      </w:r>
      <w:proofErr w:type="spellStart"/>
      <w:r w:rsidR="0094606A">
        <w:t>Kearney</w:t>
      </w:r>
      <w:proofErr w:type="spellEnd"/>
      <w:r w:rsidR="0094606A">
        <w:t>.</w:t>
      </w:r>
    </w:p>
    <w:p w14:paraId="35322CA5" w14:textId="77777777" w:rsidR="000850FB" w:rsidRDefault="00124F89" w:rsidP="003812D1">
      <w:pPr>
        <w:jc w:val="both"/>
        <w:rPr>
          <w:b/>
          <w:bCs/>
        </w:rPr>
      </w:pPr>
      <w:r>
        <w:rPr>
          <w:b/>
          <w:bCs/>
        </w:rPr>
        <w:t xml:space="preserve">Polska w </w:t>
      </w:r>
      <w:r w:rsidR="00DB29E7">
        <w:rPr>
          <w:b/>
          <w:bCs/>
        </w:rPr>
        <w:t>wyścigu o 5G</w:t>
      </w:r>
    </w:p>
    <w:p w14:paraId="15A05676" w14:textId="37FD379A" w:rsidR="001B781E" w:rsidRDefault="00AF2B8B" w:rsidP="00BA0F2F">
      <w:pPr>
        <w:jc w:val="both"/>
      </w:pPr>
      <w:r>
        <w:t>Polska zanotowała jeden z najwyższych wzrostów penetracji siecią 5G, jednak nadal pozostaje wiele do zrobienia w kontekście rozwoju</w:t>
      </w:r>
      <w:r w:rsidR="00B50D71">
        <w:t xml:space="preserve"> tej</w:t>
      </w:r>
      <w:r>
        <w:t xml:space="preserve"> technologii. </w:t>
      </w:r>
      <w:r w:rsidR="00CF5502">
        <w:t xml:space="preserve">Do tej pory </w:t>
      </w:r>
      <w:r w:rsidR="0023349F">
        <w:t>p</w:t>
      </w:r>
      <w:r>
        <w:t>olscy operatorzy rozszerzając sieć nie korzystali</w:t>
      </w:r>
      <w:r w:rsidR="00DD4C96">
        <w:t xml:space="preserve"> </w:t>
      </w:r>
      <w:r>
        <w:t xml:space="preserve">z częstotliwości standardowo dedykowanych dla 5G, ale uwalniali posiadane już częstotliwości, na których </w:t>
      </w:r>
      <w:r w:rsidR="007943C6">
        <w:t>oferowali</w:t>
      </w:r>
      <w:r>
        <w:t xml:space="preserve"> usługi </w:t>
      </w:r>
      <w:r w:rsidR="007943C6">
        <w:t>o</w:t>
      </w:r>
      <w:r>
        <w:t xml:space="preserve"> coraz </w:t>
      </w:r>
      <w:r w:rsidR="007943C6">
        <w:t>szybszej</w:t>
      </w:r>
      <w:r>
        <w:t xml:space="preserve"> przepustowości Internetu.</w:t>
      </w:r>
      <w:r w:rsidR="00595E5A">
        <w:t xml:space="preserve"> </w:t>
      </w:r>
      <w:r w:rsidR="00BA0F2F">
        <w:t xml:space="preserve">Polska posiada jedną z najgorszych sieci 5G w regionie Europy Środkowo-Wschodniej pod względem szybkości pobierania czy wysyłania danych, </w:t>
      </w:r>
      <w:r w:rsidR="007943C6">
        <w:t>co ma</w:t>
      </w:r>
      <w:r w:rsidR="00BA0F2F">
        <w:t xml:space="preserve"> bezpośredni wpływ na doświadczenia użytkowników końcowych (np. przy oglądaniu filmów na portalach </w:t>
      </w:r>
      <w:proofErr w:type="spellStart"/>
      <w:r w:rsidR="00BA0F2F">
        <w:t>streamingowych</w:t>
      </w:r>
      <w:proofErr w:type="spellEnd"/>
      <w:r w:rsidR="00BA0F2F">
        <w:t xml:space="preserve">). Według analiz </w:t>
      </w:r>
      <w:proofErr w:type="spellStart"/>
      <w:r w:rsidR="00BA0F2F">
        <w:t>Opensignal</w:t>
      </w:r>
      <w:proofErr w:type="spellEnd"/>
      <w:r w:rsidR="00BA0F2F">
        <w:t xml:space="preserve"> sieć 5G w Polsce jest 2,4x szybsza od </w:t>
      </w:r>
      <w:r w:rsidR="007943C6">
        <w:t xml:space="preserve">sieci 4G, kiedy większość krajów w regionie osiąga </w:t>
      </w:r>
      <w:r w:rsidR="00B50D71">
        <w:t xml:space="preserve">średnio </w:t>
      </w:r>
      <w:r w:rsidR="007943C6">
        <w:t>ponad 4,5x lepsze wyniki</w:t>
      </w:r>
      <w:r w:rsidR="00DD4C96">
        <w:t xml:space="preserve"> (przy zbliżonych wynikach 4G we wszystkich analizowanych krajach)</w:t>
      </w:r>
      <w:r w:rsidR="007943C6">
        <w:t>.</w:t>
      </w:r>
      <w:r w:rsidR="00ED1A5D">
        <w:t xml:space="preserve"> </w:t>
      </w:r>
      <w:r w:rsidR="00CF5502">
        <w:t>Jest to spowodowane</w:t>
      </w:r>
      <w:r w:rsidR="007943C6">
        <w:t xml:space="preserve"> </w:t>
      </w:r>
      <w:r w:rsidR="00B50D71">
        <w:t>nieudostępnienie</w:t>
      </w:r>
      <w:r w:rsidR="00CF5502">
        <w:t>m</w:t>
      </w:r>
      <w:r w:rsidR="007943C6">
        <w:t xml:space="preserve"> operatorom spektrum częstotliwości 5G.</w:t>
      </w:r>
    </w:p>
    <w:p w14:paraId="4CB30940" w14:textId="59B89137" w:rsidR="000A3FF6" w:rsidRDefault="002A0615" w:rsidP="00100144">
      <w:pPr>
        <w:jc w:val="both"/>
      </w:pPr>
      <w:r w:rsidRPr="0012375E">
        <w:t>–</w:t>
      </w:r>
      <w:r>
        <w:t xml:space="preserve"> </w:t>
      </w:r>
      <w:r w:rsidR="00CF5502" w:rsidRPr="002A0615">
        <w:rPr>
          <w:i/>
          <w:iCs/>
        </w:rPr>
        <w:t xml:space="preserve">Postępowanie </w:t>
      </w:r>
      <w:r w:rsidR="007943C6" w:rsidRPr="002A0615">
        <w:rPr>
          <w:i/>
          <w:iCs/>
        </w:rPr>
        <w:t xml:space="preserve">UKE </w:t>
      </w:r>
      <w:r w:rsidR="00595E5A" w:rsidRPr="002A0615">
        <w:rPr>
          <w:i/>
          <w:iCs/>
        </w:rPr>
        <w:t>na rezerwacje częstotliwości w zakresie 3,4 – 3,8 GHz</w:t>
      </w:r>
      <w:r w:rsidR="00CF5502" w:rsidRPr="002A0615">
        <w:rPr>
          <w:i/>
          <w:iCs/>
        </w:rPr>
        <w:t xml:space="preserve"> pozwoli </w:t>
      </w:r>
      <w:r>
        <w:rPr>
          <w:i/>
          <w:iCs/>
        </w:rPr>
        <w:t xml:space="preserve">Polsce </w:t>
      </w:r>
      <w:r w:rsidR="00CF5502" w:rsidRPr="002A0615">
        <w:rPr>
          <w:i/>
          <w:iCs/>
        </w:rPr>
        <w:t>na wejście</w:t>
      </w:r>
      <w:r w:rsidR="00C5407A" w:rsidRPr="002A0615">
        <w:rPr>
          <w:i/>
          <w:iCs/>
        </w:rPr>
        <w:t xml:space="preserve"> w zakresy tzw. C-Band</w:t>
      </w:r>
      <w:r w:rsidR="00CF5502" w:rsidRPr="002A0615">
        <w:rPr>
          <w:i/>
          <w:iCs/>
        </w:rPr>
        <w:t>. Dzięki temu poza wyższą prędkością transferu danych, będziemy w stanie czerpać dodatkowe korzyści</w:t>
      </w:r>
      <w:r w:rsidR="000A3FF6" w:rsidRPr="002A0615">
        <w:rPr>
          <w:i/>
          <w:iCs/>
        </w:rPr>
        <w:t xml:space="preserve"> technologiczne</w:t>
      </w:r>
      <w:r w:rsidR="00CF5502" w:rsidRPr="002A0615">
        <w:rPr>
          <w:i/>
          <w:iCs/>
        </w:rPr>
        <w:t xml:space="preserve"> z </w:t>
      </w:r>
      <w:r w:rsidR="00841CD5" w:rsidRPr="002A0615">
        <w:rPr>
          <w:i/>
          <w:iCs/>
        </w:rPr>
        <w:t>5G,</w:t>
      </w:r>
      <w:r w:rsidR="000A3FF6" w:rsidRPr="002A0615">
        <w:rPr>
          <w:i/>
          <w:iCs/>
        </w:rPr>
        <w:t xml:space="preserve"> </w:t>
      </w:r>
      <w:r w:rsidR="007943C6" w:rsidRPr="002A0615">
        <w:rPr>
          <w:i/>
          <w:iCs/>
        </w:rPr>
        <w:t>taki</w:t>
      </w:r>
      <w:r w:rsidR="000A3FF6" w:rsidRPr="002A0615">
        <w:rPr>
          <w:i/>
          <w:iCs/>
        </w:rPr>
        <w:t>e</w:t>
      </w:r>
      <w:r w:rsidR="007943C6" w:rsidRPr="002A0615">
        <w:rPr>
          <w:i/>
          <w:iCs/>
        </w:rPr>
        <w:t xml:space="preserve"> </w:t>
      </w:r>
      <w:r w:rsidR="00C5407A" w:rsidRPr="002A0615">
        <w:rPr>
          <w:i/>
          <w:iCs/>
        </w:rPr>
        <w:t>jak niższe opóźnienia</w:t>
      </w:r>
      <w:r w:rsidR="00DD4C96" w:rsidRPr="002A0615">
        <w:rPr>
          <w:i/>
          <w:iCs/>
        </w:rPr>
        <w:t xml:space="preserve">, </w:t>
      </w:r>
      <w:r w:rsidR="00C5407A" w:rsidRPr="002A0615">
        <w:rPr>
          <w:i/>
          <w:iCs/>
        </w:rPr>
        <w:t>możliwość większego obciążenia sieci</w:t>
      </w:r>
      <w:r w:rsidR="00DD4C96" w:rsidRPr="002A0615">
        <w:rPr>
          <w:i/>
          <w:iCs/>
        </w:rPr>
        <w:t xml:space="preserve"> czy mniejsza energochłonność</w:t>
      </w:r>
      <w:r w:rsidR="000A3FF6" w:rsidRPr="002A0615">
        <w:rPr>
          <w:i/>
          <w:iCs/>
        </w:rPr>
        <w:t>. Większe znaczenie zaczną mieć</w:t>
      </w:r>
      <w:r w:rsidR="00C5407A" w:rsidRPr="002A0615">
        <w:rPr>
          <w:i/>
          <w:iCs/>
        </w:rPr>
        <w:t xml:space="preserve"> również </w:t>
      </w:r>
      <w:r w:rsidR="000A3FF6" w:rsidRPr="002A0615">
        <w:rPr>
          <w:i/>
          <w:iCs/>
        </w:rPr>
        <w:t>aspekty biznesowe</w:t>
      </w:r>
      <w:r w:rsidR="00614A83" w:rsidRPr="002A0615">
        <w:rPr>
          <w:i/>
          <w:iCs/>
        </w:rPr>
        <w:t>,</w:t>
      </w:r>
      <w:r w:rsidR="000A3FF6" w:rsidRPr="002A0615">
        <w:rPr>
          <w:i/>
          <w:iCs/>
        </w:rPr>
        <w:t xml:space="preserve"> </w:t>
      </w:r>
      <w:r w:rsidR="009D2387" w:rsidRPr="002A0615">
        <w:rPr>
          <w:i/>
          <w:iCs/>
        </w:rPr>
        <w:t>jak uruchamianie</w:t>
      </w:r>
      <w:r w:rsidR="00C5407A" w:rsidRPr="002A0615">
        <w:rPr>
          <w:i/>
          <w:iCs/>
        </w:rPr>
        <w:t xml:space="preserve"> nowych modeli biznesowych, zwiększ</w:t>
      </w:r>
      <w:r w:rsidR="000A3FF6" w:rsidRPr="002A0615">
        <w:rPr>
          <w:i/>
          <w:iCs/>
        </w:rPr>
        <w:t xml:space="preserve">anie </w:t>
      </w:r>
      <w:r w:rsidR="00C5407A" w:rsidRPr="002A0615">
        <w:rPr>
          <w:i/>
          <w:iCs/>
        </w:rPr>
        <w:t>innowacyjności czy przyspieszeni</w:t>
      </w:r>
      <w:r w:rsidR="007943C6" w:rsidRPr="002A0615">
        <w:rPr>
          <w:i/>
          <w:iCs/>
        </w:rPr>
        <w:t>e</w:t>
      </w:r>
      <w:r w:rsidR="00C5407A" w:rsidRPr="002A0615">
        <w:rPr>
          <w:i/>
          <w:iCs/>
        </w:rPr>
        <w:t xml:space="preserve"> </w:t>
      </w:r>
      <w:proofErr w:type="spellStart"/>
      <w:r w:rsidR="00C5407A" w:rsidRPr="002A0615">
        <w:rPr>
          <w:i/>
          <w:iCs/>
        </w:rPr>
        <w:t>monetyzacji</w:t>
      </w:r>
      <w:proofErr w:type="spellEnd"/>
      <w:r w:rsidR="007943C6" w:rsidRPr="002A0615">
        <w:rPr>
          <w:i/>
          <w:iCs/>
        </w:rPr>
        <w:t xml:space="preserve"> usług 5G</w:t>
      </w:r>
      <w:r w:rsidRPr="002A0615">
        <w:rPr>
          <w:i/>
          <w:iCs/>
        </w:rPr>
        <w:t xml:space="preserve"> </w:t>
      </w:r>
      <w:r w:rsidRPr="0012375E">
        <w:t>–</w:t>
      </w:r>
      <w:r>
        <w:t xml:space="preserve">  mówi Bartłomiej Majewski, manager z warszawskiego biura </w:t>
      </w:r>
      <w:proofErr w:type="spellStart"/>
      <w:r>
        <w:t>Kearney</w:t>
      </w:r>
      <w:proofErr w:type="spellEnd"/>
      <w:r>
        <w:t>.</w:t>
      </w:r>
    </w:p>
    <w:p w14:paraId="169A97CB" w14:textId="480B7EAE" w:rsidR="00142134" w:rsidRPr="000850FB" w:rsidRDefault="000A3FF6" w:rsidP="00100144">
      <w:pPr>
        <w:jc w:val="both"/>
      </w:pPr>
      <w:r>
        <w:t xml:space="preserve">Już wiemy, że </w:t>
      </w:r>
      <w:r w:rsidR="00C5407A">
        <w:t xml:space="preserve">4 pasma licytować będą 4 </w:t>
      </w:r>
      <w:r w:rsidR="00100144">
        <w:t xml:space="preserve">największe firmy telekomunikacyjne w kraju (P4, Polkomtel, Orange Polska i T-Mobile Polska). </w:t>
      </w:r>
      <w:r w:rsidR="0096707E">
        <w:t>P</w:t>
      </w:r>
      <w:r w:rsidR="00100144">
        <w:t>oza prawami do poszczególnych pasm częstotliwości, aukcja nakłada szereg obowiązków na licytujących</w:t>
      </w:r>
      <w:r w:rsidR="0096707E">
        <w:t>, co może pomóc w rozwoju. D</w:t>
      </w:r>
      <w:r w:rsidR="00100144">
        <w:t xml:space="preserve">ostawcy sieci mają rozpocząć rozbudowę infrastruktury w ciągu 4 miesięcy, </w:t>
      </w:r>
      <w:r w:rsidR="0096707E">
        <w:t xml:space="preserve">tak aby </w:t>
      </w:r>
      <w:r w:rsidR="00100144">
        <w:t>pokry</w:t>
      </w:r>
      <w:r w:rsidR="0096707E">
        <w:t>ła</w:t>
      </w:r>
      <w:r w:rsidR="00100144">
        <w:t xml:space="preserve"> 85</w:t>
      </w:r>
      <w:r w:rsidR="00277983">
        <w:t xml:space="preserve"> proc.</w:t>
      </w:r>
      <w:r w:rsidR="00100144">
        <w:t xml:space="preserve"> obszaru kraju i 95</w:t>
      </w:r>
      <w:r w:rsidR="00277983">
        <w:t xml:space="preserve"> proc.</w:t>
      </w:r>
      <w:r w:rsidR="00100144">
        <w:t xml:space="preserve"> gospodarstw domowych w ciągu roku</w:t>
      </w:r>
      <w:r w:rsidR="0096707E">
        <w:t>. Natomiast pełen</w:t>
      </w:r>
      <w:r w:rsidR="00100144">
        <w:t xml:space="preserve"> potencjał sieci i penetracje na poziomie 90</w:t>
      </w:r>
      <w:r w:rsidR="00277983">
        <w:t xml:space="preserve"> proc.</w:t>
      </w:r>
      <w:r w:rsidR="00100144">
        <w:t xml:space="preserve"> kraju i 9</w:t>
      </w:r>
      <w:r w:rsidR="00277983">
        <w:t>9 proc.</w:t>
      </w:r>
      <w:r w:rsidR="00100144">
        <w:t xml:space="preserve"> gospodarstw domowych</w:t>
      </w:r>
      <w:r w:rsidR="0096707E">
        <w:t xml:space="preserve"> mają zostać osiągnięte</w:t>
      </w:r>
      <w:r w:rsidR="00100144">
        <w:t xml:space="preserve"> w ciągu 5 lat. </w:t>
      </w:r>
      <w:r w:rsidR="00435A2D" w:rsidRPr="00435A2D">
        <w:t>Spełnienie tych wymagań przełoży</w:t>
      </w:r>
      <w:r w:rsidR="00577A65">
        <w:t>łoby</w:t>
      </w:r>
      <w:r w:rsidR="00435A2D" w:rsidRPr="00435A2D">
        <w:t xml:space="preserve"> się na budowę pozycji Polski w rankingu 5G.</w:t>
      </w:r>
      <w:r w:rsidR="00435A2D">
        <w:t xml:space="preserve"> </w:t>
      </w:r>
      <w:r w:rsidR="009D2387">
        <w:t>U</w:t>
      </w:r>
      <w:r w:rsidR="0096707E">
        <w:t>możliwiłoby</w:t>
      </w:r>
      <w:r w:rsidR="009D2387">
        <w:t xml:space="preserve"> </w:t>
      </w:r>
      <w:r w:rsidR="00ED1A5D">
        <w:t xml:space="preserve">również </w:t>
      </w:r>
      <w:r w:rsidR="009D2387">
        <w:t xml:space="preserve">odsunięcie </w:t>
      </w:r>
      <w:r w:rsidR="0096707E">
        <w:t>w czasie</w:t>
      </w:r>
      <w:r w:rsidR="00C57CDC">
        <w:t xml:space="preserve"> </w:t>
      </w:r>
      <w:r w:rsidR="0096707E">
        <w:t>decyzji</w:t>
      </w:r>
      <w:r w:rsidR="00C57CDC">
        <w:t xml:space="preserve"> </w:t>
      </w:r>
      <w:proofErr w:type="spellStart"/>
      <w:r w:rsidR="00C57CDC">
        <w:t>ws</w:t>
      </w:r>
      <w:proofErr w:type="spellEnd"/>
      <w:r w:rsidR="00C57CDC">
        <w:t xml:space="preserve">. </w:t>
      </w:r>
      <w:r w:rsidR="00841CD5">
        <w:t>w</w:t>
      </w:r>
      <w:r w:rsidR="00C57CDC">
        <w:t xml:space="preserve">drażania </w:t>
      </w:r>
      <w:r w:rsidR="00246385">
        <w:t xml:space="preserve">standardu 5G </w:t>
      </w:r>
      <w:proofErr w:type="spellStart"/>
      <w:r w:rsidR="00C57CDC">
        <w:t>mmWave</w:t>
      </w:r>
      <w:proofErr w:type="spellEnd"/>
      <w:r w:rsidR="00841CD5">
        <w:t>, któr</w:t>
      </w:r>
      <w:r w:rsidR="00246385">
        <w:t>y</w:t>
      </w:r>
      <w:r w:rsidR="00841CD5">
        <w:t xml:space="preserve"> </w:t>
      </w:r>
      <w:r w:rsidR="0096707E">
        <w:t xml:space="preserve">z kolei </w:t>
      </w:r>
      <w:r w:rsidR="00841CD5">
        <w:t>pozwoli</w:t>
      </w:r>
      <w:r w:rsidR="00246385">
        <w:t>łby</w:t>
      </w:r>
      <w:r w:rsidR="0096707E">
        <w:t xml:space="preserve"> już</w:t>
      </w:r>
      <w:r w:rsidR="00841CD5">
        <w:t xml:space="preserve"> na kolejne zwielokrotnienie prędkości</w:t>
      </w:r>
      <w:r w:rsidR="009D2387">
        <w:t>.</w:t>
      </w:r>
      <w:r w:rsidR="0096707E">
        <w:t xml:space="preserve"> </w:t>
      </w:r>
      <w:r w:rsidR="009D2387">
        <w:t xml:space="preserve">Wiązałoby </w:t>
      </w:r>
      <w:r w:rsidR="00246385">
        <w:t>się</w:t>
      </w:r>
      <w:r w:rsidR="009D2387">
        <w:t xml:space="preserve"> to jednak</w:t>
      </w:r>
      <w:r w:rsidR="00246385">
        <w:t xml:space="preserve"> z dodatkową auk</w:t>
      </w:r>
      <w:r w:rsidR="00C53614">
        <w:t>cją na pasma w zakresie 26 GHz</w:t>
      </w:r>
      <w:r w:rsidR="00BA0F2F">
        <w:t>.</w:t>
      </w:r>
    </w:p>
    <w:p w14:paraId="0FD8FE11" w14:textId="3BA0133A" w:rsidR="00124F89" w:rsidRPr="004001B6" w:rsidRDefault="00DB29E7" w:rsidP="00124F89">
      <w:pPr>
        <w:jc w:val="both"/>
        <w:rPr>
          <w:b/>
          <w:bCs/>
        </w:rPr>
      </w:pPr>
      <w:r>
        <w:rPr>
          <w:b/>
          <w:bCs/>
        </w:rPr>
        <w:t>Śmiałe działania w</w:t>
      </w:r>
      <w:r w:rsidR="007F45D8">
        <w:rPr>
          <w:b/>
          <w:bCs/>
        </w:rPr>
        <w:t>spierają</w:t>
      </w:r>
      <w:r>
        <w:rPr>
          <w:b/>
          <w:bCs/>
        </w:rPr>
        <w:t xml:space="preserve"> rozwój</w:t>
      </w:r>
    </w:p>
    <w:p w14:paraId="27F58526" w14:textId="2DEF182C" w:rsidR="00911D08" w:rsidRDefault="00AA62E6" w:rsidP="00AA62E6">
      <w:pPr>
        <w:jc w:val="both"/>
        <w:rPr>
          <w:rStyle w:val="rynqvb"/>
        </w:rPr>
      </w:pPr>
      <w:r>
        <w:rPr>
          <w:rStyle w:val="rynqvb"/>
        </w:rPr>
        <w:t>Branża telekomunikacyjna słynie z niechęci do podejmowania ryzyka, jednak w przypadku 5G, wprowadza to zagrożenie stania się klientem cudzych innowacji.</w:t>
      </w:r>
      <w:r>
        <w:rPr>
          <w:rStyle w:val="hwtze"/>
        </w:rPr>
        <w:t xml:space="preserve"> </w:t>
      </w:r>
      <w:r>
        <w:rPr>
          <w:rStyle w:val="rynqvb"/>
        </w:rPr>
        <w:t>I</w:t>
      </w:r>
      <w:r w:rsidRPr="00AA62E6">
        <w:rPr>
          <w:rStyle w:val="rynqvb"/>
        </w:rPr>
        <w:t>stnieje wiele możliwości odkrywania nowych</w:t>
      </w:r>
      <w:r w:rsidR="00DF0C23">
        <w:rPr>
          <w:rStyle w:val="rynqvb"/>
        </w:rPr>
        <w:t>,</w:t>
      </w:r>
      <w:r w:rsidRPr="00AA62E6">
        <w:rPr>
          <w:rStyle w:val="rynqvb"/>
        </w:rPr>
        <w:t xml:space="preserve"> dynamicznych </w:t>
      </w:r>
      <w:r w:rsidR="00C53614">
        <w:rPr>
          <w:rStyle w:val="rynqvb"/>
        </w:rPr>
        <w:t>opcji</w:t>
      </w:r>
      <w:r w:rsidR="00C53614" w:rsidRPr="00AA62E6">
        <w:rPr>
          <w:rStyle w:val="rynqvb"/>
        </w:rPr>
        <w:t xml:space="preserve"> </w:t>
      </w:r>
      <w:r w:rsidRPr="00AA62E6">
        <w:rPr>
          <w:rStyle w:val="rynqvb"/>
        </w:rPr>
        <w:t>cenowych i ofert</w:t>
      </w:r>
      <w:r w:rsidR="00C53614">
        <w:rPr>
          <w:rStyle w:val="rynqvb"/>
        </w:rPr>
        <w:t xml:space="preserve"> dla klientów</w:t>
      </w:r>
      <w:r w:rsidR="009168C2">
        <w:rPr>
          <w:rStyle w:val="rynqvb"/>
        </w:rPr>
        <w:t>.</w:t>
      </w:r>
      <w:r w:rsidR="00C53614">
        <w:rPr>
          <w:rStyle w:val="rynqvb"/>
        </w:rPr>
        <w:t xml:space="preserve"> Warto też wychodzić poza klasyczne usługi.</w:t>
      </w:r>
      <w:r w:rsidR="009168C2">
        <w:rPr>
          <w:rStyle w:val="rynqvb"/>
        </w:rPr>
        <w:t xml:space="preserve"> </w:t>
      </w:r>
      <w:r w:rsidR="00DF0C23">
        <w:rPr>
          <w:rStyle w:val="rynqvb"/>
        </w:rPr>
        <w:lastRenderedPageBreak/>
        <w:t xml:space="preserve">Sporo </w:t>
      </w:r>
      <w:r w:rsidR="00911D08">
        <w:rPr>
          <w:rStyle w:val="rynqvb"/>
        </w:rPr>
        <w:t xml:space="preserve">można zyskać na współpracy, ponieważ </w:t>
      </w:r>
      <w:r w:rsidRPr="00AA62E6">
        <w:rPr>
          <w:rStyle w:val="rynqvb"/>
        </w:rPr>
        <w:t>5G umożliwia operatorom otwarcie sieci na zewnętrznych innowatorów i niezależnych programistów</w:t>
      </w:r>
      <w:r w:rsidR="00911D08">
        <w:rPr>
          <w:rStyle w:val="rynqvb"/>
        </w:rPr>
        <w:t>,</w:t>
      </w:r>
      <w:r w:rsidR="009168C2">
        <w:rPr>
          <w:rStyle w:val="rynqvb"/>
        </w:rPr>
        <w:t xml:space="preserve"> a </w:t>
      </w:r>
      <w:r w:rsidR="00CC708E">
        <w:rPr>
          <w:rStyle w:val="rynqvb"/>
        </w:rPr>
        <w:t xml:space="preserve">to </w:t>
      </w:r>
      <w:r w:rsidR="006A390C">
        <w:rPr>
          <w:rStyle w:val="rynqvb"/>
        </w:rPr>
        <w:t>sprzyja szukaniu</w:t>
      </w:r>
      <w:r w:rsidR="00911D08">
        <w:rPr>
          <w:rStyle w:val="rynqvb"/>
        </w:rPr>
        <w:t xml:space="preserve"> </w:t>
      </w:r>
      <w:r w:rsidRPr="00AA62E6">
        <w:rPr>
          <w:rStyle w:val="rynqvb"/>
        </w:rPr>
        <w:t xml:space="preserve">partnerów, którzy </w:t>
      </w:r>
      <w:r w:rsidR="0056468B">
        <w:rPr>
          <w:rStyle w:val="rynqvb"/>
        </w:rPr>
        <w:t>wprowadzą nowości</w:t>
      </w:r>
      <w:r w:rsidR="00911D08">
        <w:rPr>
          <w:rStyle w:val="rynqvb"/>
        </w:rPr>
        <w:t xml:space="preserve">. </w:t>
      </w:r>
      <w:r w:rsidR="00911D08" w:rsidRPr="00911D08">
        <w:rPr>
          <w:rStyle w:val="rynqvb"/>
        </w:rPr>
        <w:t>5G będzie</w:t>
      </w:r>
      <w:r w:rsidR="00911D08">
        <w:rPr>
          <w:rStyle w:val="rynqvb"/>
        </w:rPr>
        <w:t xml:space="preserve"> dobrze funkcjonować w nowych </w:t>
      </w:r>
      <w:r w:rsidR="00911D08" w:rsidRPr="00911D08">
        <w:rPr>
          <w:rStyle w:val="rynqvb"/>
        </w:rPr>
        <w:t>model</w:t>
      </w:r>
      <w:r w:rsidR="00911D08">
        <w:rPr>
          <w:rStyle w:val="rynqvb"/>
        </w:rPr>
        <w:t>ach</w:t>
      </w:r>
      <w:r w:rsidR="00911D08" w:rsidRPr="00911D08">
        <w:rPr>
          <w:rStyle w:val="rynqvb"/>
        </w:rPr>
        <w:t xml:space="preserve"> biznesow</w:t>
      </w:r>
      <w:r w:rsidR="00911D08">
        <w:rPr>
          <w:rStyle w:val="rynqvb"/>
        </w:rPr>
        <w:t>ych</w:t>
      </w:r>
      <w:r w:rsidR="00911D08" w:rsidRPr="00911D08">
        <w:rPr>
          <w:rStyle w:val="rynqvb"/>
        </w:rPr>
        <w:t xml:space="preserve">, które </w:t>
      </w:r>
      <w:r w:rsidR="00C53614">
        <w:rPr>
          <w:rStyle w:val="rynqvb"/>
        </w:rPr>
        <w:t xml:space="preserve">rozszerzą </w:t>
      </w:r>
      <w:r w:rsidR="00911D08">
        <w:rPr>
          <w:rStyle w:val="rynqvb"/>
        </w:rPr>
        <w:t>źródła przychodu</w:t>
      </w:r>
      <w:r w:rsidR="00911D08" w:rsidRPr="00911D08">
        <w:rPr>
          <w:rStyle w:val="rynqvb"/>
        </w:rPr>
        <w:t xml:space="preserve">. </w:t>
      </w:r>
      <w:r w:rsidR="00911D08">
        <w:rPr>
          <w:rStyle w:val="rynqvb"/>
        </w:rPr>
        <w:t xml:space="preserve">Z tego powodu dobrym rozwiązaniem jest </w:t>
      </w:r>
      <w:r w:rsidR="00C53614">
        <w:rPr>
          <w:rStyle w:val="rynqvb"/>
        </w:rPr>
        <w:t xml:space="preserve">tworzenie i testowanie </w:t>
      </w:r>
      <w:r w:rsidR="00911D08">
        <w:rPr>
          <w:rStyle w:val="rynqvb"/>
        </w:rPr>
        <w:t xml:space="preserve">całkowicie </w:t>
      </w:r>
      <w:r w:rsidR="00911D08" w:rsidRPr="00911D08">
        <w:rPr>
          <w:rStyle w:val="rynqvb"/>
        </w:rPr>
        <w:t>now</w:t>
      </w:r>
      <w:r w:rsidR="00911D08">
        <w:rPr>
          <w:rStyle w:val="rynqvb"/>
        </w:rPr>
        <w:t>ych</w:t>
      </w:r>
      <w:r w:rsidR="00911D08" w:rsidRPr="00911D08">
        <w:rPr>
          <w:rStyle w:val="rynqvb"/>
        </w:rPr>
        <w:t xml:space="preserve"> usług, uruchamia</w:t>
      </w:r>
      <w:r w:rsidR="00911D08">
        <w:rPr>
          <w:rStyle w:val="rynqvb"/>
        </w:rPr>
        <w:t>nie</w:t>
      </w:r>
      <w:r w:rsidR="00911D08" w:rsidRPr="00911D08">
        <w:rPr>
          <w:rStyle w:val="rynqvb"/>
        </w:rPr>
        <w:t xml:space="preserve"> platform i udostępnia</w:t>
      </w:r>
      <w:r w:rsidR="00911D08">
        <w:rPr>
          <w:rStyle w:val="rynqvb"/>
        </w:rPr>
        <w:t xml:space="preserve">nie </w:t>
      </w:r>
      <w:r w:rsidR="00911D08" w:rsidRPr="00911D08">
        <w:rPr>
          <w:rStyle w:val="rynqvb"/>
        </w:rPr>
        <w:t>możliwości sieciow</w:t>
      </w:r>
      <w:r w:rsidR="00911D08">
        <w:rPr>
          <w:rStyle w:val="rynqvb"/>
        </w:rPr>
        <w:t>ych</w:t>
      </w:r>
      <w:r w:rsidR="00911D08" w:rsidRPr="00911D08">
        <w:rPr>
          <w:rStyle w:val="rynqvb"/>
        </w:rPr>
        <w:t xml:space="preserve"> zewnętrznym programistom, pozwalając im wprowadzać innowacje w</w:t>
      </w:r>
      <w:r w:rsidR="00911D08">
        <w:rPr>
          <w:rStyle w:val="rynqvb"/>
        </w:rPr>
        <w:t xml:space="preserve"> </w:t>
      </w:r>
      <w:r w:rsidR="00911D08" w:rsidRPr="00911D08">
        <w:rPr>
          <w:rStyle w:val="rynqvb"/>
        </w:rPr>
        <w:t>infrastrukturze</w:t>
      </w:r>
      <w:r w:rsidR="00911D08">
        <w:rPr>
          <w:rStyle w:val="rynqvb"/>
        </w:rPr>
        <w:t xml:space="preserve">. </w:t>
      </w:r>
    </w:p>
    <w:p w14:paraId="34EF778C" w14:textId="0D091D40" w:rsidR="00911D08" w:rsidRDefault="00911D08" w:rsidP="00911D08">
      <w:pPr>
        <w:jc w:val="both"/>
      </w:pPr>
      <w:r w:rsidRPr="0012375E">
        <w:t>–</w:t>
      </w:r>
      <w:r w:rsidR="0094606A">
        <w:t xml:space="preserve"> </w:t>
      </w:r>
      <w:r w:rsidRPr="00911D08">
        <w:rPr>
          <w:i/>
          <w:iCs/>
        </w:rPr>
        <w:t xml:space="preserve">Zamiast utrzymywać status quo, operatorzy telekomunikacyjni </w:t>
      </w:r>
      <w:r w:rsidR="00C53614">
        <w:rPr>
          <w:i/>
          <w:iCs/>
        </w:rPr>
        <w:t>powinni</w:t>
      </w:r>
      <w:r w:rsidR="00C53614" w:rsidRPr="00911D08">
        <w:rPr>
          <w:i/>
          <w:iCs/>
        </w:rPr>
        <w:t xml:space="preserve"> </w:t>
      </w:r>
      <w:r w:rsidRPr="00911D08">
        <w:rPr>
          <w:i/>
          <w:iCs/>
        </w:rPr>
        <w:t xml:space="preserve">być odważni, znaleźć </w:t>
      </w:r>
      <w:r w:rsidR="00C53614">
        <w:rPr>
          <w:i/>
          <w:iCs/>
        </w:rPr>
        <w:t xml:space="preserve">nowe wartości </w:t>
      </w:r>
      <w:r w:rsidRPr="00911D08">
        <w:rPr>
          <w:i/>
          <w:iCs/>
        </w:rPr>
        <w:t>tkwiące w 5G i</w:t>
      </w:r>
      <w:r>
        <w:rPr>
          <w:i/>
          <w:iCs/>
        </w:rPr>
        <w:t xml:space="preserve"> prowadzić w innowacjach</w:t>
      </w:r>
      <w:r w:rsidRPr="00911D08">
        <w:rPr>
          <w:i/>
          <w:iCs/>
        </w:rPr>
        <w:t>.</w:t>
      </w:r>
      <w:r>
        <w:rPr>
          <w:i/>
          <w:iCs/>
        </w:rPr>
        <w:t xml:space="preserve"> </w:t>
      </w:r>
      <w:r w:rsidR="00C53614">
        <w:rPr>
          <w:i/>
          <w:iCs/>
        </w:rPr>
        <w:t xml:space="preserve">Ostrożne </w:t>
      </w:r>
      <w:r>
        <w:rPr>
          <w:i/>
          <w:iCs/>
        </w:rPr>
        <w:t>działania w celu uniknięcia niepowodzenia nie wyróżnią firm i spraw</w:t>
      </w:r>
      <w:r w:rsidR="009168C2">
        <w:rPr>
          <w:i/>
          <w:iCs/>
        </w:rPr>
        <w:t>i</w:t>
      </w:r>
      <w:r>
        <w:rPr>
          <w:i/>
          <w:iCs/>
        </w:rPr>
        <w:t xml:space="preserve">ą, że będą </w:t>
      </w:r>
      <w:r w:rsidR="009168C2">
        <w:rPr>
          <w:i/>
          <w:iCs/>
        </w:rPr>
        <w:t xml:space="preserve">one </w:t>
      </w:r>
      <w:r>
        <w:rPr>
          <w:i/>
          <w:iCs/>
        </w:rPr>
        <w:t xml:space="preserve">zmuszone </w:t>
      </w:r>
      <w:r w:rsidR="006532C7">
        <w:rPr>
          <w:i/>
          <w:iCs/>
        </w:rPr>
        <w:t>do opierania się na</w:t>
      </w:r>
      <w:r>
        <w:rPr>
          <w:i/>
          <w:iCs/>
        </w:rPr>
        <w:t xml:space="preserve"> cudzych rozwiązaniach. </w:t>
      </w:r>
      <w:r w:rsidR="009168C2">
        <w:rPr>
          <w:i/>
          <w:iCs/>
        </w:rPr>
        <w:t xml:space="preserve">Warto wchodzić na rynek z </w:t>
      </w:r>
      <w:r w:rsidR="00D37ABB">
        <w:rPr>
          <w:i/>
          <w:iCs/>
        </w:rPr>
        <w:t xml:space="preserve">bazowym, a nawet testowym </w:t>
      </w:r>
      <w:r w:rsidR="009168C2">
        <w:rPr>
          <w:i/>
          <w:iCs/>
        </w:rPr>
        <w:t xml:space="preserve">produktem i </w:t>
      </w:r>
      <w:r w:rsidR="00D37ABB">
        <w:rPr>
          <w:i/>
          <w:iCs/>
        </w:rPr>
        <w:t>rozwijać go zgodnie z potrzebami klientów.</w:t>
      </w:r>
      <w:r w:rsidR="006532C7">
        <w:rPr>
          <w:i/>
          <w:iCs/>
        </w:rPr>
        <w:t xml:space="preserve"> </w:t>
      </w:r>
      <w:r w:rsidR="009168C2">
        <w:rPr>
          <w:i/>
          <w:iCs/>
        </w:rPr>
        <w:t xml:space="preserve">Takie postępowanie pomoże wykorzystać pełny potencjał 5G </w:t>
      </w:r>
      <w:r w:rsidR="00D37ABB">
        <w:rPr>
          <w:i/>
          <w:iCs/>
        </w:rPr>
        <w:t>i</w:t>
      </w:r>
      <w:r w:rsidR="00B50D71">
        <w:rPr>
          <w:i/>
          <w:iCs/>
        </w:rPr>
        <w:t xml:space="preserve"> rozwinąć</w:t>
      </w:r>
      <w:r w:rsidR="00D37ABB">
        <w:rPr>
          <w:i/>
          <w:iCs/>
        </w:rPr>
        <w:t xml:space="preserve"> właściwą </w:t>
      </w:r>
      <w:proofErr w:type="spellStart"/>
      <w:r w:rsidR="00D37ABB">
        <w:rPr>
          <w:i/>
          <w:iCs/>
        </w:rPr>
        <w:t>monetyzację</w:t>
      </w:r>
      <w:proofErr w:type="spellEnd"/>
      <w:r w:rsidR="00D37ABB">
        <w:rPr>
          <w:i/>
          <w:iCs/>
        </w:rPr>
        <w:t xml:space="preserve"> tej inwestycji </w:t>
      </w:r>
      <w:r w:rsidR="009168C2" w:rsidRPr="0012375E">
        <w:t>–</w:t>
      </w:r>
      <w:r w:rsidR="009168C2">
        <w:t xml:space="preserve"> </w:t>
      </w:r>
      <w:r w:rsidR="0007729C">
        <w:t xml:space="preserve">dodaje </w:t>
      </w:r>
      <w:r w:rsidR="00D37ABB">
        <w:t>Bartłomiej Majewski</w:t>
      </w:r>
      <w:r w:rsidR="0096707E">
        <w:t xml:space="preserve">, manager z warszawskiego biura </w:t>
      </w:r>
      <w:proofErr w:type="spellStart"/>
      <w:r w:rsidR="0096707E">
        <w:t>Kearney</w:t>
      </w:r>
      <w:proofErr w:type="spellEnd"/>
      <w:r w:rsidR="009168C2">
        <w:t>.</w:t>
      </w:r>
    </w:p>
    <w:p w14:paraId="709A897B" w14:textId="1FA37026" w:rsidR="00AA62E6" w:rsidRPr="00AA62E6" w:rsidRDefault="009168C2" w:rsidP="00AA62E6">
      <w:pPr>
        <w:jc w:val="both"/>
        <w:rPr>
          <w:rStyle w:val="rynqvb"/>
        </w:rPr>
      </w:pPr>
      <w:r>
        <w:rPr>
          <w:rStyle w:val="rynqvb"/>
        </w:rPr>
        <w:t xml:space="preserve">5G stale się rozwija, jednak w przypadku tej technologii szybsze i bardziej zdecydowane kroki pomagają w odblokowaniu większego potencjału sieci. Polska w ostatnim czasie rozwinęła się, </w:t>
      </w:r>
      <w:r w:rsidR="006772AC">
        <w:rPr>
          <w:rStyle w:val="rynqvb"/>
        </w:rPr>
        <w:t>ale</w:t>
      </w:r>
      <w:r>
        <w:rPr>
          <w:rStyle w:val="rynqvb"/>
        </w:rPr>
        <w:t xml:space="preserve"> przed nami jest jeszcze wiele pracy, aby dogonić inne europejskie kraje. Zbliżająca się licytacja może znacząco zmienić funkcjonowanie </w:t>
      </w:r>
      <w:r w:rsidR="006772AC">
        <w:rPr>
          <w:rStyle w:val="rynqvb"/>
        </w:rPr>
        <w:t>5G</w:t>
      </w:r>
      <w:r>
        <w:rPr>
          <w:rStyle w:val="rynqvb"/>
        </w:rPr>
        <w:t xml:space="preserve">, </w:t>
      </w:r>
      <w:r w:rsidR="00B052A7">
        <w:rPr>
          <w:rStyle w:val="rynqvb"/>
        </w:rPr>
        <w:t xml:space="preserve">ale </w:t>
      </w:r>
      <w:r>
        <w:rPr>
          <w:rStyle w:val="rynqvb"/>
        </w:rPr>
        <w:t>aby odblokować pełen potencjał,</w:t>
      </w:r>
      <w:r w:rsidR="006772AC">
        <w:rPr>
          <w:rStyle w:val="rynqvb"/>
        </w:rPr>
        <w:t xml:space="preserve"> operatorzy muszą</w:t>
      </w:r>
      <w:r>
        <w:rPr>
          <w:rStyle w:val="rynqvb"/>
        </w:rPr>
        <w:t xml:space="preserve"> otworzyć </w:t>
      </w:r>
      <w:r w:rsidR="0056468B">
        <w:rPr>
          <w:rStyle w:val="rynqvb"/>
        </w:rPr>
        <w:t xml:space="preserve">się </w:t>
      </w:r>
      <w:r>
        <w:rPr>
          <w:rStyle w:val="rynqvb"/>
        </w:rPr>
        <w:t>na innowacje i</w:t>
      </w:r>
      <w:r w:rsidR="0056468B">
        <w:rPr>
          <w:rStyle w:val="rynqvb"/>
        </w:rPr>
        <w:t xml:space="preserve"> nowe modele biznesowe. </w:t>
      </w:r>
    </w:p>
    <w:p w14:paraId="55549536" w14:textId="77777777" w:rsidR="00AA62E6" w:rsidRPr="00AA62E6" w:rsidRDefault="00AA62E6" w:rsidP="00AA62E6">
      <w:pPr>
        <w:jc w:val="both"/>
        <w:rPr>
          <w:rStyle w:val="rynqvb"/>
        </w:rPr>
      </w:pPr>
    </w:p>
    <w:p w14:paraId="22F90155" w14:textId="182384EA" w:rsidR="00F65403" w:rsidRPr="00F65403" w:rsidRDefault="00F65403" w:rsidP="00F65403">
      <w:pPr>
        <w:spacing w:after="0"/>
        <w:jc w:val="both"/>
        <w:rPr>
          <w:sz w:val="16"/>
          <w:szCs w:val="16"/>
        </w:rPr>
      </w:pPr>
      <w:proofErr w:type="spellStart"/>
      <w:r w:rsidRPr="00F65403">
        <w:rPr>
          <w:b/>
          <w:bCs/>
          <w:sz w:val="16"/>
          <w:szCs w:val="16"/>
        </w:rPr>
        <w:t>Kearney</w:t>
      </w:r>
      <w:proofErr w:type="spellEnd"/>
      <w:r w:rsidRPr="00F65403">
        <w:rPr>
          <w:sz w:val="16"/>
          <w:szCs w:val="16"/>
        </w:rPr>
        <w:t xml:space="preserve"> to działająca od 1926 roku firma konsultingowa, zapewniająca strategiczne doradztwo największym na świecie przedsiębiorstwom, agencjom rządowym oraz organizacjom non-profit. Na liście jej klientów znajduje się ponad ¾ firm wymienianych w rankingu </w:t>
      </w:r>
      <w:proofErr w:type="spellStart"/>
      <w:r w:rsidRPr="00F65403">
        <w:rPr>
          <w:sz w:val="16"/>
          <w:szCs w:val="16"/>
        </w:rPr>
        <w:t>Fortune</w:t>
      </w:r>
      <w:proofErr w:type="spellEnd"/>
      <w:r w:rsidRPr="00F65403">
        <w:rPr>
          <w:sz w:val="16"/>
          <w:szCs w:val="16"/>
        </w:rPr>
        <w:t xml:space="preserve"> Global 500.</w:t>
      </w:r>
      <w:r w:rsidR="00542B40">
        <w:rPr>
          <w:sz w:val="16"/>
          <w:szCs w:val="16"/>
        </w:rPr>
        <w:t xml:space="preserve"> </w:t>
      </w:r>
      <w:proofErr w:type="spellStart"/>
      <w:r w:rsidR="00542B40">
        <w:rPr>
          <w:sz w:val="16"/>
          <w:szCs w:val="16"/>
        </w:rPr>
        <w:t>Kearney</w:t>
      </w:r>
      <w:proofErr w:type="spellEnd"/>
      <w:r w:rsidR="00542B40">
        <w:rPr>
          <w:sz w:val="16"/>
          <w:szCs w:val="16"/>
        </w:rPr>
        <w:t xml:space="preserve"> od dwóch lat znajduje się na pierwszym miejscu w </w:t>
      </w:r>
      <w:r w:rsidR="00542B40" w:rsidRPr="00542B40">
        <w:rPr>
          <w:sz w:val="16"/>
          <w:szCs w:val="16"/>
        </w:rPr>
        <w:t>The Consulting Report</w:t>
      </w:r>
      <w:r w:rsidR="00542B40">
        <w:rPr>
          <w:sz w:val="16"/>
          <w:szCs w:val="16"/>
        </w:rPr>
        <w:t>. D</w:t>
      </w:r>
      <w:r w:rsidRPr="00F65403">
        <w:rPr>
          <w:sz w:val="16"/>
          <w:szCs w:val="16"/>
        </w:rPr>
        <w:t xml:space="preserve">ziała poprzez sieć ponad 60 biur zlokalizowanych w ponad 40 krajach. Firma zatrudnia na całym świecie powyżej 4 tys. pracowników. Jej konsultanci są absolwentami prestiżowych uczelni oraz ekspertami z wieloletnim doświadczeniem w szeregu branż i sektorów. W Polsce </w:t>
      </w:r>
      <w:proofErr w:type="spellStart"/>
      <w:r w:rsidRPr="00F65403">
        <w:rPr>
          <w:sz w:val="16"/>
          <w:szCs w:val="16"/>
        </w:rPr>
        <w:t>Kearney</w:t>
      </w:r>
      <w:proofErr w:type="spellEnd"/>
      <w:r w:rsidRPr="00F65403">
        <w:rPr>
          <w:sz w:val="16"/>
          <w:szCs w:val="16"/>
        </w:rPr>
        <w:t xml:space="preserve"> działa od 1990 roku, a od 1996 roku posiada swoje oficjalne biuro w Warszawie. Na rynku polskim specjalizuje się w doradztwie strategicznym dla branż takich jak m.in.: finanse i bankowość, handel i dobra konsumenckie, telekomunikacja, energetyka, przemysł ciężki (chemia i górnictwo) oraz transport i logistyka (lotnictwo i kolejnictwo). Więcej na temat firmy: </w:t>
      </w:r>
      <w:hyperlink r:id="rId10" w:history="1">
        <w:r w:rsidRPr="00537C67">
          <w:rPr>
            <w:rStyle w:val="Hipercze"/>
            <w:sz w:val="16"/>
            <w:szCs w:val="16"/>
          </w:rPr>
          <w:t>www.kearney.com</w:t>
        </w:r>
      </w:hyperlink>
    </w:p>
    <w:p w14:paraId="498C921E" w14:textId="77777777" w:rsidR="00F65403" w:rsidRPr="00F65403" w:rsidRDefault="00F65403" w:rsidP="00F65403">
      <w:pPr>
        <w:spacing w:after="0"/>
        <w:jc w:val="right"/>
        <w:rPr>
          <w:b/>
          <w:bCs/>
          <w:sz w:val="16"/>
          <w:szCs w:val="16"/>
        </w:rPr>
      </w:pPr>
      <w:r w:rsidRPr="00F65403">
        <w:rPr>
          <w:b/>
          <w:bCs/>
          <w:sz w:val="16"/>
          <w:szCs w:val="16"/>
        </w:rPr>
        <w:t xml:space="preserve">Kontakt dla mediów: </w:t>
      </w:r>
    </w:p>
    <w:p w14:paraId="59D6BE65" w14:textId="77777777" w:rsidR="00462902" w:rsidRPr="00462902" w:rsidRDefault="00462902" w:rsidP="00462902">
      <w:pPr>
        <w:spacing w:after="0" w:line="276" w:lineRule="auto"/>
        <w:jc w:val="right"/>
        <w:rPr>
          <w:rFonts w:cstheme="minorHAnsi"/>
          <w:sz w:val="16"/>
          <w:szCs w:val="16"/>
        </w:rPr>
      </w:pPr>
      <w:r w:rsidRPr="00462902">
        <w:rPr>
          <w:rFonts w:cstheme="minorHAnsi"/>
          <w:sz w:val="16"/>
          <w:szCs w:val="16"/>
        </w:rPr>
        <w:t>Joanna Kuciel</w:t>
      </w:r>
    </w:p>
    <w:p w14:paraId="1E53169D" w14:textId="77777777" w:rsidR="00462902" w:rsidRPr="00462902" w:rsidRDefault="00462902" w:rsidP="00462902">
      <w:pPr>
        <w:spacing w:after="0"/>
        <w:jc w:val="right"/>
        <w:rPr>
          <w:rFonts w:cstheme="minorHAnsi"/>
          <w:sz w:val="16"/>
          <w:szCs w:val="16"/>
        </w:rPr>
      </w:pPr>
      <w:r w:rsidRPr="00462902">
        <w:rPr>
          <w:rFonts w:cstheme="minorHAnsi"/>
          <w:sz w:val="16"/>
          <w:szCs w:val="16"/>
        </w:rPr>
        <w:t>e-mail:</w:t>
      </w:r>
      <w:r w:rsidRPr="00462902">
        <w:rPr>
          <w:sz w:val="16"/>
          <w:szCs w:val="16"/>
        </w:rPr>
        <w:t xml:space="preserve"> </w:t>
      </w:r>
      <w:hyperlink r:id="rId11" w:history="1">
        <w:r w:rsidRPr="00462902">
          <w:rPr>
            <w:rStyle w:val="Hipercze"/>
            <w:rFonts w:cstheme="minorHAnsi"/>
            <w:sz w:val="16"/>
            <w:szCs w:val="16"/>
          </w:rPr>
          <w:t>joanna.kuciel@goodonepr.pl</w:t>
        </w:r>
      </w:hyperlink>
    </w:p>
    <w:p w14:paraId="210CA558" w14:textId="4C9526E9" w:rsidR="00DA49CF" w:rsidRPr="00A64479" w:rsidRDefault="00462902" w:rsidP="00A64479">
      <w:pPr>
        <w:spacing w:after="0" w:line="276" w:lineRule="auto"/>
        <w:jc w:val="right"/>
        <w:rPr>
          <w:rFonts w:cstheme="minorHAnsi"/>
          <w:sz w:val="16"/>
          <w:szCs w:val="16"/>
        </w:rPr>
      </w:pPr>
      <w:r w:rsidRPr="00DA49CF">
        <w:rPr>
          <w:rFonts w:cstheme="minorHAnsi"/>
          <w:sz w:val="16"/>
          <w:szCs w:val="16"/>
        </w:rPr>
        <w:t xml:space="preserve">Tel.: </w:t>
      </w:r>
      <w:r w:rsidRPr="00DA49CF">
        <w:rPr>
          <w:rFonts w:cstheme="minorHAnsi"/>
          <w:sz w:val="16"/>
          <w:szCs w:val="16"/>
          <w:shd w:val="clear" w:color="auto" w:fill="FFFFFF"/>
        </w:rPr>
        <w:t>+48</w:t>
      </w:r>
      <w:r w:rsidRPr="00DA49CF">
        <w:rPr>
          <w:rFonts w:cstheme="minorHAnsi"/>
          <w:b/>
          <w:bCs/>
          <w:sz w:val="16"/>
          <w:szCs w:val="16"/>
          <w:shd w:val="clear" w:color="auto" w:fill="FFFFFF"/>
        </w:rPr>
        <w:t> </w:t>
      </w:r>
      <w:r w:rsidRPr="00DA49CF">
        <w:rPr>
          <w:rFonts w:cstheme="minorHAnsi"/>
          <w:sz w:val="16"/>
          <w:szCs w:val="16"/>
          <w:shd w:val="clear" w:color="auto" w:fill="FFFFFF"/>
        </w:rPr>
        <w:t>796 996 272</w:t>
      </w:r>
    </w:p>
    <w:sectPr w:rsidR="00DA49CF" w:rsidRPr="00A64479" w:rsidSect="00B345CB">
      <w:headerReference w:type="default" r:id="rId12"/>
      <w:footerReference w:type="default" r:id="rId13"/>
      <w:pgSz w:w="11906" w:h="16838"/>
      <w:pgMar w:top="567" w:right="1418" w:bottom="567" w:left="1418" w:header="567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E181" w14:textId="77777777" w:rsidR="00BF5EC9" w:rsidRDefault="00BF5EC9">
      <w:pPr>
        <w:spacing w:after="0" w:line="240" w:lineRule="auto"/>
      </w:pPr>
      <w:r>
        <w:separator/>
      </w:r>
    </w:p>
  </w:endnote>
  <w:endnote w:type="continuationSeparator" w:id="0">
    <w:p w14:paraId="616D4802" w14:textId="77777777" w:rsidR="00BF5EC9" w:rsidRDefault="00BF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3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434"/>
      <w:gridCol w:w="840"/>
      <w:gridCol w:w="1160"/>
    </w:tblGrid>
    <w:tr w:rsidR="00DB4059" w:rsidRPr="00DB4059" w14:paraId="2C92D9A4" w14:textId="77777777" w:rsidTr="00B345CB">
      <w:trPr>
        <w:trHeight w:val="14"/>
      </w:trPr>
      <w:tc>
        <w:tcPr>
          <w:tcW w:w="6434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75D5F7DD" w14:textId="09F5C436" w:rsidR="00DB4059" w:rsidRPr="00DB4059" w:rsidRDefault="00DB4059" w:rsidP="00DB405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60" w:lineRule="auto"/>
            <w:rPr>
              <w:color w:val="1E1E1E"/>
              <w:sz w:val="14"/>
              <w:szCs w:val="14"/>
              <w:lang w:val="en-US"/>
            </w:rPr>
          </w:pPr>
        </w:p>
      </w:tc>
    </w:tr>
    <w:tr w:rsidR="00DB4059" w14:paraId="050538EC" w14:textId="77777777" w:rsidTr="00B345CB">
      <w:trPr>
        <w:trHeight w:val="123"/>
      </w:trPr>
      <w:tc>
        <w:tcPr>
          <w:tcW w:w="4434" w:type="dxa"/>
          <w:tcMar>
            <w:left w:w="0" w:type="dxa"/>
            <w:right w:w="0" w:type="dxa"/>
          </w:tcMar>
          <w:vAlign w:val="bottom"/>
        </w:tcPr>
        <w:p w14:paraId="4DF1797A" w14:textId="77777777" w:rsidR="00DB4059" w:rsidRPr="00DB4059" w:rsidRDefault="00DB4059" w:rsidP="00DB405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60" w:lineRule="auto"/>
            <w:ind w:right="40"/>
            <w:rPr>
              <w:color w:val="1E1E1E"/>
              <w:sz w:val="12"/>
              <w:szCs w:val="12"/>
              <w:lang w:val="en-US"/>
            </w:rPr>
          </w:pPr>
        </w:p>
      </w:tc>
      <w:tc>
        <w:tcPr>
          <w:tcW w:w="840" w:type="dxa"/>
        </w:tcPr>
        <w:p w14:paraId="43CE0A59" w14:textId="77777777" w:rsidR="00DB4059" w:rsidRPr="00DB4059" w:rsidRDefault="00DB4059" w:rsidP="00DB405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660" w:right="40"/>
            <w:rPr>
              <w:color w:val="1E1E1E"/>
              <w:sz w:val="12"/>
              <w:szCs w:val="12"/>
              <w:lang w:val="en-US"/>
            </w:rPr>
          </w:pPr>
        </w:p>
      </w:tc>
      <w:tc>
        <w:tcPr>
          <w:tcW w:w="1160" w:type="dxa"/>
          <w:tcMar>
            <w:left w:w="0" w:type="dxa"/>
            <w:right w:w="0" w:type="dxa"/>
          </w:tcMar>
          <w:vAlign w:val="bottom"/>
        </w:tcPr>
        <w:p w14:paraId="3B3540D7" w14:textId="5769E022" w:rsidR="00DB4059" w:rsidRDefault="00DB4059" w:rsidP="00DB405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60" w:lineRule="auto"/>
            <w:ind w:left="109"/>
            <w:rPr>
              <w:color w:val="1E1E1E"/>
              <w:sz w:val="14"/>
              <w:szCs w:val="14"/>
            </w:rPr>
          </w:pPr>
        </w:p>
      </w:tc>
    </w:tr>
  </w:tbl>
  <w:p w14:paraId="578B4E7C" w14:textId="77777777" w:rsidR="00B345CB" w:rsidRPr="008F1B2F" w:rsidRDefault="00B345CB" w:rsidP="00B345CB">
    <w:pPr>
      <w:widowControl w:val="0"/>
      <w:pBdr>
        <w:top w:val="nil"/>
        <w:left w:val="nil"/>
        <w:bottom w:val="nil"/>
        <w:right w:val="nil"/>
        <w:between w:val="nil"/>
      </w:pBdr>
      <w:spacing w:after="0" w:line="160" w:lineRule="auto"/>
      <w:ind w:left="109"/>
      <w:jc w:val="right"/>
      <w:rPr>
        <w:color w:val="1E1E1E"/>
        <w:sz w:val="14"/>
        <w:szCs w:val="14"/>
        <w:lang w:val="en-US"/>
      </w:rPr>
    </w:pPr>
    <w:r w:rsidRPr="008F1B2F">
      <w:rPr>
        <w:color w:val="1E1E1E"/>
        <w:sz w:val="14"/>
        <w:szCs w:val="14"/>
        <w:lang w:val="en-US"/>
      </w:rPr>
      <w:t xml:space="preserve">A.T. Kearney Sp. z </w:t>
    </w:r>
    <w:proofErr w:type="spellStart"/>
    <w:r w:rsidRPr="008F1B2F">
      <w:rPr>
        <w:color w:val="1E1E1E"/>
        <w:sz w:val="14"/>
        <w:szCs w:val="14"/>
        <w:lang w:val="en-US"/>
      </w:rPr>
      <w:t>o.o.</w:t>
    </w:r>
    <w:proofErr w:type="spellEnd"/>
  </w:p>
  <w:p w14:paraId="164EDB11" w14:textId="77777777" w:rsidR="00B345CB" w:rsidRPr="008F1B2F" w:rsidRDefault="00B345CB" w:rsidP="00B345CB">
    <w:pPr>
      <w:widowControl w:val="0"/>
      <w:pBdr>
        <w:top w:val="nil"/>
        <w:left w:val="nil"/>
        <w:bottom w:val="nil"/>
        <w:right w:val="nil"/>
        <w:between w:val="nil"/>
      </w:pBdr>
      <w:spacing w:after="0" w:line="160" w:lineRule="auto"/>
      <w:ind w:left="109"/>
      <w:jc w:val="right"/>
      <w:rPr>
        <w:color w:val="1E1E1E"/>
        <w:sz w:val="14"/>
        <w:szCs w:val="14"/>
        <w:lang w:val="en-US"/>
      </w:rPr>
    </w:pPr>
    <w:r w:rsidRPr="008F1B2F">
      <w:rPr>
        <w:color w:val="1E1E1E"/>
        <w:sz w:val="14"/>
        <w:szCs w:val="14"/>
        <w:lang w:val="en-US"/>
      </w:rPr>
      <w:t>Rondo ONZ 1</w:t>
    </w:r>
  </w:p>
  <w:p w14:paraId="6A36E3DB" w14:textId="77777777" w:rsidR="00B345CB" w:rsidRPr="00BA104B" w:rsidRDefault="00B345CB" w:rsidP="00B345CB">
    <w:pPr>
      <w:widowControl w:val="0"/>
      <w:pBdr>
        <w:top w:val="nil"/>
        <w:left w:val="nil"/>
        <w:bottom w:val="nil"/>
        <w:right w:val="nil"/>
        <w:between w:val="nil"/>
      </w:pBdr>
      <w:spacing w:after="0" w:line="160" w:lineRule="auto"/>
      <w:ind w:left="109"/>
      <w:jc w:val="right"/>
      <w:rPr>
        <w:color w:val="1E1E1E"/>
        <w:sz w:val="14"/>
        <w:szCs w:val="14"/>
        <w:lang w:val="en-US"/>
      </w:rPr>
    </w:pPr>
    <w:r>
      <w:rPr>
        <w:color w:val="1E1E1E"/>
        <w:sz w:val="14"/>
        <w:szCs w:val="14"/>
        <w:lang w:val="en-US"/>
      </w:rPr>
      <w:t>3</w:t>
    </w:r>
    <w:r w:rsidRPr="00BA104B">
      <w:rPr>
        <w:color w:val="1E1E1E"/>
        <w:sz w:val="14"/>
        <w:szCs w:val="14"/>
        <w:lang w:val="en-US"/>
      </w:rPr>
      <w:t>4th Floor</w:t>
    </w:r>
  </w:p>
  <w:p w14:paraId="56D029BD" w14:textId="77777777" w:rsidR="00B345CB" w:rsidRPr="00BA104B" w:rsidRDefault="00B345CB" w:rsidP="00B345CB">
    <w:pPr>
      <w:widowControl w:val="0"/>
      <w:pBdr>
        <w:top w:val="nil"/>
        <w:left w:val="nil"/>
        <w:bottom w:val="nil"/>
        <w:right w:val="nil"/>
        <w:between w:val="nil"/>
      </w:pBdr>
      <w:spacing w:after="0" w:line="160" w:lineRule="auto"/>
      <w:ind w:left="109"/>
      <w:jc w:val="right"/>
      <w:rPr>
        <w:color w:val="1E1E1E"/>
        <w:sz w:val="14"/>
        <w:szCs w:val="14"/>
        <w:lang w:val="en-US"/>
      </w:rPr>
    </w:pPr>
    <w:r w:rsidRPr="00BA104B">
      <w:rPr>
        <w:color w:val="1E1E1E"/>
        <w:sz w:val="14"/>
        <w:szCs w:val="14"/>
        <w:lang w:val="en-US"/>
      </w:rPr>
      <w:t>00-1</w:t>
    </w:r>
    <w:r>
      <w:rPr>
        <w:color w:val="1E1E1E"/>
        <w:sz w:val="14"/>
        <w:szCs w:val="14"/>
        <w:lang w:val="en-US"/>
      </w:rPr>
      <w:t>24</w:t>
    </w:r>
    <w:r w:rsidRPr="00BA104B">
      <w:rPr>
        <w:color w:val="1E1E1E"/>
        <w:sz w:val="14"/>
        <w:szCs w:val="14"/>
        <w:lang w:val="en-US"/>
      </w:rPr>
      <w:t xml:space="preserve"> Warsaw, Poland</w:t>
    </w:r>
  </w:p>
  <w:p w14:paraId="0ADE280E" w14:textId="77777777" w:rsidR="00B345CB" w:rsidRPr="00BA104B" w:rsidRDefault="00B345CB" w:rsidP="00B345CB">
    <w:pPr>
      <w:widowControl w:val="0"/>
      <w:pBdr>
        <w:top w:val="nil"/>
        <w:left w:val="nil"/>
        <w:bottom w:val="nil"/>
        <w:right w:val="nil"/>
        <w:between w:val="nil"/>
      </w:pBdr>
      <w:spacing w:after="0" w:line="160" w:lineRule="auto"/>
      <w:ind w:left="109"/>
      <w:jc w:val="right"/>
      <w:rPr>
        <w:color w:val="1E1E1E"/>
        <w:sz w:val="14"/>
        <w:szCs w:val="14"/>
        <w:lang w:val="en-US"/>
      </w:rPr>
    </w:pPr>
    <w:r w:rsidRPr="00BA104B">
      <w:rPr>
        <w:color w:val="1E1E1E"/>
        <w:sz w:val="14"/>
        <w:szCs w:val="14"/>
        <w:lang w:val="en-US"/>
      </w:rPr>
      <w:t>+48 22 581 66 66 (Office)</w:t>
    </w:r>
  </w:p>
  <w:p w14:paraId="35A349F5" w14:textId="08664B78" w:rsidR="00DB4059" w:rsidRDefault="00B345CB" w:rsidP="00B345CB">
    <w:pPr>
      <w:pStyle w:val="Stopka"/>
      <w:jc w:val="right"/>
    </w:pPr>
    <w:r>
      <w:rPr>
        <w:color w:val="1E1E1E"/>
        <w:sz w:val="14"/>
        <w:szCs w:val="14"/>
      </w:rPr>
      <w:t>Kearney.com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5FCF" w14:textId="77777777" w:rsidR="00BF5EC9" w:rsidRDefault="00BF5EC9">
      <w:pPr>
        <w:spacing w:after="0" w:line="240" w:lineRule="auto"/>
      </w:pPr>
      <w:r>
        <w:separator/>
      </w:r>
    </w:p>
  </w:footnote>
  <w:footnote w:type="continuationSeparator" w:id="0">
    <w:p w14:paraId="36676274" w14:textId="77777777" w:rsidR="00BF5EC9" w:rsidRDefault="00BF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8DFE" w14:textId="185D5AFE" w:rsidR="00C9118F" w:rsidRDefault="00C9118F" w:rsidP="00C9118F">
    <w:pPr>
      <w:pStyle w:val="Nagwek"/>
      <w:tabs>
        <w:tab w:val="clear" w:pos="4536"/>
      </w:tabs>
    </w:pPr>
    <w:r>
      <w:rPr>
        <w:noProof/>
        <w:color w:val="1E1E1E"/>
      </w:rPr>
      <w:drawing>
        <wp:anchor distT="0" distB="0" distL="114300" distR="114300" simplePos="0" relativeHeight="251659264" behindDoc="1" locked="0" layoutInCell="1" hidden="0" allowOverlap="1" wp14:anchorId="6A7DF70A" wp14:editId="7175144B">
          <wp:simplePos x="0" y="0"/>
          <wp:positionH relativeFrom="margin">
            <wp:posOffset>4958080</wp:posOffset>
          </wp:positionH>
          <wp:positionV relativeFrom="margin">
            <wp:posOffset>-400050</wp:posOffset>
          </wp:positionV>
          <wp:extent cx="1256665" cy="151130"/>
          <wp:effectExtent l="0" t="0" r="635" b="127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665" cy="15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C6C726" w14:textId="1A85C182" w:rsidR="00DB4059" w:rsidRDefault="00C9118F" w:rsidP="00C9118F">
    <w:pPr>
      <w:pStyle w:val="Nagwek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67E7"/>
    <w:multiLevelType w:val="hybridMultilevel"/>
    <w:tmpl w:val="A4DE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584"/>
    <w:multiLevelType w:val="hybridMultilevel"/>
    <w:tmpl w:val="7EAC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164977">
    <w:abstractNumId w:val="0"/>
  </w:num>
  <w:num w:numId="2" w16cid:durableId="154417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8"/>
    <w:rsid w:val="000156DE"/>
    <w:rsid w:val="00017D4D"/>
    <w:rsid w:val="00025EB2"/>
    <w:rsid w:val="0003075C"/>
    <w:rsid w:val="00030A25"/>
    <w:rsid w:val="0003219A"/>
    <w:rsid w:val="00033F03"/>
    <w:rsid w:val="00034629"/>
    <w:rsid w:val="00042245"/>
    <w:rsid w:val="00052CA0"/>
    <w:rsid w:val="000568A6"/>
    <w:rsid w:val="0005744F"/>
    <w:rsid w:val="00063552"/>
    <w:rsid w:val="00063C08"/>
    <w:rsid w:val="00064F68"/>
    <w:rsid w:val="0007729C"/>
    <w:rsid w:val="00081CA4"/>
    <w:rsid w:val="000841AF"/>
    <w:rsid w:val="000848C7"/>
    <w:rsid w:val="000850FB"/>
    <w:rsid w:val="00095088"/>
    <w:rsid w:val="000A0B22"/>
    <w:rsid w:val="000A3FF6"/>
    <w:rsid w:val="000B41E7"/>
    <w:rsid w:val="000B7229"/>
    <w:rsid w:val="000B7FCF"/>
    <w:rsid w:val="000C0881"/>
    <w:rsid w:val="000C4D23"/>
    <w:rsid w:val="000D24F9"/>
    <w:rsid w:val="000E3AEA"/>
    <w:rsid w:val="000F29E0"/>
    <w:rsid w:val="000F2A4D"/>
    <w:rsid w:val="000F4A1F"/>
    <w:rsid w:val="00100144"/>
    <w:rsid w:val="00114ED1"/>
    <w:rsid w:val="00114F8E"/>
    <w:rsid w:val="00116C5B"/>
    <w:rsid w:val="00120715"/>
    <w:rsid w:val="0012375E"/>
    <w:rsid w:val="00124F89"/>
    <w:rsid w:val="0013686D"/>
    <w:rsid w:val="00142134"/>
    <w:rsid w:val="001427CF"/>
    <w:rsid w:val="00143214"/>
    <w:rsid w:val="00152976"/>
    <w:rsid w:val="0016738D"/>
    <w:rsid w:val="00176043"/>
    <w:rsid w:val="00180D4B"/>
    <w:rsid w:val="001923AC"/>
    <w:rsid w:val="001A0C99"/>
    <w:rsid w:val="001A5019"/>
    <w:rsid w:val="001B36BC"/>
    <w:rsid w:val="001B4798"/>
    <w:rsid w:val="001B7069"/>
    <w:rsid w:val="001B7518"/>
    <w:rsid w:val="001B781E"/>
    <w:rsid w:val="001C05A5"/>
    <w:rsid w:val="001D3FB8"/>
    <w:rsid w:val="001E059C"/>
    <w:rsid w:val="001E11C7"/>
    <w:rsid w:val="001E2DE8"/>
    <w:rsid w:val="001E3F67"/>
    <w:rsid w:val="001E467E"/>
    <w:rsid w:val="001E6C44"/>
    <w:rsid w:val="001F1904"/>
    <w:rsid w:val="001F2E9D"/>
    <w:rsid w:val="001F4BF0"/>
    <w:rsid w:val="00202E77"/>
    <w:rsid w:val="00206060"/>
    <w:rsid w:val="002105C3"/>
    <w:rsid w:val="00211DAC"/>
    <w:rsid w:val="0023349F"/>
    <w:rsid w:val="00233F44"/>
    <w:rsid w:val="0024057A"/>
    <w:rsid w:val="00240A19"/>
    <w:rsid w:val="00245FD5"/>
    <w:rsid w:val="00246385"/>
    <w:rsid w:val="00246563"/>
    <w:rsid w:val="002524DC"/>
    <w:rsid w:val="00257422"/>
    <w:rsid w:val="00263782"/>
    <w:rsid w:val="00274FD0"/>
    <w:rsid w:val="00277983"/>
    <w:rsid w:val="00283847"/>
    <w:rsid w:val="00292B48"/>
    <w:rsid w:val="00294284"/>
    <w:rsid w:val="002A0615"/>
    <w:rsid w:val="002A3FA1"/>
    <w:rsid w:val="002B7F75"/>
    <w:rsid w:val="002C1307"/>
    <w:rsid w:val="002C72F1"/>
    <w:rsid w:val="002D6050"/>
    <w:rsid w:val="002E0557"/>
    <w:rsid w:val="002E0874"/>
    <w:rsid w:val="002E6C7A"/>
    <w:rsid w:val="002F2FC1"/>
    <w:rsid w:val="002F3FE2"/>
    <w:rsid w:val="002F7E46"/>
    <w:rsid w:val="003050B4"/>
    <w:rsid w:val="00316D4F"/>
    <w:rsid w:val="0032586A"/>
    <w:rsid w:val="00332361"/>
    <w:rsid w:val="003351C9"/>
    <w:rsid w:val="0034390D"/>
    <w:rsid w:val="003458C8"/>
    <w:rsid w:val="0035429C"/>
    <w:rsid w:val="003608B7"/>
    <w:rsid w:val="00362A3D"/>
    <w:rsid w:val="00363712"/>
    <w:rsid w:val="00370FB2"/>
    <w:rsid w:val="003721C9"/>
    <w:rsid w:val="00372695"/>
    <w:rsid w:val="003812D1"/>
    <w:rsid w:val="003818FF"/>
    <w:rsid w:val="003904C5"/>
    <w:rsid w:val="00391B7F"/>
    <w:rsid w:val="00396983"/>
    <w:rsid w:val="00397078"/>
    <w:rsid w:val="003B13D4"/>
    <w:rsid w:val="003B57E9"/>
    <w:rsid w:val="003C568F"/>
    <w:rsid w:val="003C681C"/>
    <w:rsid w:val="003D0D59"/>
    <w:rsid w:val="003D34A3"/>
    <w:rsid w:val="003E085B"/>
    <w:rsid w:val="003E49AB"/>
    <w:rsid w:val="003E774E"/>
    <w:rsid w:val="004001B6"/>
    <w:rsid w:val="00416B94"/>
    <w:rsid w:val="00423CF4"/>
    <w:rsid w:val="00430258"/>
    <w:rsid w:val="00435A2D"/>
    <w:rsid w:val="004465C8"/>
    <w:rsid w:val="004578EF"/>
    <w:rsid w:val="004607AF"/>
    <w:rsid w:val="00462902"/>
    <w:rsid w:val="0048265A"/>
    <w:rsid w:val="00484536"/>
    <w:rsid w:val="00490E2E"/>
    <w:rsid w:val="00495071"/>
    <w:rsid w:val="00495630"/>
    <w:rsid w:val="004A48AE"/>
    <w:rsid w:val="004A4F44"/>
    <w:rsid w:val="004A556A"/>
    <w:rsid w:val="004A7F3A"/>
    <w:rsid w:val="004B23AD"/>
    <w:rsid w:val="004E3D9E"/>
    <w:rsid w:val="004E5624"/>
    <w:rsid w:val="004F0E7E"/>
    <w:rsid w:val="004F31FC"/>
    <w:rsid w:val="004F420C"/>
    <w:rsid w:val="0050254E"/>
    <w:rsid w:val="00507D00"/>
    <w:rsid w:val="005103D2"/>
    <w:rsid w:val="005141EF"/>
    <w:rsid w:val="005142AB"/>
    <w:rsid w:val="0051550C"/>
    <w:rsid w:val="005177C7"/>
    <w:rsid w:val="00520EBC"/>
    <w:rsid w:val="0052288D"/>
    <w:rsid w:val="005228E1"/>
    <w:rsid w:val="00524D76"/>
    <w:rsid w:val="00525A6B"/>
    <w:rsid w:val="00526F96"/>
    <w:rsid w:val="00530628"/>
    <w:rsid w:val="0053071B"/>
    <w:rsid w:val="00531813"/>
    <w:rsid w:val="00534172"/>
    <w:rsid w:val="00542B40"/>
    <w:rsid w:val="005505BA"/>
    <w:rsid w:val="00551885"/>
    <w:rsid w:val="00557226"/>
    <w:rsid w:val="00562A9A"/>
    <w:rsid w:val="0056468B"/>
    <w:rsid w:val="00571BB2"/>
    <w:rsid w:val="0057657C"/>
    <w:rsid w:val="00577A65"/>
    <w:rsid w:val="005818E6"/>
    <w:rsid w:val="005869B2"/>
    <w:rsid w:val="005879A2"/>
    <w:rsid w:val="00592012"/>
    <w:rsid w:val="00592445"/>
    <w:rsid w:val="00595E5A"/>
    <w:rsid w:val="005A286D"/>
    <w:rsid w:val="005B1914"/>
    <w:rsid w:val="005B5D42"/>
    <w:rsid w:val="005C799C"/>
    <w:rsid w:val="005D21D1"/>
    <w:rsid w:val="005D752C"/>
    <w:rsid w:val="005F2AB8"/>
    <w:rsid w:val="00601A62"/>
    <w:rsid w:val="00602ED5"/>
    <w:rsid w:val="00604CD0"/>
    <w:rsid w:val="00605BFB"/>
    <w:rsid w:val="00611160"/>
    <w:rsid w:val="00613455"/>
    <w:rsid w:val="00614A83"/>
    <w:rsid w:val="006207DD"/>
    <w:rsid w:val="006228D4"/>
    <w:rsid w:val="00622CD1"/>
    <w:rsid w:val="006301F7"/>
    <w:rsid w:val="0063284E"/>
    <w:rsid w:val="00641E69"/>
    <w:rsid w:val="00641E8B"/>
    <w:rsid w:val="00642E54"/>
    <w:rsid w:val="00644FD4"/>
    <w:rsid w:val="00650939"/>
    <w:rsid w:val="006518D2"/>
    <w:rsid w:val="006532C7"/>
    <w:rsid w:val="006552D5"/>
    <w:rsid w:val="00671FE4"/>
    <w:rsid w:val="00672424"/>
    <w:rsid w:val="00673218"/>
    <w:rsid w:val="00673379"/>
    <w:rsid w:val="00673B9E"/>
    <w:rsid w:val="006772AC"/>
    <w:rsid w:val="00682A8B"/>
    <w:rsid w:val="0069009F"/>
    <w:rsid w:val="00694DC3"/>
    <w:rsid w:val="00697C49"/>
    <w:rsid w:val="006A1674"/>
    <w:rsid w:val="006A390C"/>
    <w:rsid w:val="006A70DE"/>
    <w:rsid w:val="006B597D"/>
    <w:rsid w:val="006C4A9A"/>
    <w:rsid w:val="006F30DA"/>
    <w:rsid w:val="006F3C1D"/>
    <w:rsid w:val="006F60C1"/>
    <w:rsid w:val="006F7652"/>
    <w:rsid w:val="006F79A9"/>
    <w:rsid w:val="00707175"/>
    <w:rsid w:val="00713FD6"/>
    <w:rsid w:val="00720E60"/>
    <w:rsid w:val="00721708"/>
    <w:rsid w:val="00721C68"/>
    <w:rsid w:val="00722869"/>
    <w:rsid w:val="0072360D"/>
    <w:rsid w:val="00723936"/>
    <w:rsid w:val="00741F79"/>
    <w:rsid w:val="00746A2C"/>
    <w:rsid w:val="007477F6"/>
    <w:rsid w:val="00751138"/>
    <w:rsid w:val="00755A5E"/>
    <w:rsid w:val="00757590"/>
    <w:rsid w:val="00784522"/>
    <w:rsid w:val="0079175D"/>
    <w:rsid w:val="007940AF"/>
    <w:rsid w:val="007943C6"/>
    <w:rsid w:val="00797CF1"/>
    <w:rsid w:val="007A2606"/>
    <w:rsid w:val="007A56FA"/>
    <w:rsid w:val="007B080F"/>
    <w:rsid w:val="007B4B54"/>
    <w:rsid w:val="007B4F06"/>
    <w:rsid w:val="007C4653"/>
    <w:rsid w:val="007C775C"/>
    <w:rsid w:val="007D21F8"/>
    <w:rsid w:val="007E1CBA"/>
    <w:rsid w:val="007E625D"/>
    <w:rsid w:val="007F04A9"/>
    <w:rsid w:val="007F45D8"/>
    <w:rsid w:val="007F5964"/>
    <w:rsid w:val="007F6988"/>
    <w:rsid w:val="007F7251"/>
    <w:rsid w:val="007F79C2"/>
    <w:rsid w:val="00800477"/>
    <w:rsid w:val="008009CF"/>
    <w:rsid w:val="00801097"/>
    <w:rsid w:val="0081185D"/>
    <w:rsid w:val="00812195"/>
    <w:rsid w:val="00812461"/>
    <w:rsid w:val="00815ABA"/>
    <w:rsid w:val="0082252F"/>
    <w:rsid w:val="0082394E"/>
    <w:rsid w:val="0083573A"/>
    <w:rsid w:val="00841CD5"/>
    <w:rsid w:val="00841FA9"/>
    <w:rsid w:val="00845D07"/>
    <w:rsid w:val="00850456"/>
    <w:rsid w:val="00854DD3"/>
    <w:rsid w:val="00860950"/>
    <w:rsid w:val="008722BE"/>
    <w:rsid w:val="00876360"/>
    <w:rsid w:val="008856F6"/>
    <w:rsid w:val="008929F0"/>
    <w:rsid w:val="008A4A54"/>
    <w:rsid w:val="008B5ABA"/>
    <w:rsid w:val="008C2E31"/>
    <w:rsid w:val="008D43E7"/>
    <w:rsid w:val="008D7A76"/>
    <w:rsid w:val="008F0CC5"/>
    <w:rsid w:val="008F1B2F"/>
    <w:rsid w:val="008F3268"/>
    <w:rsid w:val="00902379"/>
    <w:rsid w:val="00905324"/>
    <w:rsid w:val="009101D8"/>
    <w:rsid w:val="00911A8C"/>
    <w:rsid w:val="00911D08"/>
    <w:rsid w:val="00912DC6"/>
    <w:rsid w:val="00916076"/>
    <w:rsid w:val="00916735"/>
    <w:rsid w:val="009168C2"/>
    <w:rsid w:val="009202A6"/>
    <w:rsid w:val="009208AA"/>
    <w:rsid w:val="00930D7C"/>
    <w:rsid w:val="009325EA"/>
    <w:rsid w:val="00933A4B"/>
    <w:rsid w:val="0094606A"/>
    <w:rsid w:val="009509EA"/>
    <w:rsid w:val="009549DB"/>
    <w:rsid w:val="009552DF"/>
    <w:rsid w:val="009639E7"/>
    <w:rsid w:val="0096707E"/>
    <w:rsid w:val="00967095"/>
    <w:rsid w:val="00973F7D"/>
    <w:rsid w:val="0097565A"/>
    <w:rsid w:val="00984B27"/>
    <w:rsid w:val="00985AD4"/>
    <w:rsid w:val="00996C3A"/>
    <w:rsid w:val="009A0397"/>
    <w:rsid w:val="009B3904"/>
    <w:rsid w:val="009C2E6B"/>
    <w:rsid w:val="009D2387"/>
    <w:rsid w:val="009D728E"/>
    <w:rsid w:val="009E7628"/>
    <w:rsid w:val="009F165C"/>
    <w:rsid w:val="009F4132"/>
    <w:rsid w:val="00A05BFB"/>
    <w:rsid w:val="00A0725D"/>
    <w:rsid w:val="00A14EDB"/>
    <w:rsid w:val="00A219FB"/>
    <w:rsid w:val="00A2467A"/>
    <w:rsid w:val="00A45A77"/>
    <w:rsid w:val="00A57E51"/>
    <w:rsid w:val="00A64276"/>
    <w:rsid w:val="00A64479"/>
    <w:rsid w:val="00A67E94"/>
    <w:rsid w:val="00A76E72"/>
    <w:rsid w:val="00A84605"/>
    <w:rsid w:val="00A91B5B"/>
    <w:rsid w:val="00AA3002"/>
    <w:rsid w:val="00AA3923"/>
    <w:rsid w:val="00AA62E6"/>
    <w:rsid w:val="00AB1796"/>
    <w:rsid w:val="00AC66B1"/>
    <w:rsid w:val="00AD5EFA"/>
    <w:rsid w:val="00AD72CE"/>
    <w:rsid w:val="00AD7C34"/>
    <w:rsid w:val="00AE59E8"/>
    <w:rsid w:val="00AE66AB"/>
    <w:rsid w:val="00AF2B8B"/>
    <w:rsid w:val="00B01797"/>
    <w:rsid w:val="00B024A6"/>
    <w:rsid w:val="00B052A7"/>
    <w:rsid w:val="00B06619"/>
    <w:rsid w:val="00B333E3"/>
    <w:rsid w:val="00B345CB"/>
    <w:rsid w:val="00B449C6"/>
    <w:rsid w:val="00B465D0"/>
    <w:rsid w:val="00B50D71"/>
    <w:rsid w:val="00B552B6"/>
    <w:rsid w:val="00B61102"/>
    <w:rsid w:val="00B64F2B"/>
    <w:rsid w:val="00B679EA"/>
    <w:rsid w:val="00B768AF"/>
    <w:rsid w:val="00B873CF"/>
    <w:rsid w:val="00B96962"/>
    <w:rsid w:val="00BA0F2F"/>
    <w:rsid w:val="00BB6711"/>
    <w:rsid w:val="00BB71F1"/>
    <w:rsid w:val="00BC0A1C"/>
    <w:rsid w:val="00BC0F14"/>
    <w:rsid w:val="00BC21E6"/>
    <w:rsid w:val="00BC31F4"/>
    <w:rsid w:val="00BC441B"/>
    <w:rsid w:val="00BD045D"/>
    <w:rsid w:val="00BD280F"/>
    <w:rsid w:val="00BD6A41"/>
    <w:rsid w:val="00BE3E3C"/>
    <w:rsid w:val="00BF5EC9"/>
    <w:rsid w:val="00C03877"/>
    <w:rsid w:val="00C053BA"/>
    <w:rsid w:val="00C05AC1"/>
    <w:rsid w:val="00C12AF4"/>
    <w:rsid w:val="00C13A5F"/>
    <w:rsid w:val="00C27C5A"/>
    <w:rsid w:val="00C340D6"/>
    <w:rsid w:val="00C37B1E"/>
    <w:rsid w:val="00C4520A"/>
    <w:rsid w:val="00C53614"/>
    <w:rsid w:val="00C5407A"/>
    <w:rsid w:val="00C57CDC"/>
    <w:rsid w:val="00C60746"/>
    <w:rsid w:val="00C61A7A"/>
    <w:rsid w:val="00C6393E"/>
    <w:rsid w:val="00C63A12"/>
    <w:rsid w:val="00C66D7B"/>
    <w:rsid w:val="00C75252"/>
    <w:rsid w:val="00C81A02"/>
    <w:rsid w:val="00C86780"/>
    <w:rsid w:val="00C9118F"/>
    <w:rsid w:val="00C962B0"/>
    <w:rsid w:val="00CA58A2"/>
    <w:rsid w:val="00CB6CB9"/>
    <w:rsid w:val="00CC41F4"/>
    <w:rsid w:val="00CC708E"/>
    <w:rsid w:val="00CD7B62"/>
    <w:rsid w:val="00CD7F4D"/>
    <w:rsid w:val="00CE0583"/>
    <w:rsid w:val="00CE620F"/>
    <w:rsid w:val="00CF398E"/>
    <w:rsid w:val="00CF4401"/>
    <w:rsid w:val="00CF5502"/>
    <w:rsid w:val="00CF597D"/>
    <w:rsid w:val="00D22436"/>
    <w:rsid w:val="00D2492A"/>
    <w:rsid w:val="00D37ABB"/>
    <w:rsid w:val="00D627E7"/>
    <w:rsid w:val="00D70515"/>
    <w:rsid w:val="00D70834"/>
    <w:rsid w:val="00D73CFF"/>
    <w:rsid w:val="00D95643"/>
    <w:rsid w:val="00DA49CF"/>
    <w:rsid w:val="00DB29E7"/>
    <w:rsid w:val="00DB4059"/>
    <w:rsid w:val="00DC08CA"/>
    <w:rsid w:val="00DC6818"/>
    <w:rsid w:val="00DD4C96"/>
    <w:rsid w:val="00DE4B90"/>
    <w:rsid w:val="00DF0C23"/>
    <w:rsid w:val="00DF1EBC"/>
    <w:rsid w:val="00DF7158"/>
    <w:rsid w:val="00E002CB"/>
    <w:rsid w:val="00E03800"/>
    <w:rsid w:val="00E03E40"/>
    <w:rsid w:val="00E101BE"/>
    <w:rsid w:val="00E13EA8"/>
    <w:rsid w:val="00E25266"/>
    <w:rsid w:val="00E327CF"/>
    <w:rsid w:val="00E4100E"/>
    <w:rsid w:val="00E4759D"/>
    <w:rsid w:val="00E479BF"/>
    <w:rsid w:val="00E52A23"/>
    <w:rsid w:val="00E53FD2"/>
    <w:rsid w:val="00E5602D"/>
    <w:rsid w:val="00E5683B"/>
    <w:rsid w:val="00E809F2"/>
    <w:rsid w:val="00E9068B"/>
    <w:rsid w:val="00EA1DC2"/>
    <w:rsid w:val="00EA4E7F"/>
    <w:rsid w:val="00EA4EF0"/>
    <w:rsid w:val="00EA58E0"/>
    <w:rsid w:val="00EB4CE7"/>
    <w:rsid w:val="00EC42F6"/>
    <w:rsid w:val="00EC6BAF"/>
    <w:rsid w:val="00ED1A5D"/>
    <w:rsid w:val="00EE58F1"/>
    <w:rsid w:val="00EE681F"/>
    <w:rsid w:val="00EF173E"/>
    <w:rsid w:val="00EF26E0"/>
    <w:rsid w:val="00F057C5"/>
    <w:rsid w:val="00F11005"/>
    <w:rsid w:val="00F35401"/>
    <w:rsid w:val="00F40331"/>
    <w:rsid w:val="00F47B7D"/>
    <w:rsid w:val="00F635A0"/>
    <w:rsid w:val="00F65403"/>
    <w:rsid w:val="00F65D9D"/>
    <w:rsid w:val="00F664C7"/>
    <w:rsid w:val="00F80EEE"/>
    <w:rsid w:val="00F830C6"/>
    <w:rsid w:val="00F84EBE"/>
    <w:rsid w:val="00F92574"/>
    <w:rsid w:val="00FA7AF9"/>
    <w:rsid w:val="00FB42FB"/>
    <w:rsid w:val="00FC32F3"/>
    <w:rsid w:val="00FC51F7"/>
    <w:rsid w:val="00FC6BD4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135F1"/>
  <w15:docId w15:val="{F2F723F0-6E2D-423E-B5CD-6562239B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09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B11"/>
  </w:style>
  <w:style w:type="paragraph" w:styleId="Stopka">
    <w:name w:val="footer"/>
    <w:basedOn w:val="Normalny"/>
    <w:link w:val="StopkaZnak"/>
    <w:uiPriority w:val="99"/>
    <w:unhideWhenUsed/>
    <w:rsid w:val="0009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B11"/>
  </w:style>
  <w:style w:type="character" w:customStyle="1" w:styleId="q4iawc">
    <w:name w:val="q4iawc"/>
    <w:basedOn w:val="Domylnaczcionkaakapitu"/>
    <w:rsid w:val="007C6D20"/>
  </w:style>
  <w:style w:type="character" w:customStyle="1" w:styleId="viiyi">
    <w:name w:val="viiyi"/>
    <w:basedOn w:val="Domylnaczcionkaakapitu"/>
    <w:rsid w:val="008E6861"/>
  </w:style>
  <w:style w:type="character" w:customStyle="1" w:styleId="Nagwek3Znak">
    <w:name w:val="Nagłówek 3 Znak"/>
    <w:basedOn w:val="Domylnaczcionkaakapitu"/>
    <w:link w:val="Nagwek3"/>
    <w:uiPriority w:val="9"/>
    <w:rsid w:val="00B127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8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8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8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0A7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B40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54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607AF"/>
    <w:pPr>
      <w:spacing w:after="0" w:line="240" w:lineRule="auto"/>
    </w:pPr>
  </w:style>
  <w:style w:type="character" w:customStyle="1" w:styleId="rynqvb">
    <w:name w:val="rynqvb"/>
    <w:basedOn w:val="Domylnaczcionkaakapitu"/>
    <w:rsid w:val="008D7A76"/>
  </w:style>
  <w:style w:type="paragraph" w:styleId="Tekstdymka">
    <w:name w:val="Balloon Text"/>
    <w:basedOn w:val="Normalny"/>
    <w:link w:val="TekstdymkaZnak"/>
    <w:uiPriority w:val="99"/>
    <w:semiHidden/>
    <w:unhideWhenUsed/>
    <w:rsid w:val="008F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CC5"/>
    <w:rPr>
      <w:rFonts w:ascii="Segoe UI" w:hAnsi="Segoe UI" w:cs="Segoe UI"/>
      <w:sz w:val="18"/>
      <w:szCs w:val="18"/>
    </w:rPr>
  </w:style>
  <w:style w:type="character" w:customStyle="1" w:styleId="hwtze">
    <w:name w:val="hwtze"/>
    <w:basedOn w:val="Domylnaczcionkaakapitu"/>
    <w:rsid w:val="00370FB2"/>
  </w:style>
  <w:style w:type="character" w:customStyle="1" w:styleId="highlight">
    <w:name w:val="highlight"/>
    <w:basedOn w:val="Domylnaczcionkaakapitu"/>
    <w:rsid w:val="00BD280F"/>
  </w:style>
  <w:style w:type="paragraph" w:styleId="Zwykytekst">
    <w:name w:val="Plain Text"/>
    <w:basedOn w:val="Normalny"/>
    <w:link w:val="ZwykytekstZnak"/>
    <w:uiPriority w:val="99"/>
    <w:unhideWhenUsed/>
    <w:rsid w:val="009101D8"/>
    <w:pPr>
      <w:spacing w:after="0" w:line="240" w:lineRule="auto"/>
    </w:pPr>
    <w:rPr>
      <w:rFonts w:eastAsiaTheme="minorHAns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1D8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622CD1"/>
    <w:pPr>
      <w:spacing w:after="0" w:line="240" w:lineRule="auto"/>
      <w:ind w:left="720"/>
    </w:pPr>
    <w:rPr>
      <w:rFonts w:eastAsiaTheme="minorHAnsi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61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30628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C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C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anna.kuciel@goodonepr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earney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5yEaHLXcjFpefIVJWuMxUSZz8g==">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B497BB-4D1D-493F-90F0-45DDD1A4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1255</Words>
  <Characters>7534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Zębik</dc:creator>
  <cp:keywords/>
  <cp:lastModifiedBy>Joanna Kuciel</cp:lastModifiedBy>
  <cp:revision>14</cp:revision>
  <cp:lastPrinted>2023-05-24T10:24:00Z</cp:lastPrinted>
  <dcterms:created xsi:type="dcterms:W3CDTF">2023-09-05T08:54:00Z</dcterms:created>
  <dcterms:modified xsi:type="dcterms:W3CDTF">2023-09-05T11:10:00Z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815a84-bb14-486b-9367-c1af54c95fa4_Enabled">
    <vt:lpwstr>true</vt:lpwstr>
  </property>
  <property fmtid="{D5CDD505-2E9C-101B-9397-08002B2CF9AE}" pid="3" name="MSIP_Label_0e815a84-bb14-486b-9367-c1af54c95fa4_SetDate">
    <vt:lpwstr>2022-07-26T17:18:04Z</vt:lpwstr>
  </property>
  <property fmtid="{D5CDD505-2E9C-101B-9397-08002B2CF9AE}" pid="4" name="MSIP_Label_0e815a84-bb14-486b-9367-c1af54c95fa4_Method">
    <vt:lpwstr>Standard</vt:lpwstr>
  </property>
  <property fmtid="{D5CDD505-2E9C-101B-9397-08002B2CF9AE}" pid="5" name="MSIP_Label_0e815a84-bb14-486b-9367-c1af54c95fa4_Name">
    <vt:lpwstr>Standard</vt:lpwstr>
  </property>
  <property fmtid="{D5CDD505-2E9C-101B-9397-08002B2CF9AE}" pid="6" name="MSIP_Label_0e815a84-bb14-486b-9367-c1af54c95fa4_SiteId">
    <vt:lpwstr>5dc645ed-297f-4dca-b0af-2339c71c5388</vt:lpwstr>
  </property>
  <property fmtid="{D5CDD505-2E9C-101B-9397-08002B2CF9AE}" pid="7" name="MSIP_Label_0e815a84-bb14-486b-9367-c1af54c95fa4_ActionId">
    <vt:lpwstr>87fd008d-299a-486c-8481-bf3c42b43144</vt:lpwstr>
  </property>
  <property fmtid="{D5CDD505-2E9C-101B-9397-08002B2CF9AE}" pid="8" name="MSIP_Label_0e815a84-bb14-486b-9367-c1af54c95fa4_ContentBits">
    <vt:lpwstr>0</vt:lpwstr>
  </property>
</Properties>
</file>