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BFB0D" w14:textId="3BFB3719" w:rsidR="00066079" w:rsidRPr="00BB1463" w:rsidRDefault="00066079" w:rsidP="00066079">
      <w:pPr>
        <w:pStyle w:val="Adresodbiorcy"/>
        <w:jc w:val="right"/>
      </w:pPr>
      <w:r w:rsidRPr="00BB1463">
        <w:t xml:space="preserve">Kraków, </w:t>
      </w:r>
      <w:r w:rsidR="004B57D6">
        <w:t>30</w:t>
      </w:r>
      <w:r w:rsidR="00B5453E" w:rsidRPr="00BB1463">
        <w:t xml:space="preserve"> </w:t>
      </w:r>
      <w:r w:rsidR="004B57D6">
        <w:t>marca</w:t>
      </w:r>
      <w:r w:rsidR="00425EFF">
        <w:t xml:space="preserve"> 2017</w:t>
      </w:r>
      <w:r w:rsidRPr="00BB1463">
        <w:t xml:space="preserve"> r.</w:t>
      </w:r>
    </w:p>
    <w:p w14:paraId="1FDFCE99" w14:textId="333BE006" w:rsidR="00412E78" w:rsidRDefault="003B4641" w:rsidP="00412E78">
      <w:pPr>
        <w:pStyle w:val="Adresodbiorcy"/>
        <w:jc w:val="left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Obalamy 5 najpopularniejszych mitów, związanych z naprawą smartfonów</w:t>
      </w:r>
      <w:bookmarkStart w:id="0" w:name="_GoBack"/>
      <w:bookmarkEnd w:id="0"/>
    </w:p>
    <w:p w14:paraId="6333FDFC" w14:textId="5776BA9B" w:rsidR="00412E78" w:rsidRDefault="00E317B2" w:rsidP="00412E78">
      <w:pPr>
        <w:pStyle w:val="Adresodbiorcy"/>
        <w:rPr>
          <w:b/>
        </w:rPr>
      </w:pPr>
      <w:r>
        <w:rPr>
          <w:b/>
        </w:rPr>
        <w:t xml:space="preserve">Użytkownikom smartfonów </w:t>
      </w:r>
      <w:r w:rsidR="002F5873">
        <w:rPr>
          <w:b/>
        </w:rPr>
        <w:t xml:space="preserve">często </w:t>
      </w:r>
      <w:r>
        <w:rPr>
          <w:b/>
        </w:rPr>
        <w:t>wydaje się, że wiedzą wszystko na temat naprawy swoich urządzeń</w:t>
      </w:r>
      <w:r w:rsidR="00412E78" w:rsidRPr="00412E78">
        <w:rPr>
          <w:b/>
        </w:rPr>
        <w:t>.</w:t>
      </w:r>
      <w:r>
        <w:rPr>
          <w:b/>
        </w:rPr>
        <w:t xml:space="preserve"> Każdy słyszał, że zalane urządzenie najlepiej jest włożyć do miski z ryżem, albo że naprawa flagowego </w:t>
      </w:r>
      <w:proofErr w:type="spellStart"/>
      <w:r>
        <w:rPr>
          <w:b/>
        </w:rPr>
        <w:t>smartfona</w:t>
      </w:r>
      <w:proofErr w:type="spellEnd"/>
      <w:r>
        <w:rPr>
          <w:b/>
        </w:rPr>
        <w:t xml:space="preserve"> jest całkowicie nieopłacalna. Jak jest naprawdę? Postanowiliśmy zweryfikować 5 najpopularniejszych mitów. </w:t>
      </w:r>
    </w:p>
    <w:p w14:paraId="563890B1" w14:textId="782890B3" w:rsidR="00412E78" w:rsidRPr="00412E78" w:rsidRDefault="00E317B2" w:rsidP="00412E78">
      <w:pPr>
        <w:pStyle w:val="Adresodbiorcy"/>
        <w:rPr>
          <w:rFonts w:asciiTheme="majorHAnsi" w:hAnsiTheme="majorHAnsi"/>
          <w:sz w:val="44"/>
          <w:szCs w:val="44"/>
        </w:rPr>
      </w:pPr>
      <w:r>
        <w:t xml:space="preserve">Na forach internetowych oraz w poradnikach na YouTube ciągle można znaleźć wątpliwe </w:t>
      </w:r>
      <w:r w:rsidR="00D85312">
        <w:t>informacje</w:t>
      </w:r>
      <w:r>
        <w:t>, ja</w:t>
      </w:r>
      <w:r w:rsidR="00D85312">
        <w:t>k postępować w przypadku napraw urządzeń mobilnych</w:t>
      </w:r>
      <w:r>
        <w:t xml:space="preserve">. Pocztą pantoflową nadal przekazuje się niesprawdzone </w:t>
      </w:r>
      <w:r w:rsidR="00D85312">
        <w:t>wskazówki</w:t>
      </w:r>
      <w:r>
        <w:t xml:space="preserve"> na temat </w:t>
      </w:r>
      <w:r w:rsidR="00D85312">
        <w:t xml:space="preserve">chałupniczych </w:t>
      </w:r>
      <w:r>
        <w:t xml:space="preserve">sposobów </w:t>
      </w:r>
      <w:r w:rsidR="00D85312">
        <w:t>serwisowania smartfonów</w:t>
      </w:r>
      <w:r>
        <w:t xml:space="preserve">. </w:t>
      </w:r>
      <w:r w:rsidR="00D85312">
        <w:t>Sprawia to, że użytkownicy nieświadomi możliwości, jakie oferują współcześnie serwisy, zamiast naprawiać uszkodzony sprzęt – częściej kupują nowy.</w:t>
      </w:r>
    </w:p>
    <w:p w14:paraId="5313C0B3" w14:textId="356B3A2C" w:rsidR="00412E78" w:rsidRPr="00412E78" w:rsidRDefault="003B4641" w:rsidP="00412E78">
      <w:pPr>
        <w:rPr>
          <w:b/>
        </w:rPr>
      </w:pPr>
      <w:r>
        <w:rPr>
          <w:b/>
        </w:rPr>
        <w:t>Mit nr 1 – urządzenie po zalaniu najlepiej wysuszyć w pojemniku z ryżem</w:t>
      </w:r>
    </w:p>
    <w:p w14:paraId="37D46A2B" w14:textId="37DD572E" w:rsidR="00412E78" w:rsidRDefault="008A3B09" w:rsidP="00412E78">
      <w:r>
        <w:t>Zbawienne działanie ryżu na zawilgoconą elektronikę to najczęściej powtarzany mit. I chociaż jest w nim ziarnko prawdy – surowy ryż posiada pewne właściwości higroskopijne – to jednak nie są one na tyle silne, aby wchłonąć całą wilgoć z wnętrza urządzenia.</w:t>
      </w:r>
      <w:r w:rsidR="007638D3">
        <w:t xml:space="preserve"> Dodatkowe wspomaganie się grzejnikiem, piekarnikiem lub suszarką może przynieść efekt odwrotny do zamierzone</w:t>
      </w:r>
      <w:r w:rsidR="00D25169">
        <w:t>go. Wilgoć dostanie się w głębsze zakamarki obudowy i spowoduje jeszcze większe uszkodzenia.</w:t>
      </w:r>
    </w:p>
    <w:p w14:paraId="2D328E39" w14:textId="31206D3A" w:rsidR="008A3B09" w:rsidRPr="002F5873" w:rsidRDefault="008A3B09" w:rsidP="00412E78">
      <w:r>
        <w:t>P</w:t>
      </w:r>
      <w:r w:rsidR="007638D3">
        <w:t>o zalaniu może zdarzyć się, że smartfon</w:t>
      </w:r>
      <w:r>
        <w:t xml:space="preserve"> będzie działał normalnie. </w:t>
      </w:r>
      <w:r w:rsidR="007638D3">
        <w:t>Wbrew pozorom nie oznacza to nic dobrego</w:t>
      </w:r>
      <w:r>
        <w:t xml:space="preserve">, ponieważ </w:t>
      </w:r>
      <w:r w:rsidR="007638D3">
        <w:t xml:space="preserve">woda zgromadzona w jego wnętrzu powoduje korozję płyty głównej i pozostałych metalowych elementów. W najlepszym przypadku urządzenie po pewnym czasie odmówi posłuszeństwa, a w </w:t>
      </w:r>
      <w:r w:rsidR="007638D3" w:rsidRPr="002F5873">
        <w:t>najgorszym – może dojść do zwarcia i eksplozji baterii. Dlatego najlepiej jest oddać sprzęt do serwisu, który dokładnie wysuszy i oczyści wszystkie zawilgocone elementy.</w:t>
      </w:r>
    </w:p>
    <w:p w14:paraId="0E9F84B7" w14:textId="427360D3" w:rsidR="00412E78" w:rsidRPr="002F5873" w:rsidRDefault="003B4641" w:rsidP="00412E78">
      <w:pPr>
        <w:rPr>
          <w:b/>
        </w:rPr>
      </w:pPr>
      <w:r w:rsidRPr="002F5873">
        <w:rPr>
          <w:b/>
        </w:rPr>
        <w:t xml:space="preserve">Mit nr 2 – </w:t>
      </w:r>
      <w:r w:rsidR="00274DE3" w:rsidRPr="002F5873">
        <w:rPr>
          <w:b/>
        </w:rPr>
        <w:t>naprawy w nieautoryzowanych serwisach nie są objęte gwarancją</w:t>
      </w:r>
    </w:p>
    <w:p w14:paraId="0C06D213" w14:textId="625F7CAE" w:rsidR="00D171EC" w:rsidRDefault="00D171EC" w:rsidP="00412E78">
      <w:r w:rsidRPr="002F5873">
        <w:t xml:space="preserve">Gwarancja producenta skończyła się? Wycena naprawy przez autoryzowany serwis przekracza wartość urządzenia? Czy może jedynym sposobem na naprawę egzotycznego </w:t>
      </w:r>
      <w:proofErr w:type="spellStart"/>
      <w:r w:rsidRPr="002F5873">
        <w:t>smartfona</w:t>
      </w:r>
      <w:proofErr w:type="spellEnd"/>
      <w:r w:rsidRPr="002F5873">
        <w:t xml:space="preserve"> jest wysyłka do serwisu w Chinach? Jeśli odpowiedź na którekolwiek z tych pytań brzmi „tak”, to słusznym rozwiązaniem wydaje się być naprawa w nieautoryzowanym</w:t>
      </w:r>
      <w:r>
        <w:t xml:space="preserve"> serwisie. </w:t>
      </w:r>
      <w:r w:rsidR="00E317B2">
        <w:t>Wielu użytkownikom wydaje się, że oznacza to brak gwarancji na wykonaną usługę</w:t>
      </w:r>
      <w:r w:rsidR="00D20EA5">
        <w:t>. Czy słusznie?</w:t>
      </w:r>
    </w:p>
    <w:p w14:paraId="6F4CCAB2" w14:textId="689441C7" w:rsidR="001F0A58" w:rsidRDefault="00D23AB2" w:rsidP="00412E78">
      <w:r>
        <w:lastRenderedPageBreak/>
        <w:t>Niekoniecznie</w:t>
      </w:r>
      <w:r w:rsidR="001F0A58">
        <w:t xml:space="preserve"> – </w:t>
      </w:r>
      <w:r w:rsidRPr="002F5873">
        <w:t xml:space="preserve">niektóre </w:t>
      </w:r>
      <w:r w:rsidR="001F0A58" w:rsidRPr="002F5873">
        <w:t>nieautoryzowane serwisy</w:t>
      </w:r>
      <w:r w:rsidR="001F0A58">
        <w:t xml:space="preserve"> także oferują gwarancję. </w:t>
      </w:r>
      <w:r>
        <w:t xml:space="preserve">W przypadku </w:t>
      </w:r>
      <w:proofErr w:type="spellStart"/>
      <w:r>
        <w:t>GoRepair</w:t>
      </w:r>
      <w:proofErr w:type="spellEnd"/>
      <w:r>
        <w:t xml:space="preserve"> jest to aż 12 miesięcy pisemnej gwarancji na wszystkie wykonywane usługi. Świadczy to nie tylko o wysokiej jakości napraw, ale także o dbaniu o zadowolenie klientów.</w:t>
      </w:r>
      <w:r w:rsidR="00D20EA5">
        <w:t xml:space="preserve"> Wysyłka sprzętu, naprawianego w ramach gwarancji, jest realizowana za pomocą darmowego kuriera, dlatego klienci nie ponoszą żadnych dodatkowych kosztów transportu – podobnie, jak w przypadku gwarancji producenta.</w:t>
      </w:r>
    </w:p>
    <w:p w14:paraId="716223C0" w14:textId="75BEB86A" w:rsidR="00412E78" w:rsidRPr="00412E78" w:rsidRDefault="003B4641" w:rsidP="00412E78">
      <w:pPr>
        <w:rPr>
          <w:b/>
        </w:rPr>
      </w:pPr>
      <w:r>
        <w:rPr>
          <w:b/>
        </w:rPr>
        <w:t>Mit nr 3 – pęknięta szybka to tylko problem kosmetyczny</w:t>
      </w:r>
    </w:p>
    <w:p w14:paraId="4D01CB01" w14:textId="6292C839" w:rsidR="00D25169" w:rsidRDefault="00D25169" w:rsidP="00412E78">
      <w:r>
        <w:t xml:space="preserve">Chwila nieuwagi, smartfon upada i na ekranie pojawia się pęknięcie. Na szczęście wyświetlacz i dotyk działają, </w:t>
      </w:r>
      <w:r w:rsidR="001F0A58">
        <w:t xml:space="preserve">a </w:t>
      </w:r>
      <w:r>
        <w:t>do uszkodzonej</w:t>
      </w:r>
      <w:r w:rsidR="001F0A58">
        <w:t xml:space="preserve"> szybki można się przyzwyczaić. Rezygnuje się wtedy z</w:t>
      </w:r>
      <w:r w:rsidR="00D75023">
        <w:t>e</w:t>
      </w:r>
      <w:r w:rsidR="001F0A58">
        <w:t xml:space="preserve"> względnie niedrogiej naprawy i dalej korzysta z urządzenia. Takie rozwiązanie wybiera zdecydowana większość użytkowników</w:t>
      </w:r>
      <w:r w:rsidR="002F5873">
        <w:t xml:space="preserve"> </w:t>
      </w:r>
      <w:r w:rsidR="001F0A58">
        <w:t>– przecież pęknięta szybka to tylko problem kosmetyczny…</w:t>
      </w:r>
    </w:p>
    <w:p w14:paraId="53E93418" w14:textId="5B80182A" w:rsidR="00D25169" w:rsidRDefault="00D25169" w:rsidP="00412E78">
      <w:r>
        <w:t xml:space="preserve">Nic bardziej mylnego! Pęknięta szybka zmniejsza sztywność i wytrzymałość obudowy, która chroni wyświetlacz, płytę główną, baterię oraz pozostałe elementy </w:t>
      </w:r>
      <w:proofErr w:type="spellStart"/>
      <w:r>
        <w:t>smartfona</w:t>
      </w:r>
      <w:proofErr w:type="spellEnd"/>
      <w:r>
        <w:t>. Wystarczy</w:t>
      </w:r>
      <w:r w:rsidR="002F5873">
        <w:t xml:space="preserve"> nawet</w:t>
      </w:r>
      <w:r w:rsidR="009E44A0">
        <w:t xml:space="preserve"> niewielkie</w:t>
      </w:r>
      <w:r>
        <w:t xml:space="preserve"> naprężenie, powstające podczas siadania z urządzeniem w </w:t>
      </w:r>
      <w:r w:rsidR="001F0A58">
        <w:t xml:space="preserve">kieszeni, aby uszkodził się </w:t>
      </w:r>
      <w:r>
        <w:t xml:space="preserve">wyświetlacz lub wrażliwa warstwa dotykowa. </w:t>
      </w:r>
      <w:r w:rsidR="002F5873">
        <w:t>Kolejny upadek</w:t>
      </w:r>
      <w:r>
        <w:t xml:space="preserve"> może skończyć się o wiele </w:t>
      </w:r>
      <w:proofErr w:type="gramStart"/>
      <w:r>
        <w:t>gorzej,</w:t>
      </w:r>
      <w:proofErr w:type="gramEnd"/>
      <w:r>
        <w:t xml:space="preserve"> niż </w:t>
      </w:r>
      <w:r w:rsidR="001F0A58">
        <w:t xml:space="preserve">tylko </w:t>
      </w:r>
      <w:r w:rsidR="009E44A0">
        <w:t>pęknięciem szybki</w:t>
      </w:r>
      <w:r>
        <w:t>.</w:t>
      </w:r>
    </w:p>
    <w:p w14:paraId="3E059FD0" w14:textId="2EC07D8C" w:rsidR="00412E78" w:rsidRPr="00412E78" w:rsidRDefault="003B4641" w:rsidP="00412E78">
      <w:pPr>
        <w:rPr>
          <w:b/>
        </w:rPr>
      </w:pPr>
      <w:r>
        <w:rPr>
          <w:b/>
        </w:rPr>
        <w:t xml:space="preserve">Mit nr 4 – uszkodzonego </w:t>
      </w:r>
      <w:proofErr w:type="spellStart"/>
      <w:r>
        <w:rPr>
          <w:b/>
        </w:rPr>
        <w:t>smartfona</w:t>
      </w:r>
      <w:proofErr w:type="spellEnd"/>
      <w:r>
        <w:rPr>
          <w:b/>
        </w:rPr>
        <w:t xml:space="preserve"> nie opłaca się naprawiać</w:t>
      </w:r>
    </w:p>
    <w:p w14:paraId="47298067" w14:textId="6BEA613E" w:rsidR="00636379" w:rsidRDefault="00636379" w:rsidP="00412E78">
      <w:r>
        <w:t xml:space="preserve">Ceny naprawy niektórych usterek mogą wywołać ból głowy – szczególnie w przypadku najnowszych, flagowych modeli. </w:t>
      </w:r>
      <w:r w:rsidR="00C21A5D">
        <w:t xml:space="preserve">Przykładowo wymiana ekranu z pękniętą szybką może kosztować nawet połowę równowartości nowego urządzenia! </w:t>
      </w:r>
      <w:r w:rsidR="00CB01D8">
        <w:t>Nic więc dziwnego, że użytkownicy zamiast naprawy, coraz częściej decydują się na sprzedaż uszkodzonego sprzętu za ułamek ceny w popularnych serwisach aukcyjnych lub komisach.</w:t>
      </w:r>
    </w:p>
    <w:p w14:paraId="283AB251" w14:textId="0DA4DEEE" w:rsidR="00636379" w:rsidRDefault="00C21A5D" w:rsidP="00412E78">
      <w:r>
        <w:t xml:space="preserve">Nie każdy wie, że nawet te najdroższe usterki </w:t>
      </w:r>
      <w:r w:rsidR="008A3B09">
        <w:t>da się</w:t>
      </w:r>
      <w:r>
        <w:t xml:space="preserve"> naprawić dużo taniej, wykorzystując nowoczesne metody i specjalne narzędzia. Zamiast wymieniać cały ekran z pękniętą szybką, można dokonać tzw. </w:t>
      </w:r>
      <w:proofErr w:type="spellStart"/>
      <w:r>
        <w:t>refabrykacji</w:t>
      </w:r>
      <w:proofErr w:type="spellEnd"/>
      <w:r>
        <w:t xml:space="preserve"> ekranu – czyli naprawić tylko uszkodzony element</w:t>
      </w:r>
      <w:r w:rsidR="008A3B09">
        <w:t xml:space="preserve"> – zewnętrzną szybkę</w:t>
      </w:r>
      <w:r>
        <w:t xml:space="preserve">. </w:t>
      </w:r>
      <w:r w:rsidR="008A3B09">
        <w:t>Taki proces</w:t>
      </w:r>
      <w:r>
        <w:t xml:space="preserve"> jest nawet o 50% </w:t>
      </w:r>
      <w:proofErr w:type="gramStart"/>
      <w:r>
        <w:t>tańsz</w:t>
      </w:r>
      <w:r w:rsidR="008A3B09">
        <w:t>y</w:t>
      </w:r>
      <w:r>
        <w:t>,</w:t>
      </w:r>
      <w:proofErr w:type="gramEnd"/>
      <w:r>
        <w:t xml:space="preserve"> niż wymiana całego modułu ekranu. Przy okazji, w urządzeniu pozostaje oryginalny, fabryczny wyświetlacz.</w:t>
      </w:r>
    </w:p>
    <w:p w14:paraId="559FF09B" w14:textId="348C8D93" w:rsidR="007E6BD9" w:rsidRPr="00412E78" w:rsidRDefault="003B4641" w:rsidP="003B4641">
      <w:pPr>
        <w:rPr>
          <w:b/>
        </w:rPr>
      </w:pPr>
      <w:r>
        <w:rPr>
          <w:b/>
        </w:rPr>
        <w:t xml:space="preserve">Mit nr 5 – tylko autoryzowane serwisy działają w trybie </w:t>
      </w:r>
      <w:proofErr w:type="spellStart"/>
      <w:r>
        <w:rPr>
          <w:b/>
        </w:rPr>
        <w:t>door</w:t>
      </w:r>
      <w:proofErr w:type="spellEnd"/>
      <w:r>
        <w:rPr>
          <w:b/>
        </w:rPr>
        <w:t>-to-</w:t>
      </w:r>
      <w:proofErr w:type="spellStart"/>
      <w:r>
        <w:rPr>
          <w:b/>
        </w:rPr>
        <w:t>door</w:t>
      </w:r>
      <w:proofErr w:type="spellEnd"/>
    </w:p>
    <w:p w14:paraId="287970AA" w14:textId="437C6DC5" w:rsidR="006D46B8" w:rsidRDefault="007E6BD9" w:rsidP="003B4641">
      <w:r>
        <w:t xml:space="preserve">Gwarancja w systemie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>
        <w:t xml:space="preserve"> to najwygodniejszy </w:t>
      </w:r>
      <w:r w:rsidR="00E71124">
        <w:t xml:space="preserve">i najbardziej przyjazny </w:t>
      </w:r>
      <w:r>
        <w:t>dla klienta</w:t>
      </w:r>
      <w:r w:rsidR="00E71124">
        <w:t xml:space="preserve"> </w:t>
      </w:r>
      <w:r>
        <w:t xml:space="preserve">sposób na naprawę urządzenia. </w:t>
      </w:r>
      <w:r w:rsidR="00E71124">
        <w:t xml:space="preserve">Uszkodzony sprzęt jest odbierany przez kuriera, naprawiany zazwyczaj w ciągu kilku dni roboczych, a następnie dostarczany w to samo miejsce. Wszelkie koszty transportu i pakowania pokrywa serwis. </w:t>
      </w:r>
      <w:r w:rsidR="006D46B8">
        <w:t>Niestety, z takiej usługi skorzystamy zazwyczaj przez 2-3 lata od momentu zakupu i tylko w przypadku autoryzowanego serwisu.</w:t>
      </w:r>
    </w:p>
    <w:p w14:paraId="31FF5EB3" w14:textId="74EDEA52" w:rsidR="006D46B8" w:rsidRDefault="006D46B8" w:rsidP="003B4641">
      <w:r>
        <w:t xml:space="preserve">W rzeczywistości również nieautoryzowane serwisy mogą działać w trybie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>
        <w:t xml:space="preserve">. </w:t>
      </w:r>
      <w:proofErr w:type="spellStart"/>
      <w:r>
        <w:t>GoRepair</w:t>
      </w:r>
      <w:proofErr w:type="spellEnd"/>
      <w:r>
        <w:t xml:space="preserve"> oferuje darmową wysyłkę sprzętu w obie strony za pomocą ubezpieczonego kuriera. Usterkę można </w:t>
      </w:r>
      <w:r>
        <w:lastRenderedPageBreak/>
        <w:t xml:space="preserve">zgłosić przez wygodny formularz </w:t>
      </w:r>
      <w:r w:rsidR="005713A0">
        <w:t xml:space="preserve">dostępny </w:t>
      </w:r>
      <w:r>
        <w:t xml:space="preserve">on-line, a za naprawę płaci się kurierowi podczas odbioru urządzenia. </w:t>
      </w:r>
      <w:r w:rsidR="005713A0">
        <w:t>Dzięki temu</w:t>
      </w:r>
      <w:r>
        <w:t xml:space="preserve"> cały proces przebiega bez koniecznośc</w:t>
      </w:r>
      <w:r w:rsidR="005713A0">
        <w:t>i wychodzenia z domu lub biura.</w:t>
      </w:r>
    </w:p>
    <w:p w14:paraId="31A968F7" w14:textId="3B00DE14" w:rsidR="003B4641" w:rsidRPr="00412E78" w:rsidRDefault="006D46B8" w:rsidP="003B4641">
      <w:pPr>
        <w:rPr>
          <w:b/>
        </w:rPr>
      </w:pPr>
      <w:r>
        <w:rPr>
          <w:b/>
        </w:rPr>
        <w:t>Wszystkie mity m</w:t>
      </w:r>
      <w:r w:rsidR="003B4641">
        <w:rPr>
          <w:b/>
        </w:rPr>
        <w:t>ożna włożyć między bajki</w:t>
      </w:r>
    </w:p>
    <w:p w14:paraId="17F29340" w14:textId="074645F7" w:rsidR="00E71124" w:rsidRDefault="00E71124" w:rsidP="003B4641">
      <w:r>
        <w:t xml:space="preserve">Nowoczesne serwisy wychodzą naprzeciw oczekiwaniom klientów i </w:t>
      </w:r>
      <w:r w:rsidR="005D3AA7">
        <w:t xml:space="preserve">przynajmniej częściowo starają się obalić najpopularniejsze mity, związane z serwisowaniem smartfonów. </w:t>
      </w:r>
      <w:r w:rsidR="007C630A">
        <w:t xml:space="preserve">Dlatego nie powinno już dziwić oferowanie </w:t>
      </w:r>
      <w:r w:rsidR="00916D70">
        <w:t>długiej</w:t>
      </w:r>
      <w:r w:rsidR="007C630A">
        <w:t>, pisemnej</w:t>
      </w:r>
      <w:r w:rsidR="00916D70">
        <w:t xml:space="preserve"> </w:t>
      </w:r>
      <w:r w:rsidR="005D3AA7">
        <w:t xml:space="preserve">gwarancji na </w:t>
      </w:r>
      <w:r w:rsidR="00916D70">
        <w:t>wykonywane</w:t>
      </w:r>
      <w:r w:rsidR="005D3AA7">
        <w:t xml:space="preserve"> usługi, realizacja zleceń w systemie </w:t>
      </w:r>
      <w:proofErr w:type="spellStart"/>
      <w:r w:rsidR="005D3AA7">
        <w:t>door</w:t>
      </w:r>
      <w:proofErr w:type="spellEnd"/>
      <w:r w:rsidR="005D3AA7">
        <w:t>-to-</w:t>
      </w:r>
      <w:proofErr w:type="spellStart"/>
      <w:r w:rsidR="005D3AA7">
        <w:t>door</w:t>
      </w:r>
      <w:proofErr w:type="spellEnd"/>
      <w:r w:rsidR="005D3AA7">
        <w:t xml:space="preserve"> </w:t>
      </w:r>
      <w:r w:rsidR="007C630A">
        <w:t>czy</w:t>
      </w:r>
      <w:r w:rsidR="005D3AA7">
        <w:t xml:space="preserve"> wykorzystywanie innowacyjnych metod napraw</w:t>
      </w:r>
      <w:r w:rsidR="005713A0">
        <w:t>.</w:t>
      </w:r>
      <w:r w:rsidR="007C630A">
        <w:t xml:space="preserve"> </w:t>
      </w:r>
    </w:p>
    <w:p w14:paraId="0A141361" w14:textId="77777777" w:rsidR="003B4641" w:rsidRDefault="003B4641" w:rsidP="00412E78"/>
    <w:p w14:paraId="28044FCB" w14:textId="345AC9C5" w:rsidR="00066079" w:rsidRPr="00D911CC" w:rsidRDefault="00066079" w:rsidP="00D911CC">
      <w:pPr>
        <w:rPr>
          <w:rFonts w:asciiTheme="majorHAnsi" w:hAnsiTheme="majorHAnsi"/>
          <w:sz w:val="32"/>
          <w:szCs w:val="32"/>
        </w:rPr>
      </w:pPr>
      <w:r w:rsidRPr="00D911CC">
        <w:rPr>
          <w:rFonts w:asciiTheme="majorHAnsi" w:hAnsiTheme="majorHAnsi"/>
          <w:sz w:val="32"/>
          <w:szCs w:val="32"/>
        </w:rPr>
        <w:t xml:space="preserve">O firmie </w:t>
      </w:r>
      <w:proofErr w:type="spellStart"/>
      <w:r w:rsidRPr="00D911CC">
        <w:rPr>
          <w:rFonts w:asciiTheme="majorHAnsi" w:hAnsiTheme="majorHAnsi"/>
          <w:sz w:val="32"/>
          <w:szCs w:val="32"/>
        </w:rPr>
        <w:t>GoRepair</w:t>
      </w:r>
      <w:proofErr w:type="spellEnd"/>
    </w:p>
    <w:p w14:paraId="7FC2CFCC" w14:textId="77777777" w:rsidR="00D911CC" w:rsidRPr="00D911CC" w:rsidRDefault="00D911CC" w:rsidP="00D911CC">
      <w:proofErr w:type="spellStart"/>
      <w:r w:rsidRPr="00D911CC">
        <w:t>GoRepair</w:t>
      </w:r>
      <w:proofErr w:type="spellEnd"/>
      <w:r w:rsidRPr="00D911CC">
        <w:t xml:space="preserve"> to pogwarancyjny serwis, naprawiający smartfony, tablety i laptopy najpopularniejszych marek. Wygodne narzędzie, dostępne na stronie internetowej, umożliwia łatwe i szybkie zgłoszenie usterki oraz wybór terminu, w którym kurier odbierze urządzenie od klienta. Dla większości napraw dostępna jest natychmiastowa wycena kosztów. Typowe uszkodzenia są naprawiane od ręki, a w bardziej skomplikowanych przypadkach, czas naprawy jest ustalany indywidualnie. Gwarancja udzielana na usługi wykonane przez </w:t>
      </w:r>
      <w:proofErr w:type="spellStart"/>
      <w:r w:rsidRPr="00D911CC">
        <w:t>GoRepair</w:t>
      </w:r>
      <w:proofErr w:type="spellEnd"/>
      <w:r w:rsidRPr="00D911CC">
        <w:t xml:space="preserve"> to 12 miesięcy.</w:t>
      </w:r>
    </w:p>
    <w:p w14:paraId="6449D940" w14:textId="6F716C8F" w:rsidR="00E50159" w:rsidRDefault="007C170C" w:rsidP="00D911CC">
      <w:r>
        <w:t xml:space="preserve">Więcej informacji: </w:t>
      </w:r>
      <w:hyperlink r:id="rId8" w:history="1">
        <w:r w:rsidRPr="0013577E">
          <w:rPr>
            <w:rStyle w:val="Hipercze"/>
          </w:rPr>
          <w:t>www.gorepair.pl</w:t>
        </w:r>
      </w:hyperlink>
    </w:p>
    <w:p w14:paraId="5B629AC6" w14:textId="77777777" w:rsidR="007C170C" w:rsidRDefault="007C170C" w:rsidP="006E2000"/>
    <w:p w14:paraId="0020512F" w14:textId="41C8C7C1" w:rsidR="00E50159" w:rsidRPr="00660982" w:rsidRDefault="00E50159" w:rsidP="007C170C">
      <w:pPr>
        <w:jc w:val="left"/>
        <w:rPr>
          <w:rFonts w:asciiTheme="majorHAnsi" w:hAnsiTheme="majorHAnsi"/>
          <w:sz w:val="32"/>
          <w:szCs w:val="32"/>
        </w:rPr>
      </w:pPr>
      <w:r w:rsidRPr="00660982">
        <w:rPr>
          <w:rFonts w:asciiTheme="majorHAnsi" w:hAnsiTheme="majorHAnsi"/>
          <w:sz w:val="32"/>
          <w:szCs w:val="32"/>
        </w:rPr>
        <w:t>Kontakt dla mediów</w:t>
      </w:r>
    </w:p>
    <w:p w14:paraId="5E237EAF" w14:textId="74F31096" w:rsidR="007C170C" w:rsidRPr="00A709CF" w:rsidRDefault="007C170C" w:rsidP="007C170C">
      <w:pPr>
        <w:jc w:val="left"/>
      </w:pPr>
      <w:r w:rsidRPr="00A709CF">
        <w:t>Agencja WĘC Public Relations</w:t>
      </w:r>
    </w:p>
    <w:p w14:paraId="61BDBC93" w14:textId="1221490A" w:rsidR="00E50159" w:rsidRPr="00D911CC" w:rsidRDefault="00E50159" w:rsidP="007C170C">
      <w:pPr>
        <w:jc w:val="left"/>
        <w:rPr>
          <w:lang w:val="en-US"/>
        </w:rPr>
      </w:pPr>
      <w:r w:rsidRPr="00D911CC">
        <w:rPr>
          <w:lang w:val="en-US"/>
        </w:rPr>
        <w:t xml:space="preserve">Tomasz </w:t>
      </w:r>
      <w:proofErr w:type="spellStart"/>
      <w:r w:rsidRPr="00D911CC">
        <w:rPr>
          <w:lang w:val="en-US"/>
        </w:rPr>
        <w:t>Węc</w:t>
      </w:r>
      <w:proofErr w:type="spellEnd"/>
      <w:r w:rsidR="005B2401" w:rsidRPr="00D911CC">
        <w:rPr>
          <w:lang w:val="en-US"/>
        </w:rPr>
        <w:t xml:space="preserve"> /PR Director</w:t>
      </w:r>
      <w:r w:rsidRPr="00D911CC">
        <w:rPr>
          <w:lang w:val="en-US"/>
        </w:rPr>
        <w:br/>
        <w:t xml:space="preserve">E-Mail: </w:t>
      </w:r>
      <w:hyperlink r:id="rId9" w:history="1">
        <w:r w:rsidRPr="00D911CC">
          <w:rPr>
            <w:rStyle w:val="Hipercze"/>
            <w:lang w:val="en-US"/>
          </w:rPr>
          <w:t>tomasz@wec24.pl</w:t>
        </w:r>
      </w:hyperlink>
      <w:r w:rsidR="007C170C" w:rsidRPr="00D911CC">
        <w:rPr>
          <w:lang w:val="en-US"/>
        </w:rPr>
        <w:br/>
      </w:r>
      <w:proofErr w:type="spellStart"/>
      <w:r w:rsidR="007C170C" w:rsidRPr="00D911CC">
        <w:rPr>
          <w:lang w:val="en-US"/>
        </w:rPr>
        <w:t>Telefon</w:t>
      </w:r>
      <w:proofErr w:type="spellEnd"/>
      <w:r w:rsidR="007C170C" w:rsidRPr="00D911CC">
        <w:rPr>
          <w:lang w:val="en-US"/>
        </w:rPr>
        <w:t>: 667 954 282</w:t>
      </w:r>
    </w:p>
    <w:p w14:paraId="7D6E9798" w14:textId="495A9D8B" w:rsidR="007C170C" w:rsidRPr="00D911CC" w:rsidRDefault="007C170C" w:rsidP="007C170C">
      <w:pPr>
        <w:jc w:val="left"/>
        <w:rPr>
          <w:lang w:val="en-US"/>
        </w:rPr>
      </w:pPr>
      <w:proofErr w:type="spellStart"/>
      <w:r w:rsidRPr="00D911CC">
        <w:rPr>
          <w:lang w:val="en-US"/>
        </w:rPr>
        <w:t>Łukasz</w:t>
      </w:r>
      <w:proofErr w:type="spellEnd"/>
      <w:r w:rsidRPr="00D911CC">
        <w:rPr>
          <w:lang w:val="en-US"/>
        </w:rPr>
        <w:t xml:space="preserve"> </w:t>
      </w:r>
      <w:proofErr w:type="spellStart"/>
      <w:r w:rsidRPr="00D911CC">
        <w:rPr>
          <w:lang w:val="en-US"/>
        </w:rPr>
        <w:t>Warchoł</w:t>
      </w:r>
      <w:proofErr w:type="spellEnd"/>
      <w:r w:rsidR="005B2401" w:rsidRPr="00D911CC">
        <w:rPr>
          <w:lang w:val="en-US"/>
        </w:rPr>
        <w:t xml:space="preserve"> /PR Executive</w:t>
      </w:r>
      <w:r w:rsidRPr="00D911CC">
        <w:rPr>
          <w:lang w:val="en-US"/>
        </w:rPr>
        <w:br/>
        <w:t xml:space="preserve">E-Mail: </w:t>
      </w:r>
      <w:hyperlink r:id="rId10" w:history="1">
        <w:r w:rsidR="007562E2" w:rsidRPr="005A1629">
          <w:rPr>
            <w:rStyle w:val="Hipercze"/>
            <w:lang w:val="en-US"/>
          </w:rPr>
          <w:t>lwarchol@wec24.pl</w:t>
        </w:r>
      </w:hyperlink>
      <w:r w:rsidRPr="00D911CC">
        <w:rPr>
          <w:lang w:val="en-US"/>
        </w:rPr>
        <w:br/>
      </w:r>
      <w:proofErr w:type="spellStart"/>
      <w:r w:rsidRPr="00D911CC">
        <w:rPr>
          <w:lang w:val="en-US"/>
        </w:rPr>
        <w:t>Telefon</w:t>
      </w:r>
      <w:proofErr w:type="spellEnd"/>
      <w:r w:rsidRPr="00D911CC">
        <w:rPr>
          <w:lang w:val="en-US"/>
        </w:rPr>
        <w:t>: 535 954 212</w:t>
      </w:r>
    </w:p>
    <w:sectPr w:rsidR="007C170C" w:rsidRPr="00D911CC" w:rsidSect="00444801">
      <w:headerReference w:type="default" r:id="rId11"/>
      <w:footerReference w:type="default" r:id="rId12"/>
      <w:pgSz w:w="11906" w:h="16838"/>
      <w:pgMar w:top="2268" w:right="1418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DE3B8" w14:textId="77777777" w:rsidR="0068538F" w:rsidRDefault="0068538F" w:rsidP="001010D1">
      <w:pPr>
        <w:spacing w:after="0" w:line="240" w:lineRule="auto"/>
      </w:pPr>
      <w:r>
        <w:separator/>
      </w:r>
    </w:p>
  </w:endnote>
  <w:endnote w:type="continuationSeparator" w:id="0">
    <w:p w14:paraId="099B8DBE" w14:textId="77777777" w:rsidR="0068538F" w:rsidRDefault="0068538F" w:rsidP="0010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55557" w14:textId="77777777" w:rsidR="001010D1" w:rsidRDefault="004448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1" layoutInCell="1" allowOverlap="1" wp14:anchorId="3A438DCB" wp14:editId="4CA3767E">
          <wp:simplePos x="0" y="0"/>
          <wp:positionH relativeFrom="page">
            <wp:posOffset>6858000</wp:posOffset>
          </wp:positionH>
          <wp:positionV relativeFrom="page">
            <wp:posOffset>9963150</wp:posOffset>
          </wp:positionV>
          <wp:extent cx="224790" cy="722630"/>
          <wp:effectExtent l="0" t="0" r="381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reski pod kat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1D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3605AB99" wp14:editId="1294CEAC">
              <wp:simplePos x="0" y="0"/>
              <wp:positionH relativeFrom="margin">
                <wp:posOffset>5186045</wp:posOffset>
              </wp:positionH>
              <wp:positionV relativeFrom="page">
                <wp:posOffset>10301605</wp:posOffset>
              </wp:positionV>
              <wp:extent cx="925195" cy="167640"/>
              <wp:effectExtent l="0" t="0" r="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7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ECB6E" w14:textId="77777777" w:rsidR="001072FF" w:rsidRDefault="001072FF" w:rsidP="001072FF">
                          <w:pPr>
                            <w:pStyle w:val="Tekstwstopce-stronawww"/>
                          </w:pPr>
                          <w:r>
                            <w:t>www.gorepair.pl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>
          <w:pict>
            <v:shapetype w14:anchorId="3605AB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8.35pt;margin-top:811.15pt;width:72.85pt;height:13.2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" filled="f" stroked="f">
              <v:textbox style="mso-fit-shape-to-text:t" inset="0,0,0,0">
                <w:txbxContent>
                  <w:p w14:paraId="6C9ECB6E" w14:textId="77777777" w:rsidR="001072FF" w:rsidRDefault="001072FF" w:rsidP="001072FF">
                    <w:pPr>
                      <w:pStyle w:val="Tekstwstopce-stronawww"/>
                    </w:pPr>
                    <w:r>
                      <w:t>www.gorepair.pl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C211DB">
      <w:rPr>
        <w:noProof/>
        <w:lang w:eastAsia="pl-PL"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71C957E6" wp14:editId="543E1454">
              <wp:simplePos x="0" y="0"/>
              <wp:positionH relativeFrom="page">
                <wp:posOffset>540385</wp:posOffset>
              </wp:positionH>
              <wp:positionV relativeFrom="page">
                <wp:posOffset>10049510</wp:posOffset>
              </wp:positionV>
              <wp:extent cx="2534285" cy="39179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285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3BDCC" w14:textId="77777777" w:rsidR="001010D1" w:rsidRDefault="001072FF" w:rsidP="001072FF">
                          <w:pPr>
                            <w:pStyle w:val="Tekstwstopce-nazwafirmy"/>
                          </w:pPr>
                          <w:proofErr w:type="spellStart"/>
                          <w:r>
                            <w:t>GoRepair</w:t>
                          </w:r>
                          <w:proofErr w:type="spellEnd"/>
                          <w:r>
                            <w:t xml:space="preserve"> Sp. z o.o., ul. </w:t>
                          </w:r>
                          <w:r w:rsidRPr="001072FF">
                            <w:t xml:space="preserve">Nad </w:t>
                          </w:r>
                          <w:proofErr w:type="spellStart"/>
                          <w:r w:rsidRPr="001072FF">
                            <w:t>Serafą</w:t>
                          </w:r>
                          <w:proofErr w:type="spellEnd"/>
                          <w:r w:rsidRPr="001072FF">
                            <w:t xml:space="preserve"> 56A</w:t>
                          </w:r>
                          <w:r>
                            <w:t>, 30-864 Kraków</w:t>
                          </w:r>
                        </w:p>
                        <w:p w14:paraId="55051792" w14:textId="77777777" w:rsidR="001072FF" w:rsidRDefault="001072FF" w:rsidP="001072FF">
                          <w:pPr>
                            <w:pStyle w:val="Tekstwstopce"/>
                          </w:pPr>
                          <w:r>
                            <w:t xml:space="preserve">NIP: </w:t>
                          </w:r>
                          <w:r w:rsidR="00DB7039" w:rsidRPr="00DB7039">
                            <w:t>679</w:t>
                          </w:r>
                          <w:r w:rsidR="00DB7039">
                            <w:t>-</w:t>
                          </w:r>
                          <w:r w:rsidR="00DB7039" w:rsidRPr="00DB7039">
                            <w:t>313</w:t>
                          </w:r>
                          <w:r w:rsidR="00DB7039">
                            <w:t>-</w:t>
                          </w:r>
                          <w:r w:rsidR="00DB7039" w:rsidRPr="00DB7039">
                            <w:t>13</w:t>
                          </w:r>
                          <w:r w:rsidR="00DB7039">
                            <w:t>-</w:t>
                          </w:r>
                          <w:r w:rsidR="00DB7039" w:rsidRPr="00DB7039">
                            <w:t>19</w:t>
                          </w:r>
                          <w:r>
                            <w:t xml:space="preserve">, KRS: </w:t>
                          </w:r>
                          <w:r w:rsidR="00DB7039" w:rsidRPr="00DB7039">
                            <w:t>0000626954</w:t>
                          </w:r>
                          <w:r>
                            <w:br/>
                            <w:t>Kapitał zakładowy: 1</w:t>
                          </w:r>
                          <w:r w:rsidR="00DB7039">
                            <w:t>5</w:t>
                          </w:r>
                          <w:r>
                            <w:t>0 000 zł (opłacony w całości)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8="http://schemas.microsoft.com/office/drawing/2016/5/14/chartex" xmlns:cx7="http://schemas.microsoft.com/office/drawing/2016/5/13/chartex" xmlns:cx6="http://schemas.microsoft.com/office/drawing/2016/5/12/chartex">
          <w:pict>
            <v:shape w14:anchorId="71C957E6" id="_x0000_s1027" type="#_x0000_t202" style="position:absolute;left:0;text-align:left;margin-left:42.55pt;margin-top:791.3pt;width:199.55pt;height:30.8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" filled="f" stroked="f">
              <v:textbox inset="0,0,0,0">
                <w:txbxContent>
                  <w:p w14:paraId="4D33BDCC" w14:textId="77777777" w:rsidR="001010D1" w:rsidRDefault="001072FF" w:rsidP="001072FF">
                    <w:pPr>
                      <w:pStyle w:val="Tekstwstopce-nazwafirmy"/>
                    </w:pPr>
                    <w:r>
                      <w:t xml:space="preserve">GoRepair Sp. z o.o., ul. </w:t>
                    </w:r>
                    <w:r w:rsidRPr="001072FF">
                      <w:t xml:space="preserve">Nad </w:t>
                    </w:r>
                    <w:proofErr w:type="spellStart"/>
                    <w:r w:rsidRPr="001072FF">
                      <w:t>Serafą</w:t>
                    </w:r>
                    <w:proofErr w:type="spellEnd"/>
                    <w:r w:rsidRPr="001072FF">
                      <w:t xml:space="preserve"> 56A</w:t>
                    </w:r>
                    <w:r>
                      <w:t>, 30-864 Kraków</w:t>
                    </w:r>
                  </w:p>
                  <w:p w14:paraId="55051792" w14:textId="77777777" w:rsidR="001072FF" w:rsidRDefault="001072FF" w:rsidP="001072FF">
                    <w:pPr>
                      <w:pStyle w:val="Tekstwstopce"/>
                    </w:pPr>
                    <w:r>
                      <w:t xml:space="preserve">NIP: </w:t>
                    </w:r>
                    <w:r w:rsidR="00DB7039" w:rsidRPr="00DB7039">
                      <w:t>679</w:t>
                    </w:r>
                    <w:r w:rsidR="00DB7039">
                      <w:t>-</w:t>
                    </w:r>
                    <w:r w:rsidR="00DB7039" w:rsidRPr="00DB7039">
                      <w:t>313</w:t>
                    </w:r>
                    <w:r w:rsidR="00DB7039">
                      <w:t>-</w:t>
                    </w:r>
                    <w:r w:rsidR="00DB7039" w:rsidRPr="00DB7039">
                      <w:t>13</w:t>
                    </w:r>
                    <w:r w:rsidR="00DB7039">
                      <w:t>-</w:t>
                    </w:r>
                    <w:r w:rsidR="00DB7039" w:rsidRPr="00DB7039">
                      <w:t>19</w:t>
                    </w:r>
                    <w:r>
                      <w:t xml:space="preserve">, KRS: </w:t>
                    </w:r>
                    <w:r w:rsidR="00DB7039" w:rsidRPr="00DB7039">
                      <w:t>0000626954</w:t>
                    </w:r>
                    <w:r>
                      <w:br/>
                      <w:t>Kapitał zakładowy: 1</w:t>
                    </w:r>
                    <w:r w:rsidR="00DB7039">
                      <w:t>5</w:t>
                    </w:r>
                    <w:r>
                      <w:t>0 000 zł (opłacony w całości)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AF1FD" w14:textId="77777777" w:rsidR="0068538F" w:rsidRDefault="0068538F" w:rsidP="001010D1">
      <w:pPr>
        <w:spacing w:after="0" w:line="240" w:lineRule="auto"/>
      </w:pPr>
      <w:r>
        <w:separator/>
      </w:r>
    </w:p>
  </w:footnote>
  <w:footnote w:type="continuationSeparator" w:id="0">
    <w:p w14:paraId="028F8769" w14:textId="77777777" w:rsidR="0068538F" w:rsidRDefault="0068538F" w:rsidP="0010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072F4" w14:textId="6BCAAB63" w:rsidR="001010D1" w:rsidRPr="007C170C" w:rsidRDefault="00EC356E" w:rsidP="006E2000">
    <w:pPr>
      <w:pStyle w:val="Nagwek"/>
      <w:tabs>
        <w:tab w:val="left" w:pos="142"/>
      </w:tabs>
      <w:jc w:val="right"/>
      <w:rPr>
        <w:rFonts w:asciiTheme="majorHAnsi" w:hAnsiTheme="majorHAnsi"/>
        <w:color w:val="E3731B"/>
        <w:sz w:val="32"/>
        <w:szCs w:val="32"/>
      </w:rPr>
    </w:pPr>
    <w:r w:rsidRPr="007C170C">
      <w:rPr>
        <w:rFonts w:asciiTheme="majorHAnsi" w:hAnsiTheme="majorHAnsi"/>
        <w:noProof/>
        <w:color w:val="E3731B"/>
        <w:sz w:val="32"/>
        <w:szCs w:val="32"/>
        <w:lang w:eastAsia="pl-PL"/>
      </w:rPr>
      <w:drawing>
        <wp:anchor distT="0" distB="0" distL="114300" distR="114300" simplePos="0" relativeHeight="251662336" behindDoc="0" locked="1" layoutInCell="1" allowOverlap="1" wp14:anchorId="21B0AB4E" wp14:editId="6FF220B1">
          <wp:simplePos x="0" y="0"/>
          <wp:positionH relativeFrom="page">
            <wp:posOffset>509270</wp:posOffset>
          </wp:positionH>
          <wp:positionV relativeFrom="page">
            <wp:posOffset>345440</wp:posOffset>
          </wp:positionV>
          <wp:extent cx="1605915" cy="359410"/>
          <wp:effectExtent l="0" t="0" r="0" b="2540"/>
          <wp:wrapNone/>
          <wp:docPr id="2" name="Obraz 2" descr="Logo GoRepair - poziome, bez ha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pair - poziome, bez ha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1DB" w:rsidRPr="007C170C">
      <w:rPr>
        <w:rFonts w:asciiTheme="majorHAnsi" w:hAnsiTheme="majorHAnsi"/>
        <w:noProof/>
        <w:color w:val="E3731B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750BC9" wp14:editId="0151CD74">
              <wp:simplePos x="0" y="0"/>
              <wp:positionH relativeFrom="page">
                <wp:posOffset>-791845</wp:posOffset>
              </wp:positionH>
              <wp:positionV relativeFrom="page">
                <wp:posOffset>-161925</wp:posOffset>
              </wp:positionV>
              <wp:extent cx="975360" cy="2372360"/>
              <wp:effectExtent l="209550" t="76200" r="186690" b="66040"/>
              <wp:wrapNone/>
              <wp:docPr id="19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600000">
                        <a:off x="0" y="0"/>
                        <a:ext cx="975360" cy="23723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cx8="http://schemas.microsoft.com/office/drawing/2016/5/14/chartex" xmlns:cx7="http://schemas.microsoft.com/office/drawing/2016/5/13/chartex" xmlns:cx6="http://schemas.microsoft.com/office/drawing/2016/5/12/chartex">
          <w:pict>
            <v:rect w14:anchorId="48B2BA9F" id="Prostokąt 1" o:spid="_x0000_s1026" style="position:absolute;margin-left:-62.35pt;margin-top:-12.7pt;width:76.8pt;height:186.8pt;rotation:1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" fillcolor="#e3731b [3204]" stroked="f" strokeweight="1pt">
              <v:path arrowok="t"/>
              <w10:wrap anchorx="page" anchory="page"/>
              <w10:anchorlock/>
            </v:rect>
          </w:pict>
        </mc:Fallback>
      </mc:AlternateContent>
    </w:r>
    <w:r w:rsidR="002B0E25">
      <w:rPr>
        <w:rFonts w:asciiTheme="majorHAnsi" w:hAnsiTheme="majorHAnsi"/>
        <w:color w:val="E3731B"/>
        <w:sz w:val="32"/>
        <w:szCs w:val="32"/>
      </w:rPr>
      <w:t>ARTYKUŁ EKSPERCKI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E7F"/>
    <w:multiLevelType w:val="hybridMultilevel"/>
    <w:tmpl w:val="6B3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4F06"/>
    <w:multiLevelType w:val="hybridMultilevel"/>
    <w:tmpl w:val="9FD88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35F"/>
    <w:multiLevelType w:val="hybridMultilevel"/>
    <w:tmpl w:val="6028790C"/>
    <w:lvl w:ilvl="0" w:tplc="E084A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1122"/>
    <w:multiLevelType w:val="hybridMultilevel"/>
    <w:tmpl w:val="04B6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7C01"/>
    <w:multiLevelType w:val="hybridMultilevel"/>
    <w:tmpl w:val="A14A3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1A8E"/>
    <w:multiLevelType w:val="hybridMultilevel"/>
    <w:tmpl w:val="BD32C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34C51"/>
    <w:multiLevelType w:val="hybridMultilevel"/>
    <w:tmpl w:val="E3F6F154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A4B1F"/>
    <w:multiLevelType w:val="hybridMultilevel"/>
    <w:tmpl w:val="5DBEA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F7A18"/>
    <w:multiLevelType w:val="hybridMultilevel"/>
    <w:tmpl w:val="791488D2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9508B"/>
    <w:multiLevelType w:val="hybridMultilevel"/>
    <w:tmpl w:val="4ADC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00"/>
    <w:rsid w:val="0002407F"/>
    <w:rsid w:val="00024975"/>
    <w:rsid w:val="000262EA"/>
    <w:rsid w:val="00037706"/>
    <w:rsid w:val="000447EF"/>
    <w:rsid w:val="00066079"/>
    <w:rsid w:val="000709D7"/>
    <w:rsid w:val="000725CD"/>
    <w:rsid w:val="00072E3F"/>
    <w:rsid w:val="00083421"/>
    <w:rsid w:val="000A418D"/>
    <w:rsid w:val="000A726D"/>
    <w:rsid w:val="000D2488"/>
    <w:rsid w:val="001010D1"/>
    <w:rsid w:val="00103E7B"/>
    <w:rsid w:val="001072FF"/>
    <w:rsid w:val="0011337C"/>
    <w:rsid w:val="00125374"/>
    <w:rsid w:val="00144ACD"/>
    <w:rsid w:val="0014602F"/>
    <w:rsid w:val="00150951"/>
    <w:rsid w:val="001540D4"/>
    <w:rsid w:val="00176BD2"/>
    <w:rsid w:val="001A1F94"/>
    <w:rsid w:val="001C74CE"/>
    <w:rsid w:val="001F0A58"/>
    <w:rsid w:val="00202F44"/>
    <w:rsid w:val="0020429D"/>
    <w:rsid w:val="002050D7"/>
    <w:rsid w:val="002062FD"/>
    <w:rsid w:val="00270CF7"/>
    <w:rsid w:val="00274DE3"/>
    <w:rsid w:val="00281B46"/>
    <w:rsid w:val="002834F2"/>
    <w:rsid w:val="00283F14"/>
    <w:rsid w:val="00286FD4"/>
    <w:rsid w:val="002A3570"/>
    <w:rsid w:val="002B0E25"/>
    <w:rsid w:val="002E7192"/>
    <w:rsid w:val="002F5873"/>
    <w:rsid w:val="002F650A"/>
    <w:rsid w:val="003360CE"/>
    <w:rsid w:val="003415E8"/>
    <w:rsid w:val="00352B2B"/>
    <w:rsid w:val="00360E2F"/>
    <w:rsid w:val="0036663B"/>
    <w:rsid w:val="003712E6"/>
    <w:rsid w:val="00382A32"/>
    <w:rsid w:val="0039143B"/>
    <w:rsid w:val="003B0768"/>
    <w:rsid w:val="003B328C"/>
    <w:rsid w:val="003B4641"/>
    <w:rsid w:val="003C320F"/>
    <w:rsid w:val="003D31CB"/>
    <w:rsid w:val="00400692"/>
    <w:rsid w:val="00410A6F"/>
    <w:rsid w:val="00412E78"/>
    <w:rsid w:val="00420DDF"/>
    <w:rsid w:val="004210CB"/>
    <w:rsid w:val="00425259"/>
    <w:rsid w:val="00425EFF"/>
    <w:rsid w:val="00433604"/>
    <w:rsid w:val="00444801"/>
    <w:rsid w:val="00444B2C"/>
    <w:rsid w:val="00454D8E"/>
    <w:rsid w:val="00470D58"/>
    <w:rsid w:val="00477A96"/>
    <w:rsid w:val="00482EC2"/>
    <w:rsid w:val="0049785D"/>
    <w:rsid w:val="004B57D6"/>
    <w:rsid w:val="004E0F52"/>
    <w:rsid w:val="004F1626"/>
    <w:rsid w:val="004F3532"/>
    <w:rsid w:val="004F58EC"/>
    <w:rsid w:val="0052043C"/>
    <w:rsid w:val="00524A3A"/>
    <w:rsid w:val="00532230"/>
    <w:rsid w:val="0054563B"/>
    <w:rsid w:val="00554819"/>
    <w:rsid w:val="005566AC"/>
    <w:rsid w:val="00570D76"/>
    <w:rsid w:val="005713A0"/>
    <w:rsid w:val="00571F9E"/>
    <w:rsid w:val="005B2401"/>
    <w:rsid w:val="005C66FF"/>
    <w:rsid w:val="005C7261"/>
    <w:rsid w:val="005D3AA7"/>
    <w:rsid w:val="005E0D80"/>
    <w:rsid w:val="005E7B13"/>
    <w:rsid w:val="005F2074"/>
    <w:rsid w:val="005F7929"/>
    <w:rsid w:val="00613933"/>
    <w:rsid w:val="00627633"/>
    <w:rsid w:val="00636379"/>
    <w:rsid w:val="00643E9B"/>
    <w:rsid w:val="00660982"/>
    <w:rsid w:val="00663895"/>
    <w:rsid w:val="0066776C"/>
    <w:rsid w:val="0068538F"/>
    <w:rsid w:val="006911DD"/>
    <w:rsid w:val="006A336C"/>
    <w:rsid w:val="006B5830"/>
    <w:rsid w:val="006C221E"/>
    <w:rsid w:val="006D46B8"/>
    <w:rsid w:val="006E2000"/>
    <w:rsid w:val="006E33BA"/>
    <w:rsid w:val="006F30B7"/>
    <w:rsid w:val="006F7A1B"/>
    <w:rsid w:val="007076BF"/>
    <w:rsid w:val="00734EB0"/>
    <w:rsid w:val="00737743"/>
    <w:rsid w:val="007562E2"/>
    <w:rsid w:val="0075706B"/>
    <w:rsid w:val="007638D3"/>
    <w:rsid w:val="00776BCC"/>
    <w:rsid w:val="00780836"/>
    <w:rsid w:val="007814DF"/>
    <w:rsid w:val="00795C08"/>
    <w:rsid w:val="00797BF4"/>
    <w:rsid w:val="007A572A"/>
    <w:rsid w:val="007B4CA3"/>
    <w:rsid w:val="007B7DFA"/>
    <w:rsid w:val="007C170C"/>
    <w:rsid w:val="007C630A"/>
    <w:rsid w:val="007D1029"/>
    <w:rsid w:val="007E373B"/>
    <w:rsid w:val="007E3872"/>
    <w:rsid w:val="007E6BD9"/>
    <w:rsid w:val="007F783C"/>
    <w:rsid w:val="00833341"/>
    <w:rsid w:val="008474DB"/>
    <w:rsid w:val="00871626"/>
    <w:rsid w:val="008A0F95"/>
    <w:rsid w:val="008A3B09"/>
    <w:rsid w:val="008C6B76"/>
    <w:rsid w:val="008D33EA"/>
    <w:rsid w:val="00900EAD"/>
    <w:rsid w:val="00904480"/>
    <w:rsid w:val="00905BA1"/>
    <w:rsid w:val="009114E2"/>
    <w:rsid w:val="00916D70"/>
    <w:rsid w:val="00922549"/>
    <w:rsid w:val="00922D5A"/>
    <w:rsid w:val="00937424"/>
    <w:rsid w:val="009439DB"/>
    <w:rsid w:val="00965E63"/>
    <w:rsid w:val="00981E10"/>
    <w:rsid w:val="00982F24"/>
    <w:rsid w:val="00984E1F"/>
    <w:rsid w:val="00996A00"/>
    <w:rsid w:val="009A0E03"/>
    <w:rsid w:val="009B3609"/>
    <w:rsid w:val="009D00F5"/>
    <w:rsid w:val="009D3105"/>
    <w:rsid w:val="009E02BF"/>
    <w:rsid w:val="009E44A0"/>
    <w:rsid w:val="009E4AEE"/>
    <w:rsid w:val="00A13026"/>
    <w:rsid w:val="00A47891"/>
    <w:rsid w:val="00A63782"/>
    <w:rsid w:val="00A661CB"/>
    <w:rsid w:val="00A709CF"/>
    <w:rsid w:val="00AB2C84"/>
    <w:rsid w:val="00AD1CF1"/>
    <w:rsid w:val="00AD4C3A"/>
    <w:rsid w:val="00AD5D4F"/>
    <w:rsid w:val="00AE0F2D"/>
    <w:rsid w:val="00B147EF"/>
    <w:rsid w:val="00B15585"/>
    <w:rsid w:val="00B31293"/>
    <w:rsid w:val="00B34BE8"/>
    <w:rsid w:val="00B5453E"/>
    <w:rsid w:val="00B643AA"/>
    <w:rsid w:val="00B658AA"/>
    <w:rsid w:val="00B65E8F"/>
    <w:rsid w:val="00B82CC2"/>
    <w:rsid w:val="00BB1463"/>
    <w:rsid w:val="00BB5102"/>
    <w:rsid w:val="00BD0149"/>
    <w:rsid w:val="00BD10C3"/>
    <w:rsid w:val="00BD1CB3"/>
    <w:rsid w:val="00BD4848"/>
    <w:rsid w:val="00C13622"/>
    <w:rsid w:val="00C211DB"/>
    <w:rsid w:val="00C21A5D"/>
    <w:rsid w:val="00C37111"/>
    <w:rsid w:val="00C40EA3"/>
    <w:rsid w:val="00C457BB"/>
    <w:rsid w:val="00C845BF"/>
    <w:rsid w:val="00C95F46"/>
    <w:rsid w:val="00CB01D8"/>
    <w:rsid w:val="00CB19F0"/>
    <w:rsid w:val="00CF2397"/>
    <w:rsid w:val="00D04A0F"/>
    <w:rsid w:val="00D116B2"/>
    <w:rsid w:val="00D128B9"/>
    <w:rsid w:val="00D171EC"/>
    <w:rsid w:val="00D20EA5"/>
    <w:rsid w:val="00D21689"/>
    <w:rsid w:val="00D23AB2"/>
    <w:rsid w:val="00D2448F"/>
    <w:rsid w:val="00D25169"/>
    <w:rsid w:val="00D6148B"/>
    <w:rsid w:val="00D75023"/>
    <w:rsid w:val="00D762E6"/>
    <w:rsid w:val="00D81D73"/>
    <w:rsid w:val="00D84DAC"/>
    <w:rsid w:val="00D85312"/>
    <w:rsid w:val="00D86195"/>
    <w:rsid w:val="00D911CC"/>
    <w:rsid w:val="00D91401"/>
    <w:rsid w:val="00DB6C2F"/>
    <w:rsid w:val="00DB7039"/>
    <w:rsid w:val="00DE0111"/>
    <w:rsid w:val="00DE0BF2"/>
    <w:rsid w:val="00DE6082"/>
    <w:rsid w:val="00DF58E5"/>
    <w:rsid w:val="00E0431F"/>
    <w:rsid w:val="00E25142"/>
    <w:rsid w:val="00E317B2"/>
    <w:rsid w:val="00E4132B"/>
    <w:rsid w:val="00E41551"/>
    <w:rsid w:val="00E44E61"/>
    <w:rsid w:val="00E50159"/>
    <w:rsid w:val="00E52985"/>
    <w:rsid w:val="00E63668"/>
    <w:rsid w:val="00E64C22"/>
    <w:rsid w:val="00E71124"/>
    <w:rsid w:val="00EB6C34"/>
    <w:rsid w:val="00EC356E"/>
    <w:rsid w:val="00ED1513"/>
    <w:rsid w:val="00EE7F1D"/>
    <w:rsid w:val="00EF2C34"/>
    <w:rsid w:val="00F25352"/>
    <w:rsid w:val="00F52B78"/>
    <w:rsid w:val="00F63E0B"/>
    <w:rsid w:val="00F86D75"/>
    <w:rsid w:val="00F8726A"/>
    <w:rsid w:val="00FA1226"/>
    <w:rsid w:val="00FE2CA0"/>
    <w:rsid w:val="00FF024C"/>
    <w:rsid w:val="00FF0F8F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59F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37743"/>
    <w:pPr>
      <w:spacing w:line="312" w:lineRule="auto"/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5C08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743"/>
    <w:pPr>
      <w:keepNext/>
      <w:keepLines/>
      <w:spacing w:before="360" w:after="80"/>
      <w:jc w:val="left"/>
      <w:outlineLvl w:val="1"/>
    </w:pPr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83C"/>
    <w:pPr>
      <w:keepNext/>
      <w:keepLines/>
      <w:spacing w:before="240"/>
      <w:jc w:val="left"/>
      <w:outlineLvl w:val="2"/>
    </w:pPr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83C"/>
    <w:pPr>
      <w:keepNext/>
      <w:keepLines/>
      <w:spacing w:before="120"/>
      <w:jc w:val="left"/>
      <w:outlineLvl w:val="3"/>
    </w:pPr>
    <w:rPr>
      <w:rFonts w:asciiTheme="majorHAnsi" w:eastAsiaTheme="majorEastAsia" w:hAnsiTheme="majorHAnsi" w:cstheme="majorBidi"/>
      <w:iCs/>
      <w:color w:val="E3731B" w:themeColor="accent1"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783C"/>
    <w:pPr>
      <w:keepNext/>
      <w:keepLines/>
      <w:spacing w:before="120"/>
      <w:jc w:val="left"/>
      <w:outlineLvl w:val="4"/>
    </w:pPr>
    <w:rPr>
      <w:rFonts w:asciiTheme="majorHAnsi" w:eastAsiaTheme="majorEastAsia" w:hAnsiTheme="majorHAnsi" w:cstheme="majorBidi"/>
      <w:color w:val="E3731B" w:themeColor="accent1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210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390D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0D1"/>
  </w:style>
  <w:style w:type="paragraph" w:styleId="Stopka">
    <w:name w:val="footer"/>
    <w:basedOn w:val="Normalny"/>
    <w:link w:val="Stopka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0D1"/>
  </w:style>
  <w:style w:type="paragraph" w:customStyle="1" w:styleId="Tekstwstopce">
    <w:name w:val="Tekst w stopce"/>
    <w:basedOn w:val="Normalny"/>
    <w:qFormat/>
    <w:rsid w:val="00795C08"/>
    <w:pPr>
      <w:spacing w:after="60" w:line="259" w:lineRule="auto"/>
      <w:jc w:val="left"/>
    </w:pPr>
    <w:rPr>
      <w:color w:val="878787" w:themeColor="accent5"/>
      <w:sz w:val="13"/>
    </w:rPr>
  </w:style>
  <w:style w:type="paragraph" w:customStyle="1" w:styleId="Tekstwstopce-nazwafirmy">
    <w:name w:val="Tekst w stopce - nazwa firmy"/>
    <w:basedOn w:val="Tekstwstopce"/>
    <w:qFormat/>
    <w:rsid w:val="001072FF"/>
    <w:rPr>
      <w:sz w:val="15"/>
    </w:rPr>
  </w:style>
  <w:style w:type="paragraph" w:customStyle="1" w:styleId="Tekstwstopce-stronawww">
    <w:name w:val="Tekst w stopce - strona www"/>
    <w:basedOn w:val="Tekstwstopce-nazwafirmy"/>
    <w:qFormat/>
    <w:rsid w:val="001072FF"/>
    <w:pPr>
      <w:jc w:val="right"/>
    </w:pPr>
    <w:rPr>
      <w:b/>
      <w:color w:val="E3731B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795C08"/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7743"/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37743"/>
    <w:pPr>
      <w:spacing w:before="960" w:after="480" w:line="259" w:lineRule="auto"/>
      <w:contextualSpacing/>
      <w:jc w:val="left"/>
    </w:pPr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7743"/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7F783C"/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783C"/>
    <w:rPr>
      <w:rFonts w:asciiTheme="majorHAnsi" w:eastAsiaTheme="majorEastAsia" w:hAnsiTheme="majorHAnsi" w:cstheme="majorBidi"/>
      <w:iCs/>
      <w:color w:val="E3731B" w:themeColor="accent1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7F783C"/>
    <w:rPr>
      <w:rFonts w:asciiTheme="majorHAnsi" w:eastAsiaTheme="majorEastAsia" w:hAnsiTheme="majorHAnsi" w:cstheme="majorBidi"/>
      <w:color w:val="E3731B" w:themeColor="accent1"/>
      <w:sz w:val="24"/>
    </w:rPr>
  </w:style>
  <w:style w:type="character" w:styleId="Hipercze">
    <w:name w:val="Hyperlink"/>
    <w:basedOn w:val="Domylnaczcionkaakapitu"/>
    <w:uiPriority w:val="99"/>
    <w:unhideWhenUsed/>
    <w:rsid w:val="00EC356E"/>
    <w:rPr>
      <w:color w:val="4665A3" w:themeColor="hyperlink"/>
      <w:u w:val="single"/>
    </w:rPr>
  </w:style>
  <w:style w:type="table" w:styleId="Tabela-Siatka">
    <w:name w:val="Table Grid"/>
    <w:basedOn w:val="Standardowy"/>
    <w:uiPriority w:val="39"/>
    <w:rsid w:val="00EC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56E"/>
    <w:pPr>
      <w:ind w:left="720"/>
      <w:contextualSpacing/>
    </w:pPr>
  </w:style>
  <w:style w:type="table" w:customStyle="1" w:styleId="Tabelalisty1jasnaakcent51">
    <w:name w:val="Tabela listy 1 — jasna — akcent 5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B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B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5" w:themeFillTint="33"/>
      </w:tcPr>
    </w:tblStylePr>
    <w:tblStylePr w:type="band1Horz">
      <w:tblPr/>
      <w:tcPr>
        <w:shd w:val="clear" w:color="auto" w:fill="E7E7E7" w:themeFill="accent5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A5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A5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E1" w:themeFill="accent4" w:themeFillTint="33"/>
      </w:tcPr>
    </w:tblStylePr>
    <w:tblStylePr w:type="band1Horz">
      <w:tblPr/>
      <w:tcPr>
        <w:shd w:val="clear" w:color="auto" w:fill="DEE1E1" w:themeFill="accent4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470D58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470D58"/>
    <w:rPr>
      <w:rFonts w:eastAsiaTheme="minorEastAsia"/>
      <w:color w:val="5A5A5A" w:themeColor="text1" w:themeTint="A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0D58"/>
    <w:pPr>
      <w:spacing w:before="240" w:after="0"/>
      <w:outlineLvl w:val="9"/>
    </w:pPr>
    <w:rPr>
      <w:color w:val="A95514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0D5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70D5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70D58"/>
    <w:pPr>
      <w:spacing w:after="100"/>
      <w:ind w:left="440"/>
    </w:pPr>
  </w:style>
  <w:style w:type="character" w:styleId="Wyrnieniedelikatne">
    <w:name w:val="Subtle Emphasis"/>
    <w:basedOn w:val="Domylnaczcionkaakapitu"/>
    <w:uiPriority w:val="19"/>
    <w:qFormat/>
    <w:rsid w:val="00470D58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0CE"/>
    <w:rPr>
      <w:rFonts w:ascii="Tahoma" w:hAnsi="Tahoma" w:cs="Tahoma"/>
      <w:color w:val="404040" w:themeColor="text1" w:themeTint="BF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0CE"/>
    <w:rPr>
      <w:color w:val="404040" w:themeColor="text1" w:themeTint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0CE"/>
    <w:rPr>
      <w:b/>
      <w:bCs/>
      <w:color w:val="404040" w:themeColor="text1" w:themeTint="BF"/>
      <w:sz w:val="20"/>
      <w:szCs w:val="20"/>
    </w:rPr>
  </w:style>
  <w:style w:type="paragraph" w:customStyle="1" w:styleId="Normalny-tabela">
    <w:name w:val="Normalny - tabela"/>
    <w:basedOn w:val="Normalny"/>
    <w:qFormat/>
    <w:rsid w:val="00737743"/>
    <w:pPr>
      <w:spacing w:before="80" w:after="80" w:line="288" w:lineRule="auto"/>
      <w:jc w:val="left"/>
    </w:pPr>
    <w:rPr>
      <w:sz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743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743"/>
    <w:rPr>
      <w:color w:val="404040" w:themeColor="text1" w:themeTint="BF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36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626"/>
    <w:rPr>
      <w:color w:val="404040" w:themeColor="text1" w:themeTint="BF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626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4210CB"/>
    <w:rPr>
      <w:rFonts w:asciiTheme="majorHAnsi" w:eastAsiaTheme="majorEastAsia" w:hAnsiTheme="majorHAnsi" w:cstheme="majorBidi"/>
      <w:color w:val="70390D" w:themeColor="accent1" w:themeShade="7F"/>
    </w:rPr>
  </w:style>
  <w:style w:type="paragraph" w:customStyle="1" w:styleId="Dataimiejscenadania">
    <w:name w:val="Data i miejsce nadania"/>
    <w:basedOn w:val="Normalny"/>
    <w:next w:val="Normalny"/>
    <w:qFormat/>
    <w:rsid w:val="00C211DB"/>
    <w:pPr>
      <w:spacing w:after="320"/>
    </w:pPr>
  </w:style>
  <w:style w:type="paragraph" w:customStyle="1" w:styleId="Adresodbiorcy">
    <w:name w:val="Adres odbiorcy"/>
    <w:basedOn w:val="Normalny"/>
    <w:next w:val="Normalny"/>
    <w:qFormat/>
    <w:rsid w:val="00C211DB"/>
    <w:pPr>
      <w:spacing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epai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warchol@wec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z@wec24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oRepai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3731B"/>
      </a:accent1>
      <a:accent2>
        <a:srgbClr val="4665A3"/>
      </a:accent2>
      <a:accent3>
        <a:srgbClr val="33718F"/>
      </a:accent3>
      <a:accent4>
        <a:srgbClr val="616869"/>
      </a:accent4>
      <a:accent5>
        <a:srgbClr val="878787"/>
      </a:accent5>
      <a:accent6>
        <a:srgbClr val="70AD47"/>
      </a:accent6>
      <a:hlink>
        <a:srgbClr val="4665A3"/>
      </a:hlink>
      <a:folHlink>
        <a:srgbClr val="1E4E79"/>
      </a:folHlink>
    </a:clrScheme>
    <a:fontScheme name="GoRepair">
      <a:majorFont>
        <a:latin typeface="Roboto Light"/>
        <a:ea typeface=""/>
        <a:cs typeface=""/>
      </a:majorFont>
      <a:minorFont>
        <a:latin typeface="Robo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CC68E-FA46-45EC-A398-A812D291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Oxido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Węc</dc:creator>
  <cp:lastModifiedBy>Jakub Leśniak</cp:lastModifiedBy>
  <cp:revision>16</cp:revision>
  <cp:lastPrinted>2016-11-25T09:11:00Z</cp:lastPrinted>
  <dcterms:created xsi:type="dcterms:W3CDTF">2017-01-31T14:00:00Z</dcterms:created>
  <dcterms:modified xsi:type="dcterms:W3CDTF">2017-03-30T08:40:00Z</dcterms:modified>
</cp:coreProperties>
</file>