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A5D3" w14:textId="78EAA835" w:rsidR="006E236F" w:rsidRPr="00FF439C" w:rsidRDefault="004F49B7" w:rsidP="004C3FA6">
      <w:pPr>
        <w:pStyle w:val="Nagwek2"/>
        <w:spacing w:before="840" w:line="240" w:lineRule="auto"/>
        <w:rPr>
          <w:rFonts w:ascii="Trebuchet MS" w:hAnsi="Trebuchet MS" w:cs="Arial"/>
          <w:color w:val="000000"/>
          <w:sz w:val="48"/>
          <w:szCs w:val="48"/>
        </w:rPr>
      </w:pPr>
      <w:r>
        <w:rPr>
          <w:rFonts w:ascii="Trebuchet MS" w:hAnsi="Trebuchet MS"/>
          <w:color w:val="000000"/>
          <w:sz w:val="48"/>
          <w:szCs w:val="48"/>
        </w:rPr>
        <w:t xml:space="preserve">„Acer“ naujieji „Predator“ monitoriai su „Quantum Dot“ technologija užtikrina įspūdingą žaidimų patirtį </w:t>
      </w:r>
    </w:p>
    <w:p w14:paraId="2326A29C" w14:textId="280E3FE8" w:rsidR="006E236F" w:rsidRPr="00FF439C" w:rsidRDefault="000F28C5" w:rsidP="00D407A5">
      <w:pPr>
        <w:rPr>
          <w:rFonts w:ascii="Trebuchet MS" w:hAnsi="Trebuchet MS" w:cs="Arial"/>
          <w:color w:val="auto"/>
          <w:sz w:val="28"/>
          <w:szCs w:val="28"/>
        </w:rPr>
      </w:pPr>
      <w:r>
        <w:rPr>
          <w:rFonts w:ascii="Trebuchet MS" w:hAnsi="Trebuchet MS"/>
          <w:color w:val="auto"/>
          <w:sz w:val="28"/>
          <w:szCs w:val="28"/>
        </w:rPr>
        <w:t>„Predator X27“ palaiko 4K skiriamosios gebos NVIDIA</w:t>
      </w:r>
      <w:r>
        <w:rPr>
          <w:rFonts w:ascii="Trebuchet MS" w:hAnsi="Trebuchet MS"/>
          <w:color w:val="auto"/>
          <w:sz w:val="28"/>
          <w:szCs w:val="28"/>
          <w:vertAlign w:val="superscript"/>
        </w:rPr>
        <w:t>®</w:t>
      </w:r>
      <w:r>
        <w:rPr>
          <w:rFonts w:ascii="Trebuchet MS" w:hAnsi="Trebuchet MS"/>
          <w:color w:val="auto"/>
          <w:sz w:val="28"/>
          <w:szCs w:val="28"/>
        </w:rPr>
        <w:t xml:space="preserve"> G-SYNC</w:t>
      </w:r>
      <w:r>
        <w:rPr>
          <w:rFonts w:ascii="Trebuchet MS" w:hAnsi="Trebuchet MS"/>
          <w:color w:val="auto"/>
          <w:sz w:val="28"/>
          <w:szCs w:val="28"/>
          <w:vertAlign w:val="superscript"/>
        </w:rPr>
        <w:t>™</w:t>
      </w:r>
      <w:r>
        <w:rPr>
          <w:rFonts w:ascii="Trebuchet MS" w:hAnsi="Trebuchet MS"/>
          <w:color w:val="auto"/>
          <w:sz w:val="28"/>
          <w:szCs w:val="28"/>
        </w:rPr>
        <w:t xml:space="preserve"> HDR technologiją, o „Predator Z271UV“ išsiskiria 1800R lenktu ekranu. </w:t>
      </w:r>
    </w:p>
    <w:p w14:paraId="7FB9B850" w14:textId="77777777" w:rsidR="006D7B0E" w:rsidRPr="00FF439C" w:rsidRDefault="006D7B0E" w:rsidP="00D407A5">
      <w:pPr>
        <w:rPr>
          <w:rFonts w:ascii="Trebuchet MS" w:hAnsi="Trebuchet MS" w:cs="Arial"/>
          <w:color w:val="auto"/>
          <w:sz w:val="28"/>
          <w:szCs w:val="28"/>
        </w:rPr>
      </w:pPr>
    </w:p>
    <w:p w14:paraId="457A41CC" w14:textId="77777777" w:rsidR="006A57DC" w:rsidRPr="00FF439C" w:rsidRDefault="006A57DC" w:rsidP="006A57DC">
      <w:pPr>
        <w:rPr>
          <w:rFonts w:ascii="Trebuchet MS" w:hAnsi="Trebuchet MS" w:cs="Arial"/>
          <w:b/>
          <w:bCs/>
          <w:iCs/>
          <w:color w:val="auto"/>
          <w:sz w:val="22"/>
          <w:szCs w:val="22"/>
        </w:rPr>
      </w:pPr>
      <w:r>
        <w:rPr>
          <w:rFonts w:ascii="Trebuchet MS" w:hAnsi="Trebuchet MS"/>
          <w:b/>
          <w:bCs/>
          <w:iCs/>
          <w:color w:val="auto"/>
          <w:sz w:val="22"/>
          <w:szCs w:val="22"/>
        </w:rPr>
        <w:t>Redaktoriaus apžvalga</w:t>
      </w:r>
    </w:p>
    <w:p w14:paraId="0DA6E442" w14:textId="156A6E5D" w:rsidR="005F5BAC" w:rsidRPr="00FF439C" w:rsidRDefault="00BB404B" w:rsidP="00A960FB">
      <w:pPr>
        <w:pStyle w:val="Akapitzlist"/>
        <w:widowControl w:val="0"/>
        <w:numPr>
          <w:ilvl w:val="0"/>
          <w:numId w:val="12"/>
        </w:numPr>
        <w:autoSpaceDE w:val="0"/>
        <w:autoSpaceDN w:val="0"/>
        <w:adjustRightInd w:val="0"/>
        <w:spacing w:after="0"/>
        <w:rPr>
          <w:rFonts w:cs="Arial"/>
          <w:color w:val="auto"/>
          <w:sz w:val="22"/>
          <w:szCs w:val="22"/>
        </w:rPr>
      </w:pPr>
      <w:r>
        <w:rPr>
          <w:color w:val="auto"/>
          <w:sz w:val="22"/>
          <w:szCs w:val="22"/>
        </w:rPr>
        <w:t>„Quantum Dot“ techonologija padeda abiejuose monitoriuose užtikrinti žymiai platesnį ryškesnių ir tikslesnių spalvų diapazoną: „Predator X27“ palaiko 99 % „Adobe RGB“ spalvų schemos, o „Predator Z271UV“ – 130 % „sRGB“ spalvų schemos.</w:t>
      </w:r>
    </w:p>
    <w:p w14:paraId="70B6C492" w14:textId="31E63EF3" w:rsidR="00BB404B" w:rsidRPr="00FF439C" w:rsidRDefault="00BB404B">
      <w:pPr>
        <w:pStyle w:val="Akapitzlist"/>
        <w:widowControl w:val="0"/>
        <w:numPr>
          <w:ilvl w:val="0"/>
          <w:numId w:val="12"/>
        </w:numPr>
        <w:autoSpaceDE w:val="0"/>
        <w:autoSpaceDN w:val="0"/>
        <w:adjustRightInd w:val="0"/>
        <w:spacing w:after="0"/>
        <w:rPr>
          <w:rFonts w:cs="Arial"/>
          <w:color w:val="auto"/>
          <w:sz w:val="22"/>
          <w:szCs w:val="22"/>
        </w:rPr>
      </w:pPr>
      <w:r>
        <w:rPr>
          <w:color w:val="auto"/>
          <w:sz w:val="22"/>
          <w:szCs w:val="22"/>
        </w:rPr>
        <w:t>Naudojant abu monitorius, dėl  NVIDIA</w:t>
      </w:r>
      <w:r>
        <w:rPr>
          <w:color w:val="auto"/>
          <w:sz w:val="22"/>
          <w:szCs w:val="22"/>
          <w:vertAlign w:val="superscript"/>
        </w:rPr>
        <w:t>®</w:t>
      </w:r>
      <w:r>
        <w:rPr>
          <w:color w:val="auto"/>
          <w:sz w:val="22"/>
          <w:szCs w:val="22"/>
        </w:rPr>
        <w:t xml:space="preserve"> G-SYNC™ technologijos, žaidimai veikia sklandžiai, nemirkčioja, o NVIDIA ULMB™</w:t>
      </w:r>
      <w:r w:rsidRPr="00FF439C">
        <w:rPr>
          <w:rStyle w:val="Odwoanieprzypisukocowego"/>
          <w:rFonts w:cs="Arial"/>
          <w:color w:val="auto"/>
          <w:sz w:val="22"/>
          <w:szCs w:val="22"/>
        </w:rPr>
        <w:endnoteReference w:id="1"/>
      </w:r>
      <w:r>
        <w:rPr>
          <w:color w:val="auto"/>
          <w:sz w:val="22"/>
          <w:szCs w:val="22"/>
        </w:rPr>
        <w:t xml:space="preserve"> („Ultra-Low Motion Blur“) technologija atkuria aiškesnius ir realistiškesnius vaizdus.</w:t>
      </w:r>
    </w:p>
    <w:p w14:paraId="4A1B55D3" w14:textId="164C3E03" w:rsidR="00963757" w:rsidRPr="00FF439C" w:rsidRDefault="00BB404B">
      <w:pPr>
        <w:pStyle w:val="Akapitzlist"/>
        <w:widowControl w:val="0"/>
        <w:numPr>
          <w:ilvl w:val="0"/>
          <w:numId w:val="12"/>
        </w:numPr>
        <w:autoSpaceDE w:val="0"/>
        <w:autoSpaceDN w:val="0"/>
        <w:adjustRightInd w:val="0"/>
        <w:spacing w:after="0"/>
        <w:rPr>
          <w:rFonts w:cs="Arial"/>
          <w:color w:val="auto"/>
          <w:sz w:val="22"/>
          <w:szCs w:val="22"/>
        </w:rPr>
      </w:pPr>
      <w:r>
        <w:rPr>
          <w:color w:val="auto"/>
          <w:sz w:val="22"/>
          <w:szCs w:val="22"/>
        </w:rPr>
        <w:t>„Predator X27“ yra NVIDIA G-SYNC HDR monitorius su „Acer HDR Ultra™“ technologija.</w:t>
      </w:r>
    </w:p>
    <w:p w14:paraId="0194B8E9" w14:textId="50D3F125" w:rsidR="00C947B3" w:rsidRPr="00FF439C" w:rsidRDefault="00AA2094" w:rsidP="00963757">
      <w:pPr>
        <w:pStyle w:val="Akapitzlist"/>
        <w:widowControl w:val="0"/>
        <w:numPr>
          <w:ilvl w:val="0"/>
          <w:numId w:val="12"/>
        </w:numPr>
        <w:autoSpaceDE w:val="0"/>
        <w:autoSpaceDN w:val="0"/>
        <w:adjustRightInd w:val="0"/>
        <w:spacing w:after="0"/>
        <w:rPr>
          <w:rFonts w:cs="Arial"/>
          <w:color w:val="auto"/>
          <w:sz w:val="22"/>
          <w:szCs w:val="22"/>
        </w:rPr>
      </w:pPr>
      <w:r>
        <w:rPr>
          <w:color w:val="auto"/>
          <w:sz w:val="22"/>
          <w:szCs w:val="22"/>
        </w:rPr>
        <w:t>Integruota „Tobii“ akių sekimo technologija padeda žaidėjams intuityviau taikytis, šaudyti ir žvalgytis.</w:t>
      </w:r>
    </w:p>
    <w:p w14:paraId="5F7B2E51" w14:textId="77777777" w:rsidR="006A57DC" w:rsidRPr="00FF439C" w:rsidRDefault="006A57DC" w:rsidP="006A57DC">
      <w:pPr>
        <w:pStyle w:val="Akapitzlist"/>
        <w:ind w:left="360"/>
        <w:rPr>
          <w:rFonts w:cs="Arial"/>
          <w:color w:val="auto"/>
          <w:sz w:val="22"/>
          <w:szCs w:val="22"/>
          <w:lang w:eastAsia="zh-TW"/>
        </w:rPr>
      </w:pPr>
    </w:p>
    <w:p w14:paraId="0539B111" w14:textId="46D5A509" w:rsidR="00D171B7" w:rsidRPr="00FF439C" w:rsidRDefault="00632497" w:rsidP="005F3899">
      <w:pPr>
        <w:pStyle w:val="NormalFrutiger45Light"/>
        <w:spacing w:after="120" w:line="360" w:lineRule="auto"/>
        <w:jc w:val="left"/>
        <w:rPr>
          <w:rFonts w:ascii="Trebuchet MS" w:hAnsi="Trebuchet MS" w:cs="Arial"/>
          <w:b w:val="0"/>
          <w:bCs w:val="0"/>
          <w:color w:val="auto"/>
        </w:rPr>
      </w:pPr>
      <w:r>
        <w:rPr>
          <w:rStyle w:val="Nagwek3Znak"/>
          <w:rFonts w:ascii="Trebuchet MS" w:hAnsi="Trebuchet MS"/>
          <w:color w:val="auto"/>
        </w:rPr>
        <w:t>NIUJORKAS (2017 m. balandžio 27 d.)</w:t>
      </w:r>
      <w:r>
        <w:rPr>
          <w:rFonts w:ascii="Trebuchet MS" w:hAnsi="Trebuchet MS"/>
          <w:color w:val="auto"/>
        </w:rPr>
        <w:t xml:space="preserve"> – </w:t>
      </w:r>
      <w:r>
        <w:rPr>
          <w:rFonts w:ascii="Trebuchet MS" w:hAnsi="Trebuchet MS"/>
          <w:b w:val="0"/>
          <w:bCs w:val="0"/>
          <w:color w:val="auto"/>
        </w:rPr>
        <w:t xml:space="preserve">Šiandien „Acer“ pristatė du naujus 27 colių žaidimams skirtus monitorius, kurie praturtina žaidimo patirtį aiškiais vaizdais, ryškiomis spalvomis ir nepaprastai sklandžiu veikimu. „Predator X27“ integruota 4K skiriamosios gebos technologija NVIDIA G-SYNC HDR pakelia žaidimo patirtį į naują lygį, nes užtikrina itin greitą 144 Hz atnaujinimo dažnį, o „Acer Predator Z271UV“ 1800R išlenktas ekranas ir akių sekimo technologija padaro žaidimą intuityviu. </w:t>
      </w:r>
    </w:p>
    <w:p w14:paraId="70C121A3" w14:textId="416A18B0" w:rsidR="0059214A" w:rsidRPr="00FF439C" w:rsidRDefault="00454AB2" w:rsidP="005F3899">
      <w:pPr>
        <w:pStyle w:val="NormalFrutiger45Light"/>
        <w:spacing w:after="120" w:line="360" w:lineRule="auto"/>
        <w:jc w:val="left"/>
        <w:rPr>
          <w:rFonts w:ascii="Trebuchet MS" w:hAnsi="Trebuchet MS" w:cs="Arial"/>
          <w:b w:val="0"/>
          <w:bCs w:val="0"/>
          <w:color w:val="auto"/>
        </w:rPr>
      </w:pPr>
      <w:r>
        <w:rPr>
          <w:rFonts w:ascii="Trebuchet MS" w:hAnsi="Trebuchet MS"/>
          <w:b w:val="0"/>
          <w:bCs w:val="0"/>
          <w:color w:val="auto"/>
        </w:rPr>
        <w:t>Abiejuose monitoriuose naudojama „Quantum Dot“ technologija, kuri užtikrina platų spalvų diapazoną, didesnį ryškumą ir geresnį tikslumą, todėl vaizdai yra itin tikroviški: „Predator X27“ palaiko 99 % „Adobe RGB“ spalvų schemos, o „Predator Z271UV“ – 130 % „sRGB“ spalvų schemos</w:t>
      </w:r>
      <w:r>
        <w:rPr>
          <w:rFonts w:ascii="Trebuchet MS" w:hAnsi="Trebuchet MS"/>
          <w:b w:val="0"/>
        </w:rPr>
        <w:t>. „Quantum Dot“ plėvelė yra padengta įvairių tipų nano dydžio taškais, kurie skleidžia specifinę spalvotą šviesą, todėl naujuosiuose ekranuose, lyginant su standartiniais monitoriais, gali būti atkuriama platesnė spalvų gama,</w:t>
      </w:r>
      <w:r>
        <w:rPr>
          <w:rFonts w:ascii="Trebuchet MS" w:hAnsi="Trebuchet MS"/>
          <w:b w:val="0"/>
          <w:color w:val="auto"/>
        </w:rPr>
        <w:t xml:space="preserve"> spalvos tampa ryškesnės ir efektingesnės.</w:t>
      </w:r>
      <w:r>
        <w:rPr>
          <w:rFonts w:ascii="Trebuchet MS" w:hAnsi="Trebuchet MS"/>
          <w:b w:val="0"/>
          <w:bCs w:val="0"/>
          <w:color w:val="auto"/>
        </w:rPr>
        <w:t xml:space="preserve"> </w:t>
      </w:r>
    </w:p>
    <w:p w14:paraId="481686A5" w14:textId="70CE4799" w:rsidR="006A57DC" w:rsidRPr="00FF439C" w:rsidRDefault="00663930" w:rsidP="006A57DC">
      <w:pPr>
        <w:pStyle w:val="NormalFrutiger45Light"/>
        <w:spacing w:after="120" w:line="360" w:lineRule="auto"/>
        <w:jc w:val="left"/>
        <w:rPr>
          <w:rFonts w:ascii="Trebuchet MS" w:hAnsi="Trebuchet MS" w:cs="Arial"/>
          <w:color w:val="auto"/>
        </w:rPr>
      </w:pPr>
      <w:r>
        <w:rPr>
          <w:rFonts w:ascii="Trebuchet MS" w:hAnsi="Trebuchet MS"/>
          <w:color w:val="auto"/>
        </w:rPr>
        <w:t xml:space="preserve">„Predator X27“: stulbinanti patirtis </w:t>
      </w:r>
    </w:p>
    <w:p w14:paraId="46D98F99" w14:textId="23DE82E6" w:rsidR="00CF154E" w:rsidRPr="00FF439C" w:rsidRDefault="00574B69" w:rsidP="00B410EA">
      <w:pPr>
        <w:pStyle w:val="NormalFrutiger45Light"/>
        <w:spacing w:after="120" w:line="360" w:lineRule="auto"/>
        <w:rPr>
          <w:rFonts w:ascii="Trebuchet MS" w:hAnsi="Trebuchet MS" w:cs="Arial"/>
          <w:b w:val="0"/>
          <w:color w:val="auto"/>
        </w:rPr>
      </w:pPr>
      <w:r>
        <w:rPr>
          <w:rFonts w:ascii="Trebuchet MS" w:hAnsi="Trebuchet MS"/>
          <w:b w:val="0"/>
          <w:color w:val="auto"/>
        </w:rPr>
        <w:lastRenderedPageBreak/>
        <w:t>„Predator X27“ aukšta 4K (3840 x 2160) skiriamoji geba, 144 Hz atnaujinimo dažnis, greitas 4 ms reagavimo laikas ir 1 000 Nitų ryškumas padeda atkurti nuostabius ryškius vaizdus be judesio suliejimo. Integruota „Acer HDR Ultra“ technologija turi pažangią LED vietinio pritemdymo 384 atskirai valdomose srityse funkciją, kuri skleidžia šviesą tik tada ir tik ten, kur jos reikia, taip užtikrindama geriausią didelio dinaminio diapazono kontrastingumą</w:t>
      </w:r>
      <w:r>
        <w:rPr>
          <w:rFonts w:ascii="Trebuchet MS" w:hAnsi="Trebuchet MS"/>
          <w:b w:val="0"/>
        </w:rPr>
        <w:t xml:space="preserve">. Ši technologija </w:t>
      </w:r>
      <w:r>
        <w:rPr>
          <w:rFonts w:ascii="Trebuchet MS" w:hAnsi="Trebuchet MS"/>
          <w:b w:val="0"/>
          <w:color w:val="auto"/>
        </w:rPr>
        <w:t>teikia</w:t>
      </w:r>
      <w:r>
        <w:rPr>
          <w:rFonts w:ascii="Trebuchet MS" w:hAnsi="Trebuchet MS"/>
          <w:b w:val="0"/>
        </w:rPr>
        <w:t xml:space="preserve"> ne tik platesnę ryškesnių spalvų gamą, bet ir kelis kartus platesnį skaisčio diapazoną nei tradicinio dinaminio diapazono monitoriuose. Kai apšvietimas pritemdomas už juodų ekrano vietų, tos vietos atrodo gilesnės ir tamsesnės, todėl žmonėms, žaidžiantiems žaidimus su tamsiomis scenomis, sukuriamas papildomas efektas.</w:t>
      </w:r>
      <w:r>
        <w:rPr>
          <w:rFonts w:ascii="Trebuchet MS" w:hAnsi="Trebuchet MS"/>
          <w:b w:val="0"/>
          <w:color w:val="auto"/>
        </w:rPr>
        <w:t xml:space="preserve"> Lenktas metalinis stovas yra labai tvirtas, kad būtų užtikrintas stabilumas ir ergonomika, kai ekranas pakreipiamas, pasukamas arba keičiamas jo aukštis.  </w:t>
      </w:r>
    </w:p>
    <w:p w14:paraId="0A213D01" w14:textId="2A50712C" w:rsidR="00A960FB" w:rsidRPr="00FF439C" w:rsidRDefault="00882025" w:rsidP="00122A89">
      <w:pPr>
        <w:pStyle w:val="NormalFrutiger45Light"/>
        <w:spacing w:after="120" w:line="360" w:lineRule="auto"/>
        <w:rPr>
          <w:rFonts w:ascii="Trebuchet MS" w:hAnsi="Trebuchet MS" w:cs="Arial"/>
          <w:color w:val="auto"/>
        </w:rPr>
      </w:pPr>
      <w:r>
        <w:rPr>
          <w:rFonts w:ascii="Trebuchet MS" w:hAnsi="Trebuchet MS"/>
          <w:color w:val="auto"/>
        </w:rPr>
        <w:t>„Acer Predator Z271UV“: kvapą gniaužiantis vaizdas iš visų pusių</w:t>
      </w:r>
    </w:p>
    <w:p w14:paraId="6DAE09E8" w14:textId="40C7F5E1" w:rsidR="00A960FB" w:rsidRPr="00FF439C" w:rsidRDefault="0019516E" w:rsidP="00A960FB">
      <w:pPr>
        <w:pStyle w:val="NormalFrutiger45Light"/>
        <w:spacing w:after="120" w:line="360" w:lineRule="auto"/>
        <w:rPr>
          <w:rFonts w:ascii="Trebuchet MS" w:hAnsi="Trebuchet MS" w:cs="Arial"/>
          <w:b w:val="0"/>
          <w:color w:val="auto"/>
        </w:rPr>
      </w:pPr>
      <w:r>
        <w:rPr>
          <w:rFonts w:ascii="Trebuchet MS" w:hAnsi="Trebuchet MS"/>
          <w:b w:val="0"/>
          <w:color w:val="auto"/>
        </w:rPr>
        <w:t>„Acer Predator Z271UV“ vaizdas pateikiamas WQHD (2560 x 1440) skiriamosios gebos lenktame 1800R ekrane, todėl visi ekrano kampai yra išsidėstę vienodu atstumu nuo žaidėjo akių. Tai sukuria dar labiau įtraukiančio žaidimo įspūdį, nes regos laukas yra platesnis, o periferiniu regėjimu matoma sritis – didesnė. Be to, spalvų diapazonas apima 125 % „sRGB“ spalvų schemos. Monitorius yra itin greitas: jo reakcijos laikas – 1 ms, todėl beveik nėra judesio suliejimo, ir palaikomas iki 165 Hz spartinimas. Monitorius buvo kuriamas atsižvelgiant į ergonomiškumą, todėl ekraną galima palenkti nuo –5 iki 25 laipsnių, pasukti +/– 30 laipsnių ir pakelti iki 4,7 colio. Jame yra tokios ryšio jungtys, kaip „DisplayPort“, HDMI, garso išvesties jungtis ir keturios USB 3.0 jungtys (1 viršuje, 4 apačioje). Du 7 vatų garsiakalbiai skleidžia aukštos kokybės garsą, o „Acer TrueHarmony™“ technologija užtikrina dinaminius pramoginius efektus.</w:t>
      </w:r>
    </w:p>
    <w:p w14:paraId="7AF26E8F" w14:textId="52308C35" w:rsidR="00882025" w:rsidRPr="00FF439C" w:rsidRDefault="00882025" w:rsidP="00882025">
      <w:pPr>
        <w:pStyle w:val="NormalFrutiger45Light"/>
        <w:spacing w:after="120" w:line="360" w:lineRule="auto"/>
        <w:jc w:val="left"/>
        <w:rPr>
          <w:rFonts w:ascii="Trebuchet MS" w:hAnsi="Trebuchet MS" w:cs="Arial"/>
          <w:color w:val="auto"/>
        </w:rPr>
      </w:pPr>
      <w:r>
        <w:rPr>
          <w:rFonts w:ascii="Trebuchet MS" w:hAnsi="Trebuchet MS"/>
          <w:color w:val="auto"/>
        </w:rPr>
        <w:t>Itin sklandus veikimas ir intuityvi akių sekimo funkcija</w:t>
      </w:r>
    </w:p>
    <w:p w14:paraId="210CFCB0" w14:textId="26F37516" w:rsidR="006353F6" w:rsidRPr="00FF439C" w:rsidRDefault="0013568D" w:rsidP="00882025">
      <w:pPr>
        <w:pStyle w:val="NormalFrutiger45Light"/>
        <w:spacing w:after="120" w:line="360" w:lineRule="auto"/>
        <w:jc w:val="left"/>
        <w:rPr>
          <w:rStyle w:val="style02"/>
          <w:rFonts w:ascii="Trebuchet MS" w:hAnsi="Trebuchet MS"/>
          <w:b w:val="0"/>
          <w:color w:val="auto"/>
        </w:rPr>
      </w:pPr>
      <w:r>
        <w:rPr>
          <w:rFonts w:ascii="Trebuchet MS" w:hAnsi="Trebuchet MS"/>
          <w:b w:val="0"/>
          <w:color w:val="auto"/>
        </w:rPr>
        <w:t>Be „Quantum Dot“, abiejuose monitoriuose taip pat veikia NVIDIA G-SYNC technologija, kuri užtikrina greitą atnaujinimo dažnį (todėl vaizdas ekrane neskaidomas), ir NVIDIA ULMB technologija, kuri atkuria aiškius, tikroviškus vaizdus. Integruota „Tobii“ akių sekimo technologija papildo įprastas klaviatūros ir pelės funkcijas, nes kamera pasukama, kai žaidėjas žiūri į ekrano kraštus. Kartu su pele ir klaviatūra arba žaidimų manipuliatoriaus valdikliais akių sekimo technologija užtikrina įtaigesnę žaidimo patirtį, nes žaidėjai gali imituoti realiame gyvenime atliekamus veiksmus, pvz., staigiai pasilenkti, kad išvengtų atakos, arba taikytis į taikinį</w:t>
      </w:r>
      <w:r>
        <w:rPr>
          <w:rStyle w:val="style02"/>
          <w:rFonts w:ascii="Trebuchet MS" w:hAnsi="Trebuchet MS"/>
          <w:b w:val="0"/>
          <w:color w:val="auto"/>
        </w:rPr>
        <w:t xml:space="preserve">. Šiuo metu akių sekimo funkciją palaiko 100 žaidimų. Nuolat atnaujinamą biblioteką galima peržiūrėti adresu </w:t>
      </w:r>
      <w:hyperlink r:id="rId8" w:history="1">
        <w:r>
          <w:rPr>
            <w:rStyle w:val="Hipercze"/>
            <w:rFonts w:ascii="Trebuchet MS" w:hAnsi="Trebuchet MS"/>
            <w:b w:val="0"/>
          </w:rPr>
          <w:t>www.tobii.com/apps</w:t>
        </w:r>
      </w:hyperlink>
      <w:r>
        <w:rPr>
          <w:rStyle w:val="style02"/>
          <w:rFonts w:ascii="Trebuchet MS" w:hAnsi="Trebuchet MS"/>
          <w:b w:val="0"/>
          <w:color w:val="auto"/>
        </w:rPr>
        <w:t>.</w:t>
      </w:r>
    </w:p>
    <w:p w14:paraId="771DFDD0" w14:textId="25589548" w:rsidR="006353F6" w:rsidRPr="00FF439C" w:rsidRDefault="00882025" w:rsidP="006353F6">
      <w:pPr>
        <w:spacing w:before="240" w:after="0" w:line="360" w:lineRule="auto"/>
        <w:rPr>
          <w:rFonts w:ascii="Trebuchet MS" w:hAnsi="Trebuchet MS" w:cs="Arial"/>
          <w:color w:val="auto"/>
          <w:sz w:val="22"/>
          <w:szCs w:val="22"/>
        </w:rPr>
      </w:pPr>
      <w:r>
        <w:rPr>
          <w:rFonts w:ascii="Trebuchet MS" w:hAnsi="Trebuchet MS"/>
          <w:color w:val="auto"/>
          <w:sz w:val="22"/>
          <w:szCs w:val="22"/>
        </w:rPr>
        <w:lastRenderedPageBreak/>
        <w:t xml:space="preserve">Naujuose ekranuose vaizdą galima peržiūrėti iš įvairių kampų, iki 178 laipsnių, horizontaliai ir vertikaliai. Be to, „Acer VisionCare“ su „Flickerless“, „BluelightShield“, „ComfyView“ ir pritemdymo technologijomis gali padėti sumažinti akių nuovargį ilgai žaidžiant.   </w:t>
      </w:r>
    </w:p>
    <w:p w14:paraId="2120F762" w14:textId="64D89322" w:rsidR="006353F6" w:rsidRPr="00FF439C" w:rsidRDefault="006A57DC" w:rsidP="006353F6">
      <w:pPr>
        <w:spacing w:before="240" w:after="0" w:line="360" w:lineRule="auto"/>
        <w:rPr>
          <w:rFonts w:ascii="Trebuchet MS" w:hAnsi="Trebuchet MS" w:cs="Arial"/>
          <w:color w:val="auto"/>
          <w:sz w:val="22"/>
          <w:szCs w:val="22"/>
        </w:rPr>
      </w:pPr>
      <w:r>
        <w:rPr>
          <w:rFonts w:ascii="Trebuchet MS" w:hAnsi="Trebuchet MS"/>
          <w:color w:val="auto"/>
          <w:sz w:val="22"/>
          <w:szCs w:val="22"/>
        </w:rPr>
        <w:t xml:space="preserve">„Predator GameView“ leidžia žaidėjams koreguoti spalvas, nustatyti taikinius, kad būtų galima taikliai šaudyti nesitaikant, ir koreguoti tamsiuosius lygius, kad priešai būtų labiau pastebimi. Pasirinktiniai nustatymai gali būti įrašyti trijuose skirtinguose profiliuose, įskaitant veiksmo, lenktynių ir sporto, kad žaidžiant bet kuriuo metu būtų galima perjungti scenarijus.  </w:t>
      </w:r>
    </w:p>
    <w:p w14:paraId="4677AB5E" w14:textId="4C603501" w:rsidR="00550C0D" w:rsidRPr="00FF439C" w:rsidRDefault="00550C0D" w:rsidP="00550C0D">
      <w:pPr>
        <w:pStyle w:val="BodyA"/>
        <w:spacing w:before="240" w:after="0" w:line="360" w:lineRule="auto"/>
        <w:rPr>
          <w:rFonts w:ascii="Trebuchet MS" w:eastAsia="Arial" w:hAnsi="Trebuchet MS" w:cs="Arial"/>
          <w:color w:val="000000"/>
          <w:sz w:val="22"/>
          <w:szCs w:val="22"/>
        </w:rPr>
      </w:pPr>
      <w:bookmarkStart w:id="0" w:name="_GoBack"/>
      <w:r>
        <w:rPr>
          <w:rFonts w:ascii="Trebuchet MS" w:hAnsi="Trebuchet MS"/>
          <w:color w:val="000000"/>
          <w:sz w:val="22"/>
          <w:szCs w:val="22"/>
        </w:rPr>
        <w:t xml:space="preserve">Naujieji „Predator“ monitoriai buvo pristatyti šiandien „next@acer“ spaudos konferencijoje Niujorke. Įmonė paskelbė apie naujus įrenginius ir sprendimus žaidėjams, kūrėjams, šeimoms, studentams ir profesionalams. Daugiau informacijos rasite apsilankę </w:t>
      </w:r>
      <w:hyperlink r:id="rId9" w:history="1">
        <w:r>
          <w:rPr>
            <w:rStyle w:val="Hipercze"/>
            <w:rFonts w:ascii="Trebuchet MS" w:hAnsi="Trebuchet MS"/>
            <w:color w:val="000000"/>
            <w:sz w:val="22"/>
            <w:szCs w:val="22"/>
          </w:rPr>
          <w:t>www.acer.com/nextatacer</w:t>
        </w:r>
      </w:hyperlink>
      <w:r>
        <w:rPr>
          <w:rFonts w:ascii="Trebuchet MS" w:hAnsi="Trebuchet MS"/>
          <w:color w:val="000000"/>
          <w:sz w:val="22"/>
          <w:szCs w:val="22"/>
        </w:rPr>
        <w:t>.</w:t>
      </w:r>
    </w:p>
    <w:bookmarkEnd w:id="0"/>
    <w:p w14:paraId="38FC40C4" w14:textId="77777777" w:rsidR="00550C0D" w:rsidRPr="00F106EB" w:rsidRDefault="00550C0D" w:rsidP="007C1507">
      <w:pPr>
        <w:pStyle w:val="NormalFrutiger45Light"/>
        <w:spacing w:after="120" w:line="360" w:lineRule="auto"/>
        <w:jc w:val="left"/>
        <w:rPr>
          <w:rFonts w:ascii="Trebuchet MS" w:hAnsi="Trebuchet MS" w:cs="Arial"/>
          <w:b w:val="0"/>
          <w:color w:val="FF0000"/>
          <w:lang w:val="en-US"/>
        </w:rPr>
      </w:pPr>
    </w:p>
    <w:p w14:paraId="121F4910" w14:textId="760D618B" w:rsidR="004C2DD8" w:rsidRPr="00FF439C" w:rsidRDefault="00CD1FC4" w:rsidP="00647112">
      <w:pPr>
        <w:spacing w:before="240" w:after="0"/>
        <w:rPr>
          <w:rFonts w:ascii="Trebuchet MS" w:hAnsi="Trebuchet MS"/>
          <w:color w:val="000000"/>
          <w:sz w:val="22"/>
          <w:szCs w:val="22"/>
        </w:rPr>
      </w:pPr>
      <w:r>
        <w:rPr>
          <w:rFonts w:ascii="Trebuchet MS" w:hAnsi="Trebuchet MS"/>
          <w:b/>
          <w:color w:val="auto"/>
          <w:sz w:val="22"/>
          <w:szCs w:val="22"/>
        </w:rPr>
        <w:t>Apie „Acer “</w:t>
      </w:r>
      <w:r>
        <w:rPr>
          <w:rFonts w:ascii="Trebuchet MS" w:hAnsi="Trebuchet MS"/>
          <w:b/>
          <w:color w:val="auto"/>
          <w:sz w:val="22"/>
          <w:szCs w:val="22"/>
        </w:rPr>
        <w:br/>
      </w:r>
      <w:r>
        <w:rPr>
          <w:rFonts w:ascii="Trebuchet MS" w:hAnsi="Trebuchet MS"/>
          <w:color w:val="000000"/>
          <w:sz w:val="22"/>
          <w:szCs w:val="22"/>
        </w:rPr>
        <w:t>1976 m. įkurta „Acer“ šiuo metu yra viena didžiausių informacinių ir komunikacinių technologijų įmonių pasaulyje, veikianti daugiau nei 160 šalių. „Acer“ ateities tikslas – sujungti techninę ir programinę įrangą bei paslaugas, kurios sąveikaudamos tarpusavyje atvertų naujas galimybes tiek vartotojams, tiek įmonėms.  Nesvarbu, kas tai būtų – į paslaugas orientuotos technologijos, internetu sąveikaujantys įrenginiai, žaidimai ar virtualiosios realybės produktai, – daugiau nei 7 000 „Acer“ darbuotojų atlieka tyrimus, kuria dizainą, vykdo rinkodarą, parduoda gaminius ir sprendimus bei teikia jiems palaikymą, kad panaikintų žmones ir technologijas skiriančias kliūtis. Daugiau informacijos rasite apsilankę www.acer.com.</w:t>
      </w:r>
    </w:p>
    <w:p w14:paraId="6F5AB5DE" w14:textId="2C474744" w:rsidR="004727EA" w:rsidRPr="00FF439C" w:rsidRDefault="004727EA" w:rsidP="0005791C">
      <w:pPr>
        <w:spacing w:before="240" w:after="0"/>
        <w:rPr>
          <w:rFonts w:ascii="Trebuchet MS" w:hAnsi="Trebuchet MS"/>
          <w:b/>
          <w:color w:val="auto"/>
          <w:sz w:val="20"/>
        </w:rPr>
      </w:pPr>
      <w:r>
        <w:rPr>
          <w:rFonts w:ascii="Trebuchet MS" w:hAnsi="Trebuchet MS"/>
          <w:b/>
          <w:color w:val="auto"/>
          <w:sz w:val="20"/>
        </w:rPr>
        <w:t>Kontaktai spaudai</w:t>
      </w:r>
    </w:p>
    <w:p w14:paraId="366E3B37" w14:textId="29F9B501" w:rsidR="00550C0D" w:rsidRPr="00F106EB" w:rsidRDefault="0099739D" w:rsidP="00F106EB">
      <w:pPr>
        <w:spacing w:before="240" w:after="0"/>
        <w:rPr>
          <w:rFonts w:ascii="Trebuchet MS" w:hAnsi="Trebuchet MS"/>
          <w:color w:val="auto"/>
          <w:sz w:val="18"/>
          <w:szCs w:val="18"/>
        </w:rPr>
      </w:pPr>
      <w:r>
        <w:rPr>
          <w:rFonts w:ascii="Trebuchet MS" w:hAnsi="Trebuchet MS"/>
          <w:color w:val="auto"/>
          <w:sz w:val="18"/>
          <w:szCs w:val="18"/>
        </w:rPr>
        <w:t>Šiaurės ir Pietų Amerikos regionas – Erin Davern</w:t>
      </w:r>
      <w:r>
        <w:rPr>
          <w:rFonts w:ascii="Trebuchet MS" w:hAnsi="Trebuchet MS"/>
          <w:color w:val="auto"/>
          <w:sz w:val="18"/>
          <w:szCs w:val="18"/>
        </w:rPr>
        <w:tab/>
      </w:r>
      <w:r>
        <w:rPr>
          <w:rFonts w:ascii="Trebuchet MS" w:hAnsi="Trebuchet MS"/>
          <w:color w:val="auto"/>
          <w:sz w:val="18"/>
          <w:szCs w:val="18"/>
        </w:rPr>
        <w:tab/>
        <w:t>Tel.:  +949-471-7785</w:t>
      </w:r>
      <w:r>
        <w:rPr>
          <w:rFonts w:ascii="Trebuchet MS" w:hAnsi="Trebuchet MS"/>
          <w:color w:val="auto"/>
          <w:sz w:val="18"/>
          <w:szCs w:val="18"/>
        </w:rPr>
        <w:tab/>
        <w:t xml:space="preserve">El. paštas: </w:t>
      </w:r>
      <w:r>
        <w:rPr>
          <w:color w:val="auto"/>
        </w:rPr>
        <w:t>erin.davern@acer.com</w:t>
      </w:r>
      <w:r>
        <w:rPr>
          <w:rFonts w:ascii="Trebuchet MS" w:hAnsi="Trebuchet MS"/>
          <w:color w:val="000000"/>
          <w:sz w:val="18"/>
          <w:szCs w:val="18"/>
        </w:rPr>
        <w:br/>
        <w:t>EMEA regionas – Manuel Linnig</w:t>
      </w:r>
      <w:r>
        <w:rPr>
          <w:rFonts w:ascii="Trebuchet MS" w:hAnsi="Trebuchet MS"/>
          <w:color w:val="000000"/>
          <w:sz w:val="18"/>
          <w:szCs w:val="18"/>
        </w:rPr>
        <w:tab/>
      </w:r>
      <w:r>
        <w:rPr>
          <w:rFonts w:ascii="Trebuchet MS" w:hAnsi="Trebuchet MS"/>
          <w:color w:val="000000"/>
          <w:sz w:val="18"/>
          <w:szCs w:val="18"/>
        </w:rPr>
        <w:tab/>
        <w:t>Tel.: +41 91 2610 522</w:t>
      </w:r>
      <w:r>
        <w:rPr>
          <w:rFonts w:ascii="Trebuchet MS" w:hAnsi="Trebuchet MS"/>
          <w:color w:val="000000"/>
          <w:sz w:val="18"/>
          <w:szCs w:val="18"/>
        </w:rPr>
        <w:tab/>
        <w:t>El. paštas: manuel.linnig@acer.com</w:t>
      </w:r>
      <w:r>
        <w:rPr>
          <w:rFonts w:ascii="Trebuchet MS" w:hAnsi="Trebuchet MS"/>
          <w:color w:val="000000"/>
          <w:sz w:val="18"/>
          <w:szCs w:val="18"/>
        </w:rPr>
        <w:br/>
        <w:t>Įmonė / Azijos regionas – Steven Chung</w:t>
      </w:r>
      <w:r>
        <w:rPr>
          <w:rFonts w:ascii="Trebuchet MS" w:hAnsi="Trebuchet MS"/>
          <w:color w:val="000000"/>
          <w:sz w:val="18"/>
          <w:szCs w:val="18"/>
        </w:rPr>
        <w:tab/>
      </w:r>
      <w:r>
        <w:rPr>
          <w:rFonts w:ascii="Trebuchet MS" w:hAnsi="Trebuchet MS"/>
          <w:color w:val="000000"/>
          <w:sz w:val="18"/>
          <w:szCs w:val="18"/>
        </w:rPr>
        <w:tab/>
        <w:t>Tel.: +886-2-86913202</w:t>
      </w:r>
      <w:r>
        <w:rPr>
          <w:rFonts w:ascii="Trebuchet MS" w:hAnsi="Trebuchet MS"/>
          <w:color w:val="000000"/>
          <w:sz w:val="18"/>
          <w:szCs w:val="18"/>
        </w:rPr>
        <w:tab/>
        <w:t>El. paštas: steven.h.chung@acer.com</w:t>
      </w:r>
    </w:p>
    <w:p w14:paraId="2AF84F29" w14:textId="68B43FD3" w:rsidR="00B0482A" w:rsidRPr="00FF439C" w:rsidRDefault="006B30F4" w:rsidP="0005791C">
      <w:pPr>
        <w:spacing w:after="0"/>
        <w:rPr>
          <w:rFonts w:ascii="Trebuchet MS" w:hAnsi="Trebuchet MS"/>
          <w:color w:val="auto"/>
          <w:sz w:val="18"/>
          <w:szCs w:val="18"/>
        </w:rPr>
      </w:pPr>
      <w:r>
        <w:rPr>
          <w:rFonts w:ascii="Trebuchet MS" w:hAnsi="Trebuchet MS"/>
          <w:color w:val="auto"/>
          <w:sz w:val="18"/>
          <w:szCs w:val="18"/>
        </w:rPr>
        <w:br/>
      </w:r>
    </w:p>
    <w:p w14:paraId="12A8BCF2" w14:textId="77777777" w:rsidR="004C2DD8" w:rsidRPr="00FF439C" w:rsidRDefault="004C2DD8" w:rsidP="004C2DD8">
      <w:pPr>
        <w:spacing w:after="0"/>
        <w:jc w:val="both"/>
        <w:rPr>
          <w:color w:val="000000"/>
        </w:rPr>
      </w:pPr>
      <w:r>
        <w:rPr>
          <w:rFonts w:ascii="Trebuchet MS" w:hAnsi="Trebuchet MS"/>
          <w:color w:val="000000"/>
          <w:sz w:val="18"/>
          <w:szCs w:val="18"/>
        </w:rPr>
        <w:t>© „Acer Inc.“, 2017. Visos teisės saugomos. „Acer“ ir „Acer“ logotipas yra registruotieji „Acer Inc.“ prekių ženklai. Kiti nurodyti ar kitaip pateikti prekių ženklai, registruotieji prekių ir (arba) paslaugų ženklai yra jų atitinkamų savininkų nuosavybė. Visi pasiūlymai gali būti keičiami be išankstinio pranešimo ar įsipareigojimo ir gali būti nepasiekiami pardavimo kanalais. Nurodytos kainos yra gamintojo siūlomos mažmeninės prekybos kainos, kurios skirtingose vietose gali skirtis. Pardavimo mokesčiai taikomi papildomai.</w:t>
      </w:r>
    </w:p>
    <w:p w14:paraId="1B35EB47" w14:textId="55270F12" w:rsidR="007F7421" w:rsidRPr="00FF439C" w:rsidRDefault="007F7421" w:rsidP="007F7421">
      <w:pPr>
        <w:rPr>
          <w:rFonts w:ascii="Trebuchet MS" w:hAnsi="Trebuchet MS" w:cs="Arial"/>
          <w:snapToGrid w:val="0"/>
          <w:color w:val="auto"/>
          <w:sz w:val="16"/>
          <w:szCs w:val="16"/>
        </w:rPr>
      </w:pPr>
    </w:p>
    <w:p w14:paraId="71644A64" w14:textId="77777777" w:rsidR="00A73FA2" w:rsidRPr="00FF439C" w:rsidRDefault="00A73FA2" w:rsidP="00A73FA2">
      <w:pPr>
        <w:pStyle w:val="Akapitzlist"/>
        <w:numPr>
          <w:ilvl w:val="0"/>
          <w:numId w:val="11"/>
        </w:numPr>
        <w:autoSpaceDE w:val="0"/>
        <w:autoSpaceDN w:val="0"/>
        <w:adjustRightInd w:val="0"/>
        <w:spacing w:after="0"/>
        <w:contextualSpacing w:val="0"/>
        <w:jc w:val="both"/>
        <w:rPr>
          <w:rFonts w:cs="Arial"/>
          <w:color w:val="auto"/>
          <w:sz w:val="16"/>
          <w:szCs w:val="16"/>
        </w:rPr>
      </w:pPr>
      <w:r>
        <w:rPr>
          <w:color w:val="auto"/>
          <w:sz w:val="16"/>
          <w:szCs w:val="16"/>
        </w:rPr>
        <w:t>Taikoma ribotosios garantijos sutartis.  Norėdami gauti kopiją, parašykite adresu: Acer Customer Service, P.S. Box 6137, Temple, TX 76503.</w:t>
      </w:r>
    </w:p>
    <w:p w14:paraId="0AB9F698" w14:textId="77777777" w:rsidR="007F7421" w:rsidRPr="00FF439C" w:rsidRDefault="007F7421" w:rsidP="0005791C">
      <w:pPr>
        <w:spacing w:after="0"/>
        <w:jc w:val="both"/>
        <w:rPr>
          <w:rFonts w:ascii="Trebuchet MS" w:hAnsi="Trebuchet MS"/>
          <w:sz w:val="18"/>
          <w:lang w:eastAsia="zh-TW"/>
        </w:rPr>
      </w:pPr>
    </w:p>
    <w:sectPr w:rsidR="007F7421" w:rsidRPr="00FF439C" w:rsidSect="00BB404B">
      <w:footerReference w:type="even" r:id="rId10"/>
      <w:footerReference w:type="default" r:id="rId11"/>
      <w:headerReference w:type="first" r:id="rId12"/>
      <w:endnotePr>
        <w:numFmt w:val="decimal"/>
      </w:endnotePr>
      <w:type w:val="continuous"/>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6DB2" w14:textId="77777777" w:rsidR="009D2FA3" w:rsidRDefault="009D2FA3" w:rsidP="00DA163B">
      <w:r>
        <w:separator/>
      </w:r>
    </w:p>
  </w:endnote>
  <w:endnote w:type="continuationSeparator" w:id="0">
    <w:p w14:paraId="1418D446" w14:textId="77777777" w:rsidR="009D2FA3" w:rsidRDefault="009D2FA3" w:rsidP="00DA163B">
      <w:r>
        <w:continuationSeparator/>
      </w:r>
    </w:p>
  </w:endnote>
  <w:endnote w:id="1">
    <w:p w14:paraId="683D6085" w14:textId="1AAAE140" w:rsidR="00BB404B" w:rsidRDefault="00BB404B">
      <w:pPr>
        <w:pStyle w:val="Tekstprzypisukocowego"/>
      </w:pPr>
      <w:r>
        <w:rPr>
          <w:rStyle w:val="Odwoanieprzypisukocowego"/>
        </w:rPr>
        <w:endnoteRef/>
      </w:r>
      <w:r>
        <w:t xml:space="preserve"> </w:t>
      </w:r>
      <w:r>
        <w:rPr>
          <w:rFonts w:ascii="Trebuchet MS" w:hAnsi="Trebuchet MS"/>
          <w:sz w:val="17"/>
          <w:szCs w:val="17"/>
        </w:rPr>
        <w:t>ULMB funkciją naudotojai gali įjungti OSD parametruose. ULMB ir G-SYNC negali būti suaktyvintos vienu metu. ULMB technologija veikia tik esant 85 Hz, 100 Hz, 120 Hz, 144 Hz ir 200 Hz atnaujinimo dažniui.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18236723"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7073">
      <w:rPr>
        <w:rStyle w:val="Numerstrony"/>
        <w:noProof/>
      </w:rPr>
      <w:t>3</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98A3" w14:textId="77777777" w:rsidR="009D2FA3" w:rsidRDefault="009D2FA3" w:rsidP="00DA163B"/>
  </w:footnote>
  <w:footnote w:type="continuationSeparator" w:id="0">
    <w:p w14:paraId="7AB1B393" w14:textId="77777777" w:rsidR="009D2FA3" w:rsidRDefault="009D2FA3"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7216"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59264"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Pranešimas spaudai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98C"/>
    <w:multiLevelType w:val="hybridMultilevel"/>
    <w:tmpl w:val="F35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7"/>
    <w:multiLevelType w:val="hybridMultilevel"/>
    <w:tmpl w:val="F3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F8F"/>
    <w:multiLevelType w:val="hybridMultilevel"/>
    <w:tmpl w:val="6B286D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0C4447C9"/>
    <w:multiLevelType w:val="hybridMultilevel"/>
    <w:tmpl w:val="389623D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682C12"/>
    <w:multiLevelType w:val="hybridMultilevel"/>
    <w:tmpl w:val="D3DC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009E4"/>
    <w:multiLevelType w:val="hybridMultilevel"/>
    <w:tmpl w:val="2D486C80"/>
    <w:lvl w:ilvl="0" w:tplc="C3BCB1EA">
      <w:start w:val="1"/>
      <w:numFmt w:val="bullet"/>
      <w:lvlText w:val="•"/>
      <w:lvlJc w:val="left"/>
      <w:pPr>
        <w:tabs>
          <w:tab w:val="num" w:pos="720"/>
        </w:tabs>
        <w:ind w:left="720" w:hanging="360"/>
      </w:pPr>
      <w:rPr>
        <w:rFonts w:ascii="Arial" w:hAnsi="Arial" w:hint="default"/>
      </w:rPr>
    </w:lvl>
    <w:lvl w:ilvl="1" w:tplc="E88E1CB8" w:tentative="1">
      <w:start w:val="1"/>
      <w:numFmt w:val="bullet"/>
      <w:lvlText w:val="•"/>
      <w:lvlJc w:val="left"/>
      <w:pPr>
        <w:tabs>
          <w:tab w:val="num" w:pos="1440"/>
        </w:tabs>
        <w:ind w:left="1440" w:hanging="360"/>
      </w:pPr>
      <w:rPr>
        <w:rFonts w:ascii="Arial" w:hAnsi="Arial" w:hint="default"/>
      </w:rPr>
    </w:lvl>
    <w:lvl w:ilvl="2" w:tplc="FE4654D4" w:tentative="1">
      <w:start w:val="1"/>
      <w:numFmt w:val="bullet"/>
      <w:lvlText w:val="•"/>
      <w:lvlJc w:val="left"/>
      <w:pPr>
        <w:tabs>
          <w:tab w:val="num" w:pos="2160"/>
        </w:tabs>
        <w:ind w:left="2160" w:hanging="360"/>
      </w:pPr>
      <w:rPr>
        <w:rFonts w:ascii="Arial" w:hAnsi="Arial" w:hint="default"/>
      </w:rPr>
    </w:lvl>
    <w:lvl w:ilvl="3" w:tplc="DCC06672" w:tentative="1">
      <w:start w:val="1"/>
      <w:numFmt w:val="bullet"/>
      <w:lvlText w:val="•"/>
      <w:lvlJc w:val="left"/>
      <w:pPr>
        <w:tabs>
          <w:tab w:val="num" w:pos="2880"/>
        </w:tabs>
        <w:ind w:left="2880" w:hanging="360"/>
      </w:pPr>
      <w:rPr>
        <w:rFonts w:ascii="Arial" w:hAnsi="Arial" w:hint="default"/>
      </w:rPr>
    </w:lvl>
    <w:lvl w:ilvl="4" w:tplc="A34041CE" w:tentative="1">
      <w:start w:val="1"/>
      <w:numFmt w:val="bullet"/>
      <w:lvlText w:val="•"/>
      <w:lvlJc w:val="left"/>
      <w:pPr>
        <w:tabs>
          <w:tab w:val="num" w:pos="3600"/>
        </w:tabs>
        <w:ind w:left="3600" w:hanging="360"/>
      </w:pPr>
      <w:rPr>
        <w:rFonts w:ascii="Arial" w:hAnsi="Arial" w:hint="default"/>
      </w:rPr>
    </w:lvl>
    <w:lvl w:ilvl="5" w:tplc="C7EC3078" w:tentative="1">
      <w:start w:val="1"/>
      <w:numFmt w:val="bullet"/>
      <w:lvlText w:val="•"/>
      <w:lvlJc w:val="left"/>
      <w:pPr>
        <w:tabs>
          <w:tab w:val="num" w:pos="4320"/>
        </w:tabs>
        <w:ind w:left="4320" w:hanging="360"/>
      </w:pPr>
      <w:rPr>
        <w:rFonts w:ascii="Arial" w:hAnsi="Arial" w:hint="default"/>
      </w:rPr>
    </w:lvl>
    <w:lvl w:ilvl="6" w:tplc="CDDAAC56" w:tentative="1">
      <w:start w:val="1"/>
      <w:numFmt w:val="bullet"/>
      <w:lvlText w:val="•"/>
      <w:lvlJc w:val="left"/>
      <w:pPr>
        <w:tabs>
          <w:tab w:val="num" w:pos="5040"/>
        </w:tabs>
        <w:ind w:left="5040" w:hanging="360"/>
      </w:pPr>
      <w:rPr>
        <w:rFonts w:ascii="Arial" w:hAnsi="Arial" w:hint="default"/>
      </w:rPr>
    </w:lvl>
    <w:lvl w:ilvl="7" w:tplc="DD9667BE" w:tentative="1">
      <w:start w:val="1"/>
      <w:numFmt w:val="bullet"/>
      <w:lvlText w:val="•"/>
      <w:lvlJc w:val="left"/>
      <w:pPr>
        <w:tabs>
          <w:tab w:val="num" w:pos="5760"/>
        </w:tabs>
        <w:ind w:left="5760" w:hanging="360"/>
      </w:pPr>
      <w:rPr>
        <w:rFonts w:ascii="Arial" w:hAnsi="Arial" w:hint="default"/>
      </w:rPr>
    </w:lvl>
    <w:lvl w:ilvl="8" w:tplc="6EFE77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A4328C"/>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41E39"/>
    <w:multiLevelType w:val="hybridMultilevel"/>
    <w:tmpl w:val="4C56F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A03101"/>
    <w:multiLevelType w:val="hybridMultilevel"/>
    <w:tmpl w:val="B6C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CB45E9"/>
    <w:multiLevelType w:val="hybridMultilevel"/>
    <w:tmpl w:val="66BC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DF7E02"/>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F537D"/>
    <w:multiLevelType w:val="hybridMultilevel"/>
    <w:tmpl w:val="F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95760"/>
    <w:multiLevelType w:val="hybridMultilevel"/>
    <w:tmpl w:val="8B58313C"/>
    <w:lvl w:ilvl="0" w:tplc="1D860300">
      <w:start w:val="1"/>
      <w:numFmt w:val="bullet"/>
      <w:lvlText w:val="•"/>
      <w:lvlJc w:val="left"/>
      <w:pPr>
        <w:tabs>
          <w:tab w:val="num" w:pos="720"/>
        </w:tabs>
        <w:ind w:left="720" w:hanging="360"/>
      </w:pPr>
      <w:rPr>
        <w:rFonts w:ascii="Arial" w:hAnsi="Arial" w:hint="default"/>
      </w:rPr>
    </w:lvl>
    <w:lvl w:ilvl="1" w:tplc="9A1A612A" w:tentative="1">
      <w:start w:val="1"/>
      <w:numFmt w:val="bullet"/>
      <w:lvlText w:val="•"/>
      <w:lvlJc w:val="left"/>
      <w:pPr>
        <w:tabs>
          <w:tab w:val="num" w:pos="1440"/>
        </w:tabs>
        <w:ind w:left="1440" w:hanging="360"/>
      </w:pPr>
      <w:rPr>
        <w:rFonts w:ascii="Arial" w:hAnsi="Arial" w:hint="default"/>
      </w:rPr>
    </w:lvl>
    <w:lvl w:ilvl="2" w:tplc="EA3C9350" w:tentative="1">
      <w:start w:val="1"/>
      <w:numFmt w:val="bullet"/>
      <w:lvlText w:val="•"/>
      <w:lvlJc w:val="left"/>
      <w:pPr>
        <w:tabs>
          <w:tab w:val="num" w:pos="2160"/>
        </w:tabs>
        <w:ind w:left="2160" w:hanging="360"/>
      </w:pPr>
      <w:rPr>
        <w:rFonts w:ascii="Arial" w:hAnsi="Arial" w:hint="default"/>
      </w:rPr>
    </w:lvl>
    <w:lvl w:ilvl="3" w:tplc="F5F6A03E" w:tentative="1">
      <w:start w:val="1"/>
      <w:numFmt w:val="bullet"/>
      <w:lvlText w:val="•"/>
      <w:lvlJc w:val="left"/>
      <w:pPr>
        <w:tabs>
          <w:tab w:val="num" w:pos="2880"/>
        </w:tabs>
        <w:ind w:left="2880" w:hanging="360"/>
      </w:pPr>
      <w:rPr>
        <w:rFonts w:ascii="Arial" w:hAnsi="Arial" w:hint="default"/>
      </w:rPr>
    </w:lvl>
    <w:lvl w:ilvl="4" w:tplc="15826B5C" w:tentative="1">
      <w:start w:val="1"/>
      <w:numFmt w:val="bullet"/>
      <w:lvlText w:val="•"/>
      <w:lvlJc w:val="left"/>
      <w:pPr>
        <w:tabs>
          <w:tab w:val="num" w:pos="3600"/>
        </w:tabs>
        <w:ind w:left="3600" w:hanging="360"/>
      </w:pPr>
      <w:rPr>
        <w:rFonts w:ascii="Arial" w:hAnsi="Arial" w:hint="default"/>
      </w:rPr>
    </w:lvl>
    <w:lvl w:ilvl="5" w:tplc="12FC946C" w:tentative="1">
      <w:start w:val="1"/>
      <w:numFmt w:val="bullet"/>
      <w:lvlText w:val="•"/>
      <w:lvlJc w:val="left"/>
      <w:pPr>
        <w:tabs>
          <w:tab w:val="num" w:pos="4320"/>
        </w:tabs>
        <w:ind w:left="4320" w:hanging="360"/>
      </w:pPr>
      <w:rPr>
        <w:rFonts w:ascii="Arial" w:hAnsi="Arial" w:hint="default"/>
      </w:rPr>
    </w:lvl>
    <w:lvl w:ilvl="6" w:tplc="839EED2E" w:tentative="1">
      <w:start w:val="1"/>
      <w:numFmt w:val="bullet"/>
      <w:lvlText w:val="•"/>
      <w:lvlJc w:val="left"/>
      <w:pPr>
        <w:tabs>
          <w:tab w:val="num" w:pos="5040"/>
        </w:tabs>
        <w:ind w:left="5040" w:hanging="360"/>
      </w:pPr>
      <w:rPr>
        <w:rFonts w:ascii="Arial" w:hAnsi="Arial" w:hint="default"/>
      </w:rPr>
    </w:lvl>
    <w:lvl w:ilvl="7" w:tplc="8E6C4CFA" w:tentative="1">
      <w:start w:val="1"/>
      <w:numFmt w:val="bullet"/>
      <w:lvlText w:val="•"/>
      <w:lvlJc w:val="left"/>
      <w:pPr>
        <w:tabs>
          <w:tab w:val="num" w:pos="5760"/>
        </w:tabs>
        <w:ind w:left="5760" w:hanging="360"/>
      </w:pPr>
      <w:rPr>
        <w:rFonts w:ascii="Arial" w:hAnsi="Arial" w:hint="default"/>
      </w:rPr>
    </w:lvl>
    <w:lvl w:ilvl="8" w:tplc="A3AA2D7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6"/>
  </w:num>
  <w:num w:numId="10">
    <w:abstractNumId w:val="8"/>
  </w:num>
  <w:num w:numId="11">
    <w:abstractNumId w:val="11"/>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CDFF56-7183-462C-9868-5CC8082F7D92}"/>
    <w:docVar w:name="dgnword-eventsink" w:val="87753976"/>
  </w:docVars>
  <w:rsids>
    <w:rsidRoot w:val="00661895"/>
    <w:rsid w:val="00000FA2"/>
    <w:rsid w:val="00001380"/>
    <w:rsid w:val="00002971"/>
    <w:rsid w:val="00003FA5"/>
    <w:rsid w:val="00004419"/>
    <w:rsid w:val="00004721"/>
    <w:rsid w:val="000069C0"/>
    <w:rsid w:val="00016E0C"/>
    <w:rsid w:val="00022575"/>
    <w:rsid w:val="000228D3"/>
    <w:rsid w:val="000241AF"/>
    <w:rsid w:val="00024B6C"/>
    <w:rsid w:val="0002550F"/>
    <w:rsid w:val="0003718F"/>
    <w:rsid w:val="00043309"/>
    <w:rsid w:val="00044D25"/>
    <w:rsid w:val="00051AC5"/>
    <w:rsid w:val="0005791C"/>
    <w:rsid w:val="00060AC7"/>
    <w:rsid w:val="00063B9A"/>
    <w:rsid w:val="00067499"/>
    <w:rsid w:val="00070C3C"/>
    <w:rsid w:val="00070EF5"/>
    <w:rsid w:val="000729B8"/>
    <w:rsid w:val="00075A21"/>
    <w:rsid w:val="00075A7F"/>
    <w:rsid w:val="00083642"/>
    <w:rsid w:val="00087C9D"/>
    <w:rsid w:val="00090EC0"/>
    <w:rsid w:val="000916CD"/>
    <w:rsid w:val="0009392A"/>
    <w:rsid w:val="0009433C"/>
    <w:rsid w:val="00096382"/>
    <w:rsid w:val="000A238E"/>
    <w:rsid w:val="000A2448"/>
    <w:rsid w:val="000A3FB9"/>
    <w:rsid w:val="000A7073"/>
    <w:rsid w:val="000B12D8"/>
    <w:rsid w:val="000B340E"/>
    <w:rsid w:val="000B3488"/>
    <w:rsid w:val="000B3543"/>
    <w:rsid w:val="000B37A1"/>
    <w:rsid w:val="000B4E62"/>
    <w:rsid w:val="000B7577"/>
    <w:rsid w:val="000B7A99"/>
    <w:rsid w:val="000C0E71"/>
    <w:rsid w:val="000D7D04"/>
    <w:rsid w:val="000E31A0"/>
    <w:rsid w:val="000E367C"/>
    <w:rsid w:val="000E4B09"/>
    <w:rsid w:val="000E5905"/>
    <w:rsid w:val="000E7AA2"/>
    <w:rsid w:val="000F1B95"/>
    <w:rsid w:val="000F28C5"/>
    <w:rsid w:val="000F2C78"/>
    <w:rsid w:val="000F2D51"/>
    <w:rsid w:val="000F7952"/>
    <w:rsid w:val="00104F3C"/>
    <w:rsid w:val="00121F11"/>
    <w:rsid w:val="00122979"/>
    <w:rsid w:val="00122A89"/>
    <w:rsid w:val="001234C4"/>
    <w:rsid w:val="001303F8"/>
    <w:rsid w:val="00131135"/>
    <w:rsid w:val="0013568D"/>
    <w:rsid w:val="001367A1"/>
    <w:rsid w:val="001445BC"/>
    <w:rsid w:val="0015133A"/>
    <w:rsid w:val="00153A7D"/>
    <w:rsid w:val="0015484F"/>
    <w:rsid w:val="00160182"/>
    <w:rsid w:val="00163F02"/>
    <w:rsid w:val="00175329"/>
    <w:rsid w:val="001775B4"/>
    <w:rsid w:val="001811D9"/>
    <w:rsid w:val="00182464"/>
    <w:rsid w:val="00183599"/>
    <w:rsid w:val="001842CE"/>
    <w:rsid w:val="00192A99"/>
    <w:rsid w:val="0019516E"/>
    <w:rsid w:val="00196A55"/>
    <w:rsid w:val="001B1AB1"/>
    <w:rsid w:val="001B22D7"/>
    <w:rsid w:val="001B5045"/>
    <w:rsid w:val="001B716A"/>
    <w:rsid w:val="001B775D"/>
    <w:rsid w:val="001C1242"/>
    <w:rsid w:val="001C2508"/>
    <w:rsid w:val="001C5FC2"/>
    <w:rsid w:val="001C6BAC"/>
    <w:rsid w:val="001D045F"/>
    <w:rsid w:val="001D2010"/>
    <w:rsid w:val="001D380F"/>
    <w:rsid w:val="001D73AA"/>
    <w:rsid w:val="001E272B"/>
    <w:rsid w:val="001E2BC5"/>
    <w:rsid w:val="001E37E7"/>
    <w:rsid w:val="001F2C90"/>
    <w:rsid w:val="001F34DC"/>
    <w:rsid w:val="00206EED"/>
    <w:rsid w:val="00207047"/>
    <w:rsid w:val="00210A19"/>
    <w:rsid w:val="002158E9"/>
    <w:rsid w:val="00220339"/>
    <w:rsid w:val="0022104D"/>
    <w:rsid w:val="002223F5"/>
    <w:rsid w:val="002248F5"/>
    <w:rsid w:val="002255D5"/>
    <w:rsid w:val="002366C2"/>
    <w:rsid w:val="00236726"/>
    <w:rsid w:val="00240CE7"/>
    <w:rsid w:val="002442AB"/>
    <w:rsid w:val="002444F6"/>
    <w:rsid w:val="00245F96"/>
    <w:rsid w:val="002515E2"/>
    <w:rsid w:val="00253DC6"/>
    <w:rsid w:val="00262CD4"/>
    <w:rsid w:val="00263459"/>
    <w:rsid w:val="00266EED"/>
    <w:rsid w:val="00270A06"/>
    <w:rsid w:val="00272776"/>
    <w:rsid w:val="00275045"/>
    <w:rsid w:val="0027664A"/>
    <w:rsid w:val="00281574"/>
    <w:rsid w:val="00284642"/>
    <w:rsid w:val="00292389"/>
    <w:rsid w:val="0029252E"/>
    <w:rsid w:val="002952FF"/>
    <w:rsid w:val="00296D72"/>
    <w:rsid w:val="002A1269"/>
    <w:rsid w:val="002A72F9"/>
    <w:rsid w:val="002A7B80"/>
    <w:rsid w:val="002B7054"/>
    <w:rsid w:val="002C2059"/>
    <w:rsid w:val="002D1113"/>
    <w:rsid w:val="002D4F77"/>
    <w:rsid w:val="002E5815"/>
    <w:rsid w:val="002E7E9C"/>
    <w:rsid w:val="002F0735"/>
    <w:rsid w:val="002F0799"/>
    <w:rsid w:val="002F3D49"/>
    <w:rsid w:val="002F763F"/>
    <w:rsid w:val="003013BE"/>
    <w:rsid w:val="00303AF3"/>
    <w:rsid w:val="00304243"/>
    <w:rsid w:val="0031392F"/>
    <w:rsid w:val="0031543F"/>
    <w:rsid w:val="00316442"/>
    <w:rsid w:val="003175D6"/>
    <w:rsid w:val="00317842"/>
    <w:rsid w:val="003251DC"/>
    <w:rsid w:val="00331625"/>
    <w:rsid w:val="00331A8B"/>
    <w:rsid w:val="00331B27"/>
    <w:rsid w:val="00333472"/>
    <w:rsid w:val="0033395C"/>
    <w:rsid w:val="00334247"/>
    <w:rsid w:val="003343E8"/>
    <w:rsid w:val="00341B4A"/>
    <w:rsid w:val="00342198"/>
    <w:rsid w:val="00345643"/>
    <w:rsid w:val="003475F9"/>
    <w:rsid w:val="003506B2"/>
    <w:rsid w:val="003559E7"/>
    <w:rsid w:val="00357063"/>
    <w:rsid w:val="0036496D"/>
    <w:rsid w:val="0036676C"/>
    <w:rsid w:val="003669A1"/>
    <w:rsid w:val="00370AEA"/>
    <w:rsid w:val="00373C72"/>
    <w:rsid w:val="003760F1"/>
    <w:rsid w:val="003767FC"/>
    <w:rsid w:val="0038081B"/>
    <w:rsid w:val="00381C80"/>
    <w:rsid w:val="00385EF9"/>
    <w:rsid w:val="00393110"/>
    <w:rsid w:val="00397166"/>
    <w:rsid w:val="00397386"/>
    <w:rsid w:val="003A2342"/>
    <w:rsid w:val="003A5220"/>
    <w:rsid w:val="003B163A"/>
    <w:rsid w:val="003B3840"/>
    <w:rsid w:val="003B52C8"/>
    <w:rsid w:val="003B68CE"/>
    <w:rsid w:val="003C3BD4"/>
    <w:rsid w:val="003D3D0D"/>
    <w:rsid w:val="003D5C07"/>
    <w:rsid w:val="003E0235"/>
    <w:rsid w:val="003E5DE0"/>
    <w:rsid w:val="003F26FB"/>
    <w:rsid w:val="003F2A31"/>
    <w:rsid w:val="003F3C8E"/>
    <w:rsid w:val="00403D69"/>
    <w:rsid w:val="004121CF"/>
    <w:rsid w:val="00413763"/>
    <w:rsid w:val="0041768C"/>
    <w:rsid w:val="004306AB"/>
    <w:rsid w:val="00432DD2"/>
    <w:rsid w:val="00436410"/>
    <w:rsid w:val="00437B1C"/>
    <w:rsid w:val="00440511"/>
    <w:rsid w:val="00444147"/>
    <w:rsid w:val="00444365"/>
    <w:rsid w:val="00444558"/>
    <w:rsid w:val="00444800"/>
    <w:rsid w:val="004449E1"/>
    <w:rsid w:val="0045481E"/>
    <w:rsid w:val="00454AB2"/>
    <w:rsid w:val="00457E69"/>
    <w:rsid w:val="0046107D"/>
    <w:rsid w:val="004628FE"/>
    <w:rsid w:val="00467862"/>
    <w:rsid w:val="00470293"/>
    <w:rsid w:val="004727EA"/>
    <w:rsid w:val="0047768E"/>
    <w:rsid w:val="00480EC8"/>
    <w:rsid w:val="004864BB"/>
    <w:rsid w:val="004873EE"/>
    <w:rsid w:val="00490733"/>
    <w:rsid w:val="00491071"/>
    <w:rsid w:val="00492EF6"/>
    <w:rsid w:val="004940E8"/>
    <w:rsid w:val="004A2303"/>
    <w:rsid w:val="004A2FD1"/>
    <w:rsid w:val="004A405B"/>
    <w:rsid w:val="004A4366"/>
    <w:rsid w:val="004B01BE"/>
    <w:rsid w:val="004B1F67"/>
    <w:rsid w:val="004B23C1"/>
    <w:rsid w:val="004B4FED"/>
    <w:rsid w:val="004B67A3"/>
    <w:rsid w:val="004C0D5C"/>
    <w:rsid w:val="004C139B"/>
    <w:rsid w:val="004C2DD8"/>
    <w:rsid w:val="004C3FA6"/>
    <w:rsid w:val="004D53E2"/>
    <w:rsid w:val="004D6EFB"/>
    <w:rsid w:val="004E42FD"/>
    <w:rsid w:val="004E4687"/>
    <w:rsid w:val="004E694F"/>
    <w:rsid w:val="004E7CF2"/>
    <w:rsid w:val="004F2735"/>
    <w:rsid w:val="004F3A7C"/>
    <w:rsid w:val="004F49B7"/>
    <w:rsid w:val="004F6D0E"/>
    <w:rsid w:val="00500145"/>
    <w:rsid w:val="00500709"/>
    <w:rsid w:val="00504892"/>
    <w:rsid w:val="00506642"/>
    <w:rsid w:val="00507FAE"/>
    <w:rsid w:val="0051155E"/>
    <w:rsid w:val="00517581"/>
    <w:rsid w:val="0052042F"/>
    <w:rsid w:val="00521FB6"/>
    <w:rsid w:val="00522671"/>
    <w:rsid w:val="005249CE"/>
    <w:rsid w:val="00524F02"/>
    <w:rsid w:val="00527A7D"/>
    <w:rsid w:val="00530618"/>
    <w:rsid w:val="00530735"/>
    <w:rsid w:val="005351AA"/>
    <w:rsid w:val="00550250"/>
    <w:rsid w:val="00550C0D"/>
    <w:rsid w:val="00557EF3"/>
    <w:rsid w:val="00560118"/>
    <w:rsid w:val="00562A25"/>
    <w:rsid w:val="00562CA1"/>
    <w:rsid w:val="00563B3C"/>
    <w:rsid w:val="00565585"/>
    <w:rsid w:val="0056618F"/>
    <w:rsid w:val="00570054"/>
    <w:rsid w:val="00571E6A"/>
    <w:rsid w:val="0057382A"/>
    <w:rsid w:val="00574812"/>
    <w:rsid w:val="00574B69"/>
    <w:rsid w:val="00575E8D"/>
    <w:rsid w:val="00576BA8"/>
    <w:rsid w:val="00577F60"/>
    <w:rsid w:val="00582CEF"/>
    <w:rsid w:val="00584A51"/>
    <w:rsid w:val="00590AE3"/>
    <w:rsid w:val="00590C03"/>
    <w:rsid w:val="0059214A"/>
    <w:rsid w:val="005964A7"/>
    <w:rsid w:val="005A0B93"/>
    <w:rsid w:val="005A55F0"/>
    <w:rsid w:val="005A6DE6"/>
    <w:rsid w:val="005A7667"/>
    <w:rsid w:val="005C2DAC"/>
    <w:rsid w:val="005C6672"/>
    <w:rsid w:val="005C6709"/>
    <w:rsid w:val="005C7111"/>
    <w:rsid w:val="005D0B3F"/>
    <w:rsid w:val="005E1FEF"/>
    <w:rsid w:val="005F0807"/>
    <w:rsid w:val="005F1571"/>
    <w:rsid w:val="005F3899"/>
    <w:rsid w:val="005F5BAC"/>
    <w:rsid w:val="00603E3F"/>
    <w:rsid w:val="00605155"/>
    <w:rsid w:val="006055FA"/>
    <w:rsid w:val="00610E1E"/>
    <w:rsid w:val="00617676"/>
    <w:rsid w:val="00617B0F"/>
    <w:rsid w:val="00625207"/>
    <w:rsid w:val="006273FD"/>
    <w:rsid w:val="00631374"/>
    <w:rsid w:val="00632497"/>
    <w:rsid w:val="006353F6"/>
    <w:rsid w:val="00637624"/>
    <w:rsid w:val="00637B89"/>
    <w:rsid w:val="006419D5"/>
    <w:rsid w:val="00645B35"/>
    <w:rsid w:val="00647112"/>
    <w:rsid w:val="00650375"/>
    <w:rsid w:val="00655812"/>
    <w:rsid w:val="006560E3"/>
    <w:rsid w:val="0065670C"/>
    <w:rsid w:val="00656D45"/>
    <w:rsid w:val="00660BB5"/>
    <w:rsid w:val="0066185C"/>
    <w:rsid w:val="00661895"/>
    <w:rsid w:val="00661F77"/>
    <w:rsid w:val="00663930"/>
    <w:rsid w:val="006642D5"/>
    <w:rsid w:val="006643D9"/>
    <w:rsid w:val="006658EC"/>
    <w:rsid w:val="006671ED"/>
    <w:rsid w:val="0067051F"/>
    <w:rsid w:val="00670742"/>
    <w:rsid w:val="006762D3"/>
    <w:rsid w:val="00677E18"/>
    <w:rsid w:val="00684C18"/>
    <w:rsid w:val="00685E2A"/>
    <w:rsid w:val="0068755B"/>
    <w:rsid w:val="00693FCE"/>
    <w:rsid w:val="006952E8"/>
    <w:rsid w:val="0069697C"/>
    <w:rsid w:val="0069738C"/>
    <w:rsid w:val="006A065B"/>
    <w:rsid w:val="006A0BF3"/>
    <w:rsid w:val="006A3B11"/>
    <w:rsid w:val="006A57DC"/>
    <w:rsid w:val="006A5821"/>
    <w:rsid w:val="006A5FDD"/>
    <w:rsid w:val="006B2D87"/>
    <w:rsid w:val="006B30F4"/>
    <w:rsid w:val="006B37EE"/>
    <w:rsid w:val="006B3C07"/>
    <w:rsid w:val="006B5CD6"/>
    <w:rsid w:val="006B75BA"/>
    <w:rsid w:val="006C2967"/>
    <w:rsid w:val="006C5191"/>
    <w:rsid w:val="006D234A"/>
    <w:rsid w:val="006D250C"/>
    <w:rsid w:val="006D6856"/>
    <w:rsid w:val="006D7B0E"/>
    <w:rsid w:val="006E236F"/>
    <w:rsid w:val="006E59E2"/>
    <w:rsid w:val="006E6D7E"/>
    <w:rsid w:val="006F0D49"/>
    <w:rsid w:val="006F23CA"/>
    <w:rsid w:val="006F39F8"/>
    <w:rsid w:val="006F68F6"/>
    <w:rsid w:val="007001F9"/>
    <w:rsid w:val="00710CFD"/>
    <w:rsid w:val="007117B0"/>
    <w:rsid w:val="00712A81"/>
    <w:rsid w:val="00717BBC"/>
    <w:rsid w:val="00721889"/>
    <w:rsid w:val="007232F7"/>
    <w:rsid w:val="00726954"/>
    <w:rsid w:val="007273E7"/>
    <w:rsid w:val="007300AC"/>
    <w:rsid w:val="00731FF9"/>
    <w:rsid w:val="007347AD"/>
    <w:rsid w:val="00740DF2"/>
    <w:rsid w:val="0074136F"/>
    <w:rsid w:val="007423E2"/>
    <w:rsid w:val="00751975"/>
    <w:rsid w:val="00752481"/>
    <w:rsid w:val="00752D43"/>
    <w:rsid w:val="00753F1D"/>
    <w:rsid w:val="00760988"/>
    <w:rsid w:val="00764761"/>
    <w:rsid w:val="00764C5F"/>
    <w:rsid w:val="00772EA9"/>
    <w:rsid w:val="007743D8"/>
    <w:rsid w:val="00774A12"/>
    <w:rsid w:val="007758B8"/>
    <w:rsid w:val="0077615A"/>
    <w:rsid w:val="00777549"/>
    <w:rsid w:val="007805F5"/>
    <w:rsid w:val="0078159A"/>
    <w:rsid w:val="00782A6B"/>
    <w:rsid w:val="0078300A"/>
    <w:rsid w:val="007A0F3F"/>
    <w:rsid w:val="007A1BAC"/>
    <w:rsid w:val="007A3038"/>
    <w:rsid w:val="007A4FF5"/>
    <w:rsid w:val="007B507A"/>
    <w:rsid w:val="007B7C1A"/>
    <w:rsid w:val="007C038B"/>
    <w:rsid w:val="007C1507"/>
    <w:rsid w:val="007C3BC5"/>
    <w:rsid w:val="007C414F"/>
    <w:rsid w:val="007C42ED"/>
    <w:rsid w:val="007C4453"/>
    <w:rsid w:val="007C4CBD"/>
    <w:rsid w:val="007D1DBF"/>
    <w:rsid w:val="007D28CE"/>
    <w:rsid w:val="007D475F"/>
    <w:rsid w:val="007D48DC"/>
    <w:rsid w:val="007D65A7"/>
    <w:rsid w:val="007E34C2"/>
    <w:rsid w:val="007E707D"/>
    <w:rsid w:val="007F00ED"/>
    <w:rsid w:val="007F2354"/>
    <w:rsid w:val="007F7421"/>
    <w:rsid w:val="00800F24"/>
    <w:rsid w:val="008030C5"/>
    <w:rsid w:val="00804960"/>
    <w:rsid w:val="0081000A"/>
    <w:rsid w:val="00813DF3"/>
    <w:rsid w:val="00814A6B"/>
    <w:rsid w:val="00815A8D"/>
    <w:rsid w:val="00816D3F"/>
    <w:rsid w:val="00821FC2"/>
    <w:rsid w:val="00822DE0"/>
    <w:rsid w:val="00824EA9"/>
    <w:rsid w:val="00826C18"/>
    <w:rsid w:val="00830B53"/>
    <w:rsid w:val="008336AC"/>
    <w:rsid w:val="00840566"/>
    <w:rsid w:val="00840BF6"/>
    <w:rsid w:val="00842CEC"/>
    <w:rsid w:val="00844CA2"/>
    <w:rsid w:val="00847CCD"/>
    <w:rsid w:val="008507CC"/>
    <w:rsid w:val="00851813"/>
    <w:rsid w:val="00852EBA"/>
    <w:rsid w:val="008602F5"/>
    <w:rsid w:val="00870749"/>
    <w:rsid w:val="008715AA"/>
    <w:rsid w:val="00877253"/>
    <w:rsid w:val="00877DB4"/>
    <w:rsid w:val="008807F0"/>
    <w:rsid w:val="00880DB3"/>
    <w:rsid w:val="008814B6"/>
    <w:rsid w:val="00882025"/>
    <w:rsid w:val="00884320"/>
    <w:rsid w:val="008857C4"/>
    <w:rsid w:val="008910D5"/>
    <w:rsid w:val="00891FB0"/>
    <w:rsid w:val="008959CA"/>
    <w:rsid w:val="008A308F"/>
    <w:rsid w:val="008B684F"/>
    <w:rsid w:val="008B7342"/>
    <w:rsid w:val="008B7674"/>
    <w:rsid w:val="008B76A5"/>
    <w:rsid w:val="008B7D9C"/>
    <w:rsid w:val="008C157D"/>
    <w:rsid w:val="008C4D8C"/>
    <w:rsid w:val="008C615B"/>
    <w:rsid w:val="008D2C83"/>
    <w:rsid w:val="008D4237"/>
    <w:rsid w:val="008D567C"/>
    <w:rsid w:val="008D5BB2"/>
    <w:rsid w:val="008D6366"/>
    <w:rsid w:val="008D69B7"/>
    <w:rsid w:val="008E344C"/>
    <w:rsid w:val="008E5C16"/>
    <w:rsid w:val="008E7BAF"/>
    <w:rsid w:val="008E7F91"/>
    <w:rsid w:val="008F0B0B"/>
    <w:rsid w:val="008F364A"/>
    <w:rsid w:val="00903474"/>
    <w:rsid w:val="00905C83"/>
    <w:rsid w:val="00910FA7"/>
    <w:rsid w:val="009110C7"/>
    <w:rsid w:val="00913DBB"/>
    <w:rsid w:val="009166EB"/>
    <w:rsid w:val="009175A2"/>
    <w:rsid w:val="00917820"/>
    <w:rsid w:val="009223A7"/>
    <w:rsid w:val="009271DF"/>
    <w:rsid w:val="00930AC2"/>
    <w:rsid w:val="00932487"/>
    <w:rsid w:val="0093503C"/>
    <w:rsid w:val="00935BB1"/>
    <w:rsid w:val="00936E8C"/>
    <w:rsid w:val="009377CA"/>
    <w:rsid w:val="00944103"/>
    <w:rsid w:val="0095298F"/>
    <w:rsid w:val="00952F76"/>
    <w:rsid w:val="00962B59"/>
    <w:rsid w:val="00963757"/>
    <w:rsid w:val="009713BD"/>
    <w:rsid w:val="00975339"/>
    <w:rsid w:val="009842D3"/>
    <w:rsid w:val="00985EBF"/>
    <w:rsid w:val="00987356"/>
    <w:rsid w:val="00995FA5"/>
    <w:rsid w:val="009971A5"/>
    <w:rsid w:val="0099739D"/>
    <w:rsid w:val="009A0F42"/>
    <w:rsid w:val="009A2B3D"/>
    <w:rsid w:val="009A61A8"/>
    <w:rsid w:val="009B20C1"/>
    <w:rsid w:val="009B266D"/>
    <w:rsid w:val="009B37DD"/>
    <w:rsid w:val="009B3E9C"/>
    <w:rsid w:val="009B580E"/>
    <w:rsid w:val="009C25CF"/>
    <w:rsid w:val="009C3888"/>
    <w:rsid w:val="009D2FA3"/>
    <w:rsid w:val="009E469F"/>
    <w:rsid w:val="009E7280"/>
    <w:rsid w:val="009F263D"/>
    <w:rsid w:val="009F32AA"/>
    <w:rsid w:val="009F7187"/>
    <w:rsid w:val="009F71DF"/>
    <w:rsid w:val="00A03118"/>
    <w:rsid w:val="00A06CFA"/>
    <w:rsid w:val="00A102AE"/>
    <w:rsid w:val="00A127F1"/>
    <w:rsid w:val="00A12AF1"/>
    <w:rsid w:val="00A1559F"/>
    <w:rsid w:val="00A15976"/>
    <w:rsid w:val="00A166B2"/>
    <w:rsid w:val="00A16A00"/>
    <w:rsid w:val="00A203C6"/>
    <w:rsid w:val="00A332A5"/>
    <w:rsid w:val="00A35009"/>
    <w:rsid w:val="00A40583"/>
    <w:rsid w:val="00A4645E"/>
    <w:rsid w:val="00A47316"/>
    <w:rsid w:val="00A53ACF"/>
    <w:rsid w:val="00A54210"/>
    <w:rsid w:val="00A5613A"/>
    <w:rsid w:val="00A61A70"/>
    <w:rsid w:val="00A6358A"/>
    <w:rsid w:val="00A720C2"/>
    <w:rsid w:val="00A73FA2"/>
    <w:rsid w:val="00A7534D"/>
    <w:rsid w:val="00A7609F"/>
    <w:rsid w:val="00A85552"/>
    <w:rsid w:val="00A868F7"/>
    <w:rsid w:val="00A87873"/>
    <w:rsid w:val="00A91C1D"/>
    <w:rsid w:val="00A92546"/>
    <w:rsid w:val="00A955E7"/>
    <w:rsid w:val="00A960FB"/>
    <w:rsid w:val="00A96462"/>
    <w:rsid w:val="00AA0AA0"/>
    <w:rsid w:val="00AA2094"/>
    <w:rsid w:val="00AA21EF"/>
    <w:rsid w:val="00AA328B"/>
    <w:rsid w:val="00AA5890"/>
    <w:rsid w:val="00AA6DDE"/>
    <w:rsid w:val="00AA78B0"/>
    <w:rsid w:val="00AB128B"/>
    <w:rsid w:val="00AB30B2"/>
    <w:rsid w:val="00AB3F82"/>
    <w:rsid w:val="00AB72FC"/>
    <w:rsid w:val="00AC0A6A"/>
    <w:rsid w:val="00AC3411"/>
    <w:rsid w:val="00AC72CB"/>
    <w:rsid w:val="00AC7AB3"/>
    <w:rsid w:val="00AD43A4"/>
    <w:rsid w:val="00AE2809"/>
    <w:rsid w:val="00AE3073"/>
    <w:rsid w:val="00AE6428"/>
    <w:rsid w:val="00AF38E9"/>
    <w:rsid w:val="00AF4EB4"/>
    <w:rsid w:val="00B02DA7"/>
    <w:rsid w:val="00B03260"/>
    <w:rsid w:val="00B0469B"/>
    <w:rsid w:val="00B0482A"/>
    <w:rsid w:val="00B05F28"/>
    <w:rsid w:val="00B164D4"/>
    <w:rsid w:val="00B17FB6"/>
    <w:rsid w:val="00B22419"/>
    <w:rsid w:val="00B24500"/>
    <w:rsid w:val="00B24D77"/>
    <w:rsid w:val="00B332DC"/>
    <w:rsid w:val="00B410EA"/>
    <w:rsid w:val="00B43F1C"/>
    <w:rsid w:val="00B51E14"/>
    <w:rsid w:val="00B52C27"/>
    <w:rsid w:val="00B57084"/>
    <w:rsid w:val="00B73923"/>
    <w:rsid w:val="00B87FB7"/>
    <w:rsid w:val="00B938A3"/>
    <w:rsid w:val="00BA1320"/>
    <w:rsid w:val="00BA1E35"/>
    <w:rsid w:val="00BA5B25"/>
    <w:rsid w:val="00BB404B"/>
    <w:rsid w:val="00BB7E8E"/>
    <w:rsid w:val="00BC131F"/>
    <w:rsid w:val="00BC1ACA"/>
    <w:rsid w:val="00BC37C4"/>
    <w:rsid w:val="00BC502C"/>
    <w:rsid w:val="00BC77E2"/>
    <w:rsid w:val="00BD20EF"/>
    <w:rsid w:val="00BD2793"/>
    <w:rsid w:val="00BD2F75"/>
    <w:rsid w:val="00BE37FE"/>
    <w:rsid w:val="00BF26DE"/>
    <w:rsid w:val="00BF497D"/>
    <w:rsid w:val="00C01D73"/>
    <w:rsid w:val="00C02EDD"/>
    <w:rsid w:val="00C03501"/>
    <w:rsid w:val="00C0539E"/>
    <w:rsid w:val="00C102BC"/>
    <w:rsid w:val="00C1260A"/>
    <w:rsid w:val="00C12DC0"/>
    <w:rsid w:val="00C14EE5"/>
    <w:rsid w:val="00C15525"/>
    <w:rsid w:val="00C234EE"/>
    <w:rsid w:val="00C250AF"/>
    <w:rsid w:val="00C369C3"/>
    <w:rsid w:val="00C41379"/>
    <w:rsid w:val="00C46C85"/>
    <w:rsid w:val="00C52CD2"/>
    <w:rsid w:val="00C57C12"/>
    <w:rsid w:val="00C57EB7"/>
    <w:rsid w:val="00C60F95"/>
    <w:rsid w:val="00C640A6"/>
    <w:rsid w:val="00C64FC5"/>
    <w:rsid w:val="00C66B98"/>
    <w:rsid w:val="00C72A2E"/>
    <w:rsid w:val="00C73047"/>
    <w:rsid w:val="00C840AB"/>
    <w:rsid w:val="00C84DC3"/>
    <w:rsid w:val="00C91738"/>
    <w:rsid w:val="00C92EBE"/>
    <w:rsid w:val="00C947B3"/>
    <w:rsid w:val="00CA0D81"/>
    <w:rsid w:val="00CA3DC3"/>
    <w:rsid w:val="00CA5036"/>
    <w:rsid w:val="00CB1B87"/>
    <w:rsid w:val="00CC19FD"/>
    <w:rsid w:val="00CC30D9"/>
    <w:rsid w:val="00CD1906"/>
    <w:rsid w:val="00CD1FC4"/>
    <w:rsid w:val="00CD27C1"/>
    <w:rsid w:val="00CD55AB"/>
    <w:rsid w:val="00CD562C"/>
    <w:rsid w:val="00CE12B4"/>
    <w:rsid w:val="00CE21A2"/>
    <w:rsid w:val="00CE4C44"/>
    <w:rsid w:val="00CE5C88"/>
    <w:rsid w:val="00CE66FA"/>
    <w:rsid w:val="00CE6BCB"/>
    <w:rsid w:val="00CF154E"/>
    <w:rsid w:val="00D0088E"/>
    <w:rsid w:val="00D031FE"/>
    <w:rsid w:val="00D06114"/>
    <w:rsid w:val="00D13883"/>
    <w:rsid w:val="00D171B7"/>
    <w:rsid w:val="00D22695"/>
    <w:rsid w:val="00D25B02"/>
    <w:rsid w:val="00D26128"/>
    <w:rsid w:val="00D31921"/>
    <w:rsid w:val="00D32FFA"/>
    <w:rsid w:val="00D34B90"/>
    <w:rsid w:val="00D365ED"/>
    <w:rsid w:val="00D407A5"/>
    <w:rsid w:val="00D41578"/>
    <w:rsid w:val="00D43721"/>
    <w:rsid w:val="00D43A55"/>
    <w:rsid w:val="00D51695"/>
    <w:rsid w:val="00D52774"/>
    <w:rsid w:val="00D52DD3"/>
    <w:rsid w:val="00D52F35"/>
    <w:rsid w:val="00D5762E"/>
    <w:rsid w:val="00D60536"/>
    <w:rsid w:val="00D60E51"/>
    <w:rsid w:val="00D643FF"/>
    <w:rsid w:val="00D64AF7"/>
    <w:rsid w:val="00D658D3"/>
    <w:rsid w:val="00D67743"/>
    <w:rsid w:val="00D74654"/>
    <w:rsid w:val="00D7608D"/>
    <w:rsid w:val="00D8108F"/>
    <w:rsid w:val="00D81348"/>
    <w:rsid w:val="00D82A94"/>
    <w:rsid w:val="00D90DCA"/>
    <w:rsid w:val="00D937E7"/>
    <w:rsid w:val="00D972D3"/>
    <w:rsid w:val="00DA163B"/>
    <w:rsid w:val="00DA3549"/>
    <w:rsid w:val="00DB3C8F"/>
    <w:rsid w:val="00DC2A62"/>
    <w:rsid w:val="00DC4CA4"/>
    <w:rsid w:val="00DD1E1E"/>
    <w:rsid w:val="00DE0448"/>
    <w:rsid w:val="00DE494C"/>
    <w:rsid w:val="00DE6CFF"/>
    <w:rsid w:val="00DF2F3A"/>
    <w:rsid w:val="00DF7C09"/>
    <w:rsid w:val="00E0044E"/>
    <w:rsid w:val="00E02CF6"/>
    <w:rsid w:val="00E0388E"/>
    <w:rsid w:val="00E071C1"/>
    <w:rsid w:val="00E11EA2"/>
    <w:rsid w:val="00E1280E"/>
    <w:rsid w:val="00E17CF7"/>
    <w:rsid w:val="00E22728"/>
    <w:rsid w:val="00E24059"/>
    <w:rsid w:val="00E24A3C"/>
    <w:rsid w:val="00E26E61"/>
    <w:rsid w:val="00E27376"/>
    <w:rsid w:val="00E27F4A"/>
    <w:rsid w:val="00E36ADB"/>
    <w:rsid w:val="00E44A3D"/>
    <w:rsid w:val="00E52E8D"/>
    <w:rsid w:val="00E54744"/>
    <w:rsid w:val="00E578A9"/>
    <w:rsid w:val="00E62A84"/>
    <w:rsid w:val="00E64A36"/>
    <w:rsid w:val="00E64A53"/>
    <w:rsid w:val="00E65F1A"/>
    <w:rsid w:val="00E7054C"/>
    <w:rsid w:val="00E75F34"/>
    <w:rsid w:val="00E76132"/>
    <w:rsid w:val="00E779D0"/>
    <w:rsid w:val="00E85B8B"/>
    <w:rsid w:val="00E90429"/>
    <w:rsid w:val="00E91E20"/>
    <w:rsid w:val="00E93190"/>
    <w:rsid w:val="00EA495D"/>
    <w:rsid w:val="00EA6C41"/>
    <w:rsid w:val="00EA72E9"/>
    <w:rsid w:val="00EB2107"/>
    <w:rsid w:val="00EB5072"/>
    <w:rsid w:val="00EC1B98"/>
    <w:rsid w:val="00EC3392"/>
    <w:rsid w:val="00EC5034"/>
    <w:rsid w:val="00EC5BC5"/>
    <w:rsid w:val="00EC6558"/>
    <w:rsid w:val="00EC7001"/>
    <w:rsid w:val="00ED1324"/>
    <w:rsid w:val="00ED2744"/>
    <w:rsid w:val="00EE0431"/>
    <w:rsid w:val="00EE1FCB"/>
    <w:rsid w:val="00EE2889"/>
    <w:rsid w:val="00EE4FDA"/>
    <w:rsid w:val="00EE6191"/>
    <w:rsid w:val="00EF4135"/>
    <w:rsid w:val="00EF6AE3"/>
    <w:rsid w:val="00EF71B2"/>
    <w:rsid w:val="00F02255"/>
    <w:rsid w:val="00F035F9"/>
    <w:rsid w:val="00F07652"/>
    <w:rsid w:val="00F106EB"/>
    <w:rsid w:val="00F128AB"/>
    <w:rsid w:val="00F154AD"/>
    <w:rsid w:val="00F20EB6"/>
    <w:rsid w:val="00F22EDF"/>
    <w:rsid w:val="00F23315"/>
    <w:rsid w:val="00F24CA3"/>
    <w:rsid w:val="00F305A6"/>
    <w:rsid w:val="00F3456A"/>
    <w:rsid w:val="00F3484B"/>
    <w:rsid w:val="00F40BFE"/>
    <w:rsid w:val="00F41176"/>
    <w:rsid w:val="00F45EC4"/>
    <w:rsid w:val="00F5309A"/>
    <w:rsid w:val="00F53A4C"/>
    <w:rsid w:val="00F60E86"/>
    <w:rsid w:val="00F72517"/>
    <w:rsid w:val="00F75CA5"/>
    <w:rsid w:val="00F77804"/>
    <w:rsid w:val="00F8011B"/>
    <w:rsid w:val="00F85DF2"/>
    <w:rsid w:val="00F9156A"/>
    <w:rsid w:val="00F920C1"/>
    <w:rsid w:val="00F9257B"/>
    <w:rsid w:val="00F93194"/>
    <w:rsid w:val="00F9621D"/>
    <w:rsid w:val="00F96684"/>
    <w:rsid w:val="00FA1F8D"/>
    <w:rsid w:val="00FB5A87"/>
    <w:rsid w:val="00FC0810"/>
    <w:rsid w:val="00FC1E16"/>
    <w:rsid w:val="00FC4B10"/>
    <w:rsid w:val="00FD7EA6"/>
    <w:rsid w:val="00FE4E2D"/>
    <w:rsid w:val="00FE606C"/>
    <w:rsid w:val="00FF3E09"/>
    <w:rsid w:val="00FF439C"/>
    <w:rsid w:val="00FF535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4F6DE7"/>
  <w15:docId w15:val="{7B50FC38-34D1-4189-A4D2-144896E5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NormalnyWeb">
    <w:name w:val="Normal (Web)"/>
    <w:basedOn w:val="Normalny"/>
    <w:uiPriority w:val="99"/>
    <w:unhideWhenUsed/>
    <w:rsid w:val="001B716A"/>
    <w:pPr>
      <w:spacing w:before="100" w:beforeAutospacing="1" w:after="100" w:afterAutospacing="1"/>
    </w:pPr>
    <w:rPr>
      <w:rFonts w:ascii="Times New Roman" w:eastAsia="Times New Roman" w:hAnsi="Times New Roman" w:cs="Times New Roman"/>
      <w:color w:val="auto"/>
      <w:sz w:val="24"/>
      <w:szCs w:val="24"/>
    </w:rPr>
  </w:style>
  <w:style w:type="paragraph" w:styleId="Akapitzlist">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ny"/>
    <w:link w:val="AkapitzlistZnak"/>
    <w:uiPriority w:val="34"/>
    <w:qFormat/>
    <w:rsid w:val="007F7421"/>
    <w:pPr>
      <w:ind w:left="720"/>
      <w:contextualSpacing/>
    </w:pPr>
    <w:rPr>
      <w:rFonts w:ascii="Trebuchet MS" w:hAnsi="Trebuchet MS" w:cs="Times New Roman"/>
      <w:color w:val="414042"/>
    </w:rPr>
  </w:style>
  <w:style w:type="character" w:customStyle="1" w:styleId="AkapitzlistZnak">
    <w:name w:val="Akapit z listą Znak"/>
    <w:aliases w:val="numbered Znak,Paragraphe de liste1 Znak,Bulletr List Paragraph Znak,列出段落 Znak,列出段落1 Znak,Bullet List Znak,FooterText Znak,List Paragraph1 Znak,List Paragraph2 Znak,List Paragraph21 Znak,List Paragraph11 Znak,Parágrafo da Lista1 Znak"/>
    <w:basedOn w:val="Domylnaczcionkaakapitu"/>
    <w:link w:val="Akapitzlist"/>
    <w:uiPriority w:val="34"/>
    <w:locked/>
    <w:rsid w:val="007F7421"/>
    <w:rPr>
      <w:rFonts w:ascii="Trebuchet MS" w:eastAsia="PMingLiU" w:hAnsi="Trebuchet MS" w:cs="Times New Roman"/>
      <w:color w:val="414042"/>
      <w:sz w:val="19"/>
      <w:szCs w:val="20"/>
    </w:rPr>
  </w:style>
  <w:style w:type="paragraph" w:customStyle="1" w:styleId="NormalFrutiger45Light">
    <w:name w:val="Normal + Frutiger 45 Light"/>
    <w:aliases w:val="8 pt"/>
    <w:basedOn w:val="Normalny"/>
    <w:rsid w:val="00A73FA2"/>
    <w:pPr>
      <w:spacing w:after="0" w:line="300" w:lineRule="exact"/>
      <w:jc w:val="both"/>
    </w:pPr>
    <w:rPr>
      <w:rFonts w:ascii="Frutiger 45 Light" w:hAnsi="Frutiger 45 Light" w:cs="Frutiger 45 Light"/>
      <w:b/>
      <w:bCs/>
      <w:color w:val="000000"/>
      <w:sz w:val="22"/>
      <w:szCs w:val="22"/>
    </w:rPr>
  </w:style>
  <w:style w:type="character" w:customStyle="1" w:styleId="style02">
    <w:name w:val="style02"/>
    <w:basedOn w:val="Domylnaczcionkaakapitu"/>
    <w:rsid w:val="006353F6"/>
  </w:style>
  <w:style w:type="paragraph" w:styleId="Tekstprzypisukocowego">
    <w:name w:val="endnote text"/>
    <w:basedOn w:val="Normalny"/>
    <w:link w:val="TekstprzypisukocowegoZnak"/>
    <w:uiPriority w:val="99"/>
    <w:semiHidden/>
    <w:unhideWhenUsed/>
    <w:rsid w:val="00BB404B"/>
    <w:pPr>
      <w:spacing w:after="0"/>
    </w:pPr>
    <w:rPr>
      <w:sz w:val="20"/>
    </w:rPr>
  </w:style>
  <w:style w:type="character" w:customStyle="1" w:styleId="TekstprzypisukocowegoZnak">
    <w:name w:val="Tekst przypisu końcowego Znak"/>
    <w:basedOn w:val="Domylnaczcionkaakapitu"/>
    <w:link w:val="Tekstprzypisukocowego"/>
    <w:uiPriority w:val="99"/>
    <w:semiHidden/>
    <w:rsid w:val="00BB404B"/>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BB404B"/>
    <w:rPr>
      <w:vertAlign w:val="superscript"/>
    </w:rPr>
  </w:style>
  <w:style w:type="paragraph" w:customStyle="1" w:styleId="BodyA">
    <w:name w:val="Body A"/>
    <w:rsid w:val="00550C0D"/>
    <w:pPr>
      <w:spacing w:after="120" w:line="240" w:lineRule="auto"/>
    </w:pPr>
    <w:rPr>
      <w:rFonts w:ascii="Acer Foco Light" w:eastAsia="Acer Foco Light" w:hAnsi="Acer Foco Light" w:cs="Acer Foco Light"/>
      <w:color w:val="414042"/>
      <w:sz w:val="19"/>
      <w:szCs w:val="19"/>
      <w:u w:color="414042"/>
      <w:lang w:eastAsia="zh-TW"/>
    </w:rPr>
  </w:style>
  <w:style w:type="character" w:styleId="UyteHipercze">
    <w:name w:val="FollowedHyperlink"/>
    <w:basedOn w:val="Domylnaczcionkaakapitu"/>
    <w:uiPriority w:val="99"/>
    <w:semiHidden/>
    <w:unhideWhenUsed/>
    <w:rsid w:val="00AA2094"/>
    <w:rPr>
      <w:color w:val="800080" w:themeColor="followedHyperlink"/>
      <w:u w:val="single"/>
    </w:rPr>
  </w:style>
  <w:style w:type="character" w:styleId="Odwoaniedokomentarza">
    <w:name w:val="annotation reference"/>
    <w:basedOn w:val="Domylnaczcionkaakapitu"/>
    <w:uiPriority w:val="99"/>
    <w:semiHidden/>
    <w:unhideWhenUsed/>
    <w:rsid w:val="007B507A"/>
    <w:rPr>
      <w:sz w:val="16"/>
      <w:szCs w:val="16"/>
    </w:rPr>
  </w:style>
  <w:style w:type="paragraph" w:styleId="Tekstkomentarza">
    <w:name w:val="annotation text"/>
    <w:basedOn w:val="Normalny"/>
    <w:link w:val="TekstkomentarzaZnak"/>
    <w:uiPriority w:val="99"/>
    <w:semiHidden/>
    <w:unhideWhenUsed/>
    <w:rsid w:val="007B507A"/>
    <w:rPr>
      <w:sz w:val="20"/>
    </w:rPr>
  </w:style>
  <w:style w:type="character" w:customStyle="1" w:styleId="TekstkomentarzaZnak">
    <w:name w:val="Tekst komentarza Znak"/>
    <w:basedOn w:val="Domylnaczcionkaakapitu"/>
    <w:link w:val="Tekstkomentarza"/>
    <w:uiPriority w:val="99"/>
    <w:semiHidden/>
    <w:rsid w:val="007B507A"/>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507A"/>
    <w:rPr>
      <w:b/>
      <w:bCs/>
    </w:rPr>
  </w:style>
  <w:style w:type="character" w:customStyle="1" w:styleId="TematkomentarzaZnak">
    <w:name w:val="Temat komentarza Znak"/>
    <w:basedOn w:val="TekstkomentarzaZnak"/>
    <w:link w:val="Tematkomentarza"/>
    <w:uiPriority w:val="99"/>
    <w:semiHidden/>
    <w:rsid w:val="007B507A"/>
    <w:rPr>
      <w:rFonts w:ascii="Acer Foco Light" w:hAnsi="Acer Foco Light"/>
      <w:b/>
      <w:bCs/>
      <w:color w:val="414042"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262">
      <w:bodyDiv w:val="1"/>
      <w:marLeft w:val="0"/>
      <w:marRight w:val="0"/>
      <w:marTop w:val="0"/>
      <w:marBottom w:val="0"/>
      <w:divBdr>
        <w:top w:val="none" w:sz="0" w:space="0" w:color="auto"/>
        <w:left w:val="none" w:sz="0" w:space="0" w:color="auto"/>
        <w:bottom w:val="none" w:sz="0" w:space="0" w:color="auto"/>
        <w:right w:val="none" w:sz="0" w:space="0" w:color="auto"/>
      </w:divBdr>
    </w:div>
    <w:div w:id="139537785">
      <w:bodyDiv w:val="1"/>
      <w:marLeft w:val="0"/>
      <w:marRight w:val="0"/>
      <w:marTop w:val="0"/>
      <w:marBottom w:val="0"/>
      <w:divBdr>
        <w:top w:val="none" w:sz="0" w:space="0" w:color="auto"/>
        <w:left w:val="none" w:sz="0" w:space="0" w:color="auto"/>
        <w:bottom w:val="none" w:sz="0" w:space="0" w:color="auto"/>
        <w:right w:val="none" w:sz="0" w:space="0" w:color="auto"/>
      </w:divBdr>
    </w:div>
    <w:div w:id="178932738">
      <w:bodyDiv w:val="1"/>
      <w:marLeft w:val="0"/>
      <w:marRight w:val="0"/>
      <w:marTop w:val="0"/>
      <w:marBottom w:val="0"/>
      <w:divBdr>
        <w:top w:val="none" w:sz="0" w:space="0" w:color="auto"/>
        <w:left w:val="none" w:sz="0" w:space="0" w:color="auto"/>
        <w:bottom w:val="none" w:sz="0" w:space="0" w:color="auto"/>
        <w:right w:val="none" w:sz="0" w:space="0" w:color="auto"/>
      </w:divBdr>
    </w:div>
    <w:div w:id="222713440">
      <w:bodyDiv w:val="1"/>
      <w:marLeft w:val="0"/>
      <w:marRight w:val="0"/>
      <w:marTop w:val="0"/>
      <w:marBottom w:val="0"/>
      <w:divBdr>
        <w:top w:val="none" w:sz="0" w:space="0" w:color="auto"/>
        <w:left w:val="none" w:sz="0" w:space="0" w:color="auto"/>
        <w:bottom w:val="none" w:sz="0" w:space="0" w:color="auto"/>
        <w:right w:val="none" w:sz="0" w:space="0" w:color="auto"/>
      </w:divBdr>
    </w:div>
    <w:div w:id="230431607">
      <w:bodyDiv w:val="1"/>
      <w:marLeft w:val="0"/>
      <w:marRight w:val="0"/>
      <w:marTop w:val="0"/>
      <w:marBottom w:val="0"/>
      <w:divBdr>
        <w:top w:val="none" w:sz="0" w:space="0" w:color="auto"/>
        <w:left w:val="none" w:sz="0" w:space="0" w:color="auto"/>
        <w:bottom w:val="none" w:sz="0" w:space="0" w:color="auto"/>
        <w:right w:val="none" w:sz="0" w:space="0" w:color="auto"/>
      </w:divBdr>
    </w:div>
    <w:div w:id="284241711">
      <w:bodyDiv w:val="1"/>
      <w:marLeft w:val="0"/>
      <w:marRight w:val="0"/>
      <w:marTop w:val="0"/>
      <w:marBottom w:val="0"/>
      <w:divBdr>
        <w:top w:val="none" w:sz="0" w:space="0" w:color="auto"/>
        <w:left w:val="none" w:sz="0" w:space="0" w:color="auto"/>
        <w:bottom w:val="none" w:sz="0" w:space="0" w:color="auto"/>
        <w:right w:val="none" w:sz="0" w:space="0" w:color="auto"/>
      </w:divBdr>
    </w:div>
    <w:div w:id="285547172">
      <w:bodyDiv w:val="1"/>
      <w:marLeft w:val="0"/>
      <w:marRight w:val="0"/>
      <w:marTop w:val="0"/>
      <w:marBottom w:val="0"/>
      <w:divBdr>
        <w:top w:val="none" w:sz="0" w:space="0" w:color="auto"/>
        <w:left w:val="none" w:sz="0" w:space="0" w:color="auto"/>
        <w:bottom w:val="none" w:sz="0" w:space="0" w:color="auto"/>
        <w:right w:val="none" w:sz="0" w:space="0" w:color="auto"/>
      </w:divBdr>
    </w:div>
    <w:div w:id="297611885">
      <w:bodyDiv w:val="1"/>
      <w:marLeft w:val="0"/>
      <w:marRight w:val="0"/>
      <w:marTop w:val="0"/>
      <w:marBottom w:val="0"/>
      <w:divBdr>
        <w:top w:val="none" w:sz="0" w:space="0" w:color="auto"/>
        <w:left w:val="none" w:sz="0" w:space="0" w:color="auto"/>
        <w:bottom w:val="none" w:sz="0" w:space="0" w:color="auto"/>
        <w:right w:val="none" w:sz="0" w:space="0" w:color="auto"/>
      </w:divBdr>
    </w:div>
    <w:div w:id="393937143">
      <w:bodyDiv w:val="1"/>
      <w:marLeft w:val="0"/>
      <w:marRight w:val="0"/>
      <w:marTop w:val="0"/>
      <w:marBottom w:val="0"/>
      <w:divBdr>
        <w:top w:val="none" w:sz="0" w:space="0" w:color="auto"/>
        <w:left w:val="none" w:sz="0" w:space="0" w:color="auto"/>
        <w:bottom w:val="none" w:sz="0" w:space="0" w:color="auto"/>
        <w:right w:val="none" w:sz="0" w:space="0" w:color="auto"/>
      </w:divBdr>
      <w:divsChild>
        <w:div w:id="576399686">
          <w:marLeft w:val="274"/>
          <w:marRight w:val="0"/>
          <w:marTop w:val="0"/>
          <w:marBottom w:val="0"/>
          <w:divBdr>
            <w:top w:val="none" w:sz="0" w:space="0" w:color="auto"/>
            <w:left w:val="none" w:sz="0" w:space="0" w:color="auto"/>
            <w:bottom w:val="none" w:sz="0" w:space="0" w:color="auto"/>
            <w:right w:val="none" w:sz="0" w:space="0" w:color="auto"/>
          </w:divBdr>
        </w:div>
        <w:div w:id="397749144">
          <w:marLeft w:val="274"/>
          <w:marRight w:val="0"/>
          <w:marTop w:val="0"/>
          <w:marBottom w:val="0"/>
          <w:divBdr>
            <w:top w:val="none" w:sz="0" w:space="0" w:color="auto"/>
            <w:left w:val="none" w:sz="0" w:space="0" w:color="auto"/>
            <w:bottom w:val="none" w:sz="0" w:space="0" w:color="auto"/>
            <w:right w:val="none" w:sz="0" w:space="0" w:color="auto"/>
          </w:divBdr>
        </w:div>
        <w:div w:id="65078696">
          <w:marLeft w:val="274"/>
          <w:marRight w:val="0"/>
          <w:marTop w:val="0"/>
          <w:marBottom w:val="0"/>
          <w:divBdr>
            <w:top w:val="none" w:sz="0" w:space="0" w:color="auto"/>
            <w:left w:val="none" w:sz="0" w:space="0" w:color="auto"/>
            <w:bottom w:val="none" w:sz="0" w:space="0" w:color="auto"/>
            <w:right w:val="none" w:sz="0" w:space="0" w:color="auto"/>
          </w:divBdr>
        </w:div>
        <w:div w:id="957838872">
          <w:marLeft w:val="274"/>
          <w:marRight w:val="0"/>
          <w:marTop w:val="0"/>
          <w:marBottom w:val="0"/>
          <w:divBdr>
            <w:top w:val="none" w:sz="0" w:space="0" w:color="auto"/>
            <w:left w:val="none" w:sz="0" w:space="0" w:color="auto"/>
            <w:bottom w:val="none" w:sz="0" w:space="0" w:color="auto"/>
            <w:right w:val="none" w:sz="0" w:space="0" w:color="auto"/>
          </w:divBdr>
        </w:div>
      </w:divsChild>
    </w:div>
    <w:div w:id="450780808">
      <w:bodyDiv w:val="1"/>
      <w:marLeft w:val="0"/>
      <w:marRight w:val="0"/>
      <w:marTop w:val="0"/>
      <w:marBottom w:val="0"/>
      <w:divBdr>
        <w:top w:val="none" w:sz="0" w:space="0" w:color="auto"/>
        <w:left w:val="none" w:sz="0" w:space="0" w:color="auto"/>
        <w:bottom w:val="none" w:sz="0" w:space="0" w:color="auto"/>
        <w:right w:val="none" w:sz="0" w:space="0" w:color="auto"/>
      </w:divBdr>
    </w:div>
    <w:div w:id="520052445">
      <w:bodyDiv w:val="1"/>
      <w:marLeft w:val="0"/>
      <w:marRight w:val="0"/>
      <w:marTop w:val="0"/>
      <w:marBottom w:val="0"/>
      <w:divBdr>
        <w:top w:val="none" w:sz="0" w:space="0" w:color="auto"/>
        <w:left w:val="none" w:sz="0" w:space="0" w:color="auto"/>
        <w:bottom w:val="none" w:sz="0" w:space="0" w:color="auto"/>
        <w:right w:val="none" w:sz="0" w:space="0" w:color="auto"/>
      </w:divBdr>
    </w:div>
    <w:div w:id="646976452">
      <w:bodyDiv w:val="1"/>
      <w:marLeft w:val="0"/>
      <w:marRight w:val="0"/>
      <w:marTop w:val="0"/>
      <w:marBottom w:val="0"/>
      <w:divBdr>
        <w:top w:val="none" w:sz="0" w:space="0" w:color="auto"/>
        <w:left w:val="none" w:sz="0" w:space="0" w:color="auto"/>
        <w:bottom w:val="none" w:sz="0" w:space="0" w:color="auto"/>
        <w:right w:val="none" w:sz="0" w:space="0" w:color="auto"/>
      </w:divBdr>
    </w:div>
    <w:div w:id="661202922">
      <w:bodyDiv w:val="1"/>
      <w:marLeft w:val="0"/>
      <w:marRight w:val="0"/>
      <w:marTop w:val="0"/>
      <w:marBottom w:val="0"/>
      <w:divBdr>
        <w:top w:val="none" w:sz="0" w:space="0" w:color="auto"/>
        <w:left w:val="none" w:sz="0" w:space="0" w:color="auto"/>
        <w:bottom w:val="none" w:sz="0" w:space="0" w:color="auto"/>
        <w:right w:val="none" w:sz="0" w:space="0" w:color="auto"/>
      </w:divBdr>
    </w:div>
    <w:div w:id="716470846">
      <w:bodyDiv w:val="1"/>
      <w:marLeft w:val="0"/>
      <w:marRight w:val="0"/>
      <w:marTop w:val="0"/>
      <w:marBottom w:val="0"/>
      <w:divBdr>
        <w:top w:val="none" w:sz="0" w:space="0" w:color="auto"/>
        <w:left w:val="none" w:sz="0" w:space="0" w:color="auto"/>
        <w:bottom w:val="none" w:sz="0" w:space="0" w:color="auto"/>
        <w:right w:val="none" w:sz="0" w:space="0" w:color="auto"/>
      </w:divBdr>
    </w:div>
    <w:div w:id="879362669">
      <w:bodyDiv w:val="1"/>
      <w:marLeft w:val="0"/>
      <w:marRight w:val="0"/>
      <w:marTop w:val="0"/>
      <w:marBottom w:val="0"/>
      <w:divBdr>
        <w:top w:val="none" w:sz="0" w:space="0" w:color="auto"/>
        <w:left w:val="none" w:sz="0" w:space="0" w:color="auto"/>
        <w:bottom w:val="none" w:sz="0" w:space="0" w:color="auto"/>
        <w:right w:val="none" w:sz="0" w:space="0" w:color="auto"/>
      </w:divBdr>
    </w:div>
    <w:div w:id="925267575">
      <w:bodyDiv w:val="1"/>
      <w:marLeft w:val="0"/>
      <w:marRight w:val="0"/>
      <w:marTop w:val="0"/>
      <w:marBottom w:val="0"/>
      <w:divBdr>
        <w:top w:val="none" w:sz="0" w:space="0" w:color="auto"/>
        <w:left w:val="none" w:sz="0" w:space="0" w:color="auto"/>
        <w:bottom w:val="none" w:sz="0" w:space="0" w:color="auto"/>
        <w:right w:val="none" w:sz="0" w:space="0" w:color="auto"/>
      </w:divBdr>
      <w:divsChild>
        <w:div w:id="1450005725">
          <w:marLeft w:val="274"/>
          <w:marRight w:val="0"/>
          <w:marTop w:val="0"/>
          <w:marBottom w:val="0"/>
          <w:divBdr>
            <w:top w:val="none" w:sz="0" w:space="0" w:color="auto"/>
            <w:left w:val="none" w:sz="0" w:space="0" w:color="auto"/>
            <w:bottom w:val="none" w:sz="0" w:space="0" w:color="auto"/>
            <w:right w:val="none" w:sz="0" w:space="0" w:color="auto"/>
          </w:divBdr>
        </w:div>
        <w:div w:id="1068072096">
          <w:marLeft w:val="274"/>
          <w:marRight w:val="0"/>
          <w:marTop w:val="0"/>
          <w:marBottom w:val="0"/>
          <w:divBdr>
            <w:top w:val="none" w:sz="0" w:space="0" w:color="auto"/>
            <w:left w:val="none" w:sz="0" w:space="0" w:color="auto"/>
            <w:bottom w:val="none" w:sz="0" w:space="0" w:color="auto"/>
            <w:right w:val="none" w:sz="0" w:space="0" w:color="auto"/>
          </w:divBdr>
        </w:div>
        <w:div w:id="1455950113">
          <w:marLeft w:val="274"/>
          <w:marRight w:val="0"/>
          <w:marTop w:val="0"/>
          <w:marBottom w:val="0"/>
          <w:divBdr>
            <w:top w:val="none" w:sz="0" w:space="0" w:color="auto"/>
            <w:left w:val="none" w:sz="0" w:space="0" w:color="auto"/>
            <w:bottom w:val="none" w:sz="0" w:space="0" w:color="auto"/>
            <w:right w:val="none" w:sz="0" w:space="0" w:color="auto"/>
          </w:divBdr>
        </w:div>
        <w:div w:id="1040595053">
          <w:marLeft w:val="274"/>
          <w:marRight w:val="0"/>
          <w:marTop w:val="0"/>
          <w:marBottom w:val="0"/>
          <w:divBdr>
            <w:top w:val="none" w:sz="0" w:space="0" w:color="auto"/>
            <w:left w:val="none" w:sz="0" w:space="0" w:color="auto"/>
            <w:bottom w:val="none" w:sz="0" w:space="0" w:color="auto"/>
            <w:right w:val="none" w:sz="0" w:space="0" w:color="auto"/>
          </w:divBdr>
        </w:div>
      </w:divsChild>
    </w:div>
    <w:div w:id="968172384">
      <w:bodyDiv w:val="1"/>
      <w:marLeft w:val="0"/>
      <w:marRight w:val="0"/>
      <w:marTop w:val="0"/>
      <w:marBottom w:val="0"/>
      <w:divBdr>
        <w:top w:val="none" w:sz="0" w:space="0" w:color="auto"/>
        <w:left w:val="none" w:sz="0" w:space="0" w:color="auto"/>
        <w:bottom w:val="none" w:sz="0" w:space="0" w:color="auto"/>
        <w:right w:val="none" w:sz="0" w:space="0" w:color="auto"/>
      </w:divBdr>
    </w:div>
    <w:div w:id="998536964">
      <w:bodyDiv w:val="1"/>
      <w:marLeft w:val="0"/>
      <w:marRight w:val="0"/>
      <w:marTop w:val="0"/>
      <w:marBottom w:val="0"/>
      <w:divBdr>
        <w:top w:val="none" w:sz="0" w:space="0" w:color="auto"/>
        <w:left w:val="none" w:sz="0" w:space="0" w:color="auto"/>
        <w:bottom w:val="none" w:sz="0" w:space="0" w:color="auto"/>
        <w:right w:val="none" w:sz="0" w:space="0" w:color="auto"/>
      </w:divBdr>
    </w:div>
    <w:div w:id="1044139534">
      <w:bodyDiv w:val="1"/>
      <w:marLeft w:val="0"/>
      <w:marRight w:val="0"/>
      <w:marTop w:val="0"/>
      <w:marBottom w:val="0"/>
      <w:divBdr>
        <w:top w:val="none" w:sz="0" w:space="0" w:color="auto"/>
        <w:left w:val="none" w:sz="0" w:space="0" w:color="auto"/>
        <w:bottom w:val="none" w:sz="0" w:space="0" w:color="auto"/>
        <w:right w:val="none" w:sz="0" w:space="0" w:color="auto"/>
      </w:divBdr>
    </w:div>
    <w:div w:id="1065297094">
      <w:bodyDiv w:val="1"/>
      <w:marLeft w:val="0"/>
      <w:marRight w:val="0"/>
      <w:marTop w:val="0"/>
      <w:marBottom w:val="0"/>
      <w:divBdr>
        <w:top w:val="none" w:sz="0" w:space="0" w:color="auto"/>
        <w:left w:val="none" w:sz="0" w:space="0" w:color="auto"/>
        <w:bottom w:val="none" w:sz="0" w:space="0" w:color="auto"/>
        <w:right w:val="none" w:sz="0" w:space="0" w:color="auto"/>
      </w:divBdr>
    </w:div>
    <w:div w:id="1127888779">
      <w:bodyDiv w:val="1"/>
      <w:marLeft w:val="0"/>
      <w:marRight w:val="0"/>
      <w:marTop w:val="0"/>
      <w:marBottom w:val="0"/>
      <w:divBdr>
        <w:top w:val="none" w:sz="0" w:space="0" w:color="auto"/>
        <w:left w:val="none" w:sz="0" w:space="0" w:color="auto"/>
        <w:bottom w:val="none" w:sz="0" w:space="0" w:color="auto"/>
        <w:right w:val="none" w:sz="0" w:space="0" w:color="auto"/>
      </w:divBdr>
    </w:div>
    <w:div w:id="1216503893">
      <w:bodyDiv w:val="1"/>
      <w:marLeft w:val="0"/>
      <w:marRight w:val="0"/>
      <w:marTop w:val="0"/>
      <w:marBottom w:val="0"/>
      <w:divBdr>
        <w:top w:val="none" w:sz="0" w:space="0" w:color="auto"/>
        <w:left w:val="none" w:sz="0" w:space="0" w:color="auto"/>
        <w:bottom w:val="none" w:sz="0" w:space="0" w:color="auto"/>
        <w:right w:val="none" w:sz="0" w:space="0" w:color="auto"/>
      </w:divBdr>
    </w:div>
    <w:div w:id="1408728427">
      <w:bodyDiv w:val="1"/>
      <w:marLeft w:val="0"/>
      <w:marRight w:val="0"/>
      <w:marTop w:val="0"/>
      <w:marBottom w:val="0"/>
      <w:divBdr>
        <w:top w:val="none" w:sz="0" w:space="0" w:color="auto"/>
        <w:left w:val="none" w:sz="0" w:space="0" w:color="auto"/>
        <w:bottom w:val="none" w:sz="0" w:space="0" w:color="auto"/>
        <w:right w:val="none" w:sz="0" w:space="0" w:color="auto"/>
      </w:divBdr>
    </w:div>
    <w:div w:id="1657764546">
      <w:bodyDiv w:val="1"/>
      <w:marLeft w:val="0"/>
      <w:marRight w:val="0"/>
      <w:marTop w:val="0"/>
      <w:marBottom w:val="0"/>
      <w:divBdr>
        <w:top w:val="none" w:sz="0" w:space="0" w:color="auto"/>
        <w:left w:val="none" w:sz="0" w:space="0" w:color="auto"/>
        <w:bottom w:val="none" w:sz="0" w:space="0" w:color="auto"/>
        <w:right w:val="none" w:sz="0" w:space="0" w:color="auto"/>
      </w:divBdr>
      <w:divsChild>
        <w:div w:id="504908051">
          <w:marLeft w:val="274"/>
          <w:marRight w:val="0"/>
          <w:marTop w:val="0"/>
          <w:marBottom w:val="0"/>
          <w:divBdr>
            <w:top w:val="none" w:sz="0" w:space="0" w:color="auto"/>
            <w:left w:val="none" w:sz="0" w:space="0" w:color="auto"/>
            <w:bottom w:val="none" w:sz="0" w:space="0" w:color="auto"/>
            <w:right w:val="none" w:sz="0" w:space="0" w:color="auto"/>
          </w:divBdr>
        </w:div>
        <w:div w:id="61176995">
          <w:marLeft w:val="274"/>
          <w:marRight w:val="0"/>
          <w:marTop w:val="0"/>
          <w:marBottom w:val="0"/>
          <w:divBdr>
            <w:top w:val="none" w:sz="0" w:space="0" w:color="auto"/>
            <w:left w:val="none" w:sz="0" w:space="0" w:color="auto"/>
            <w:bottom w:val="none" w:sz="0" w:space="0" w:color="auto"/>
            <w:right w:val="none" w:sz="0" w:space="0" w:color="auto"/>
          </w:divBdr>
        </w:div>
        <w:div w:id="166017804">
          <w:marLeft w:val="274"/>
          <w:marRight w:val="0"/>
          <w:marTop w:val="0"/>
          <w:marBottom w:val="0"/>
          <w:divBdr>
            <w:top w:val="none" w:sz="0" w:space="0" w:color="auto"/>
            <w:left w:val="none" w:sz="0" w:space="0" w:color="auto"/>
            <w:bottom w:val="none" w:sz="0" w:space="0" w:color="auto"/>
            <w:right w:val="none" w:sz="0" w:space="0" w:color="auto"/>
          </w:divBdr>
        </w:div>
      </w:divsChild>
    </w:div>
    <w:div w:id="1664045086">
      <w:bodyDiv w:val="1"/>
      <w:marLeft w:val="0"/>
      <w:marRight w:val="0"/>
      <w:marTop w:val="0"/>
      <w:marBottom w:val="0"/>
      <w:divBdr>
        <w:top w:val="none" w:sz="0" w:space="0" w:color="auto"/>
        <w:left w:val="none" w:sz="0" w:space="0" w:color="auto"/>
        <w:bottom w:val="none" w:sz="0" w:space="0" w:color="auto"/>
        <w:right w:val="none" w:sz="0" w:space="0" w:color="auto"/>
      </w:divBdr>
    </w:div>
    <w:div w:id="18344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ii.com/ap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5632FB6-169E-46E7-8FE8-642C65B3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1068</Words>
  <Characters>6408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Peak</dc:creator>
  <cp:lastModifiedBy>Janek Trzupek</cp:lastModifiedBy>
  <cp:revision>12</cp:revision>
  <cp:lastPrinted>2017-04-03T19:51:00Z</cp:lastPrinted>
  <dcterms:created xsi:type="dcterms:W3CDTF">2017-04-14T09:26:00Z</dcterms:created>
  <dcterms:modified xsi:type="dcterms:W3CDTF">2017-04-27T14:43:00Z</dcterms:modified>
</cp:coreProperties>
</file>