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87" w:rsidRPr="00BD4A9A" w:rsidRDefault="006D0809" w:rsidP="00BD4A9A">
      <w:pPr>
        <w:spacing w:after="0" w:line="300" w:lineRule="auto"/>
        <w:contextualSpacing/>
        <w:jc w:val="right"/>
        <w:rPr>
          <w:rFonts w:cs="Arial"/>
          <w:sz w:val="40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27536">
        <w:rPr>
          <w:rFonts w:cs="Arial"/>
          <w:sz w:val="24"/>
          <w:szCs w:val="24"/>
        </w:rPr>
        <w:t xml:space="preserve">Warszawa, </w:t>
      </w:r>
      <w:r w:rsidR="00DC2562">
        <w:rPr>
          <w:rFonts w:cs="Arial"/>
          <w:sz w:val="24"/>
          <w:szCs w:val="24"/>
        </w:rPr>
        <w:t>9</w:t>
      </w:r>
      <w:r w:rsidR="00B7576F">
        <w:rPr>
          <w:rFonts w:cs="Arial"/>
          <w:sz w:val="24"/>
          <w:szCs w:val="24"/>
        </w:rPr>
        <w:t xml:space="preserve"> </w:t>
      </w:r>
      <w:r w:rsidR="00CA6034">
        <w:rPr>
          <w:rFonts w:cs="Arial"/>
          <w:sz w:val="24"/>
          <w:szCs w:val="24"/>
        </w:rPr>
        <w:t>listopada</w:t>
      </w:r>
      <w:r w:rsidR="00BD4A9A" w:rsidRPr="00BD4A9A">
        <w:rPr>
          <w:rFonts w:cs="Arial"/>
          <w:sz w:val="24"/>
          <w:szCs w:val="24"/>
        </w:rPr>
        <w:t xml:space="preserve"> 2015 r.</w:t>
      </w:r>
    </w:p>
    <w:p w:rsidR="00BD4A9A" w:rsidRPr="00BD4A9A" w:rsidRDefault="00BD4A9A" w:rsidP="00071C4C">
      <w:pPr>
        <w:spacing w:after="0" w:line="300" w:lineRule="auto"/>
        <w:contextualSpacing/>
        <w:rPr>
          <w:rFonts w:cs="Arial"/>
          <w:sz w:val="40"/>
          <w:szCs w:val="24"/>
        </w:rPr>
      </w:pPr>
    </w:p>
    <w:p w:rsidR="00BD4A9A" w:rsidRPr="00BD4A9A" w:rsidRDefault="009B1CF9" w:rsidP="00BD4A9A">
      <w:pPr>
        <w:spacing w:after="0" w:line="300" w:lineRule="auto"/>
        <w:contextualSpacing/>
        <w:jc w:val="center"/>
        <w:rPr>
          <w:rFonts w:cs="Arial"/>
          <w:b/>
          <w:sz w:val="40"/>
          <w:szCs w:val="24"/>
        </w:rPr>
      </w:pPr>
      <w:r>
        <w:rPr>
          <w:rFonts w:cs="Arial"/>
          <w:b/>
          <w:sz w:val="40"/>
          <w:szCs w:val="24"/>
        </w:rPr>
        <w:t>Rozwój zawodowy</w:t>
      </w:r>
      <w:r w:rsidR="004C779E">
        <w:rPr>
          <w:rFonts w:cs="Arial"/>
          <w:b/>
          <w:sz w:val="40"/>
          <w:szCs w:val="24"/>
        </w:rPr>
        <w:t xml:space="preserve"> nie</w:t>
      </w:r>
      <w:r>
        <w:rPr>
          <w:rFonts w:cs="Arial"/>
          <w:b/>
          <w:sz w:val="40"/>
          <w:szCs w:val="24"/>
        </w:rPr>
        <w:t xml:space="preserve"> tylko dla młodych</w:t>
      </w:r>
    </w:p>
    <w:p w:rsidR="00BD4A9A" w:rsidRDefault="00BD4A9A" w:rsidP="00BD4A9A">
      <w:pPr>
        <w:spacing w:after="0" w:line="300" w:lineRule="auto"/>
        <w:contextualSpacing/>
        <w:jc w:val="center"/>
        <w:rPr>
          <w:rFonts w:cs="Arial"/>
          <w:b/>
          <w:sz w:val="28"/>
          <w:szCs w:val="24"/>
        </w:rPr>
      </w:pPr>
      <w:r w:rsidRPr="00BD4A9A">
        <w:rPr>
          <w:rFonts w:cs="Arial"/>
          <w:b/>
          <w:sz w:val="28"/>
          <w:szCs w:val="24"/>
        </w:rPr>
        <w:t xml:space="preserve">Wyniki raportu Pracuj.pl „Wygoda kontra </w:t>
      </w:r>
      <w:r w:rsidR="00546A7E">
        <w:rPr>
          <w:rFonts w:cs="Arial"/>
          <w:b/>
          <w:sz w:val="28"/>
          <w:szCs w:val="24"/>
        </w:rPr>
        <w:t>r</w:t>
      </w:r>
      <w:r w:rsidRPr="00BD4A9A">
        <w:rPr>
          <w:rFonts w:cs="Arial"/>
          <w:b/>
          <w:sz w:val="28"/>
          <w:szCs w:val="24"/>
        </w:rPr>
        <w:t>ozwój”</w:t>
      </w:r>
    </w:p>
    <w:p w:rsidR="00BD4A9A" w:rsidRPr="00FB3A06" w:rsidRDefault="00BD4A9A" w:rsidP="00071C4C">
      <w:pPr>
        <w:spacing w:after="0" w:line="300" w:lineRule="auto"/>
        <w:contextualSpacing/>
        <w:rPr>
          <w:rFonts w:cs="Arial"/>
          <w:b/>
          <w:sz w:val="24"/>
          <w:szCs w:val="24"/>
        </w:rPr>
      </w:pPr>
    </w:p>
    <w:p w:rsidR="00E73221" w:rsidRPr="005D3B93" w:rsidRDefault="00E07FCC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Jak wynika z </w:t>
      </w:r>
      <w:r w:rsidR="00327FA7">
        <w:rPr>
          <w:rFonts w:cs="Arial"/>
          <w:b/>
          <w:sz w:val="24"/>
          <w:szCs w:val="24"/>
        </w:rPr>
        <w:t>raportu</w:t>
      </w:r>
      <w:r>
        <w:rPr>
          <w:rFonts w:cs="Arial"/>
          <w:b/>
          <w:sz w:val="24"/>
          <w:szCs w:val="24"/>
        </w:rPr>
        <w:t xml:space="preserve"> Pracuj.pl</w:t>
      </w:r>
      <w:r w:rsidR="00327FA7">
        <w:rPr>
          <w:rFonts w:cs="Arial"/>
          <w:b/>
          <w:sz w:val="24"/>
          <w:szCs w:val="24"/>
        </w:rPr>
        <w:t xml:space="preserve"> „Wygoda kontra rozwój”*</w:t>
      </w:r>
      <w:r>
        <w:rPr>
          <w:rFonts w:cs="Arial"/>
          <w:b/>
          <w:sz w:val="24"/>
          <w:szCs w:val="24"/>
        </w:rPr>
        <w:t xml:space="preserve">, </w:t>
      </w:r>
      <w:r w:rsidR="00141B43">
        <w:rPr>
          <w:rFonts w:cs="Arial"/>
          <w:b/>
          <w:sz w:val="24"/>
          <w:szCs w:val="24"/>
        </w:rPr>
        <w:t>większość</w:t>
      </w:r>
      <w:r>
        <w:rPr>
          <w:rFonts w:cs="Arial"/>
          <w:b/>
          <w:sz w:val="24"/>
          <w:szCs w:val="24"/>
        </w:rPr>
        <w:t xml:space="preserve"> aktywnych zawodowo Polaków </w:t>
      </w:r>
      <w:r w:rsidR="00775996">
        <w:rPr>
          <w:rFonts w:cs="Arial"/>
          <w:b/>
          <w:sz w:val="24"/>
          <w:szCs w:val="24"/>
        </w:rPr>
        <w:t>w wieku od</w:t>
      </w:r>
      <w:r>
        <w:rPr>
          <w:rFonts w:cs="Arial"/>
          <w:b/>
          <w:sz w:val="24"/>
          <w:szCs w:val="24"/>
        </w:rPr>
        <w:t xml:space="preserve"> 18</w:t>
      </w:r>
      <w:r w:rsidR="00775996">
        <w:rPr>
          <w:rFonts w:cs="Arial"/>
          <w:b/>
          <w:sz w:val="24"/>
          <w:szCs w:val="24"/>
        </w:rPr>
        <w:t xml:space="preserve"> do </w:t>
      </w:r>
      <w:r>
        <w:rPr>
          <w:rFonts w:cs="Arial"/>
          <w:b/>
          <w:sz w:val="24"/>
          <w:szCs w:val="24"/>
        </w:rPr>
        <w:t xml:space="preserve">29 lat deklaruje, że w </w:t>
      </w:r>
      <w:r w:rsidR="00327FA7">
        <w:rPr>
          <w:rFonts w:cs="Arial"/>
          <w:b/>
          <w:sz w:val="24"/>
          <w:szCs w:val="24"/>
        </w:rPr>
        <w:t>ostatnim</w:t>
      </w:r>
      <w:r>
        <w:rPr>
          <w:rFonts w:cs="Arial"/>
          <w:b/>
          <w:sz w:val="24"/>
          <w:szCs w:val="24"/>
        </w:rPr>
        <w:t xml:space="preserve"> roku </w:t>
      </w:r>
      <w:r w:rsidRPr="00E07FCC">
        <w:rPr>
          <w:rFonts w:cs="Arial"/>
          <w:b/>
          <w:sz w:val="24"/>
          <w:szCs w:val="24"/>
        </w:rPr>
        <w:t xml:space="preserve">rozwinęło się </w:t>
      </w:r>
      <w:r w:rsidR="00775996">
        <w:rPr>
          <w:rFonts w:cs="Arial"/>
          <w:b/>
          <w:sz w:val="24"/>
          <w:szCs w:val="24"/>
        </w:rPr>
        <w:t>w pracy</w:t>
      </w:r>
      <w:r w:rsidRPr="00E07FCC">
        <w:rPr>
          <w:rFonts w:cs="Arial"/>
          <w:b/>
          <w:sz w:val="24"/>
          <w:szCs w:val="24"/>
        </w:rPr>
        <w:t>, zdobyło nowe umiejętności i podniosło swoje kwalifikacje zawodowe</w:t>
      </w:r>
      <w:r>
        <w:rPr>
          <w:rFonts w:cs="Arial"/>
          <w:b/>
          <w:sz w:val="24"/>
          <w:szCs w:val="24"/>
        </w:rPr>
        <w:t xml:space="preserve">. Mimo </w:t>
      </w:r>
      <w:r w:rsidR="005D3B93">
        <w:rPr>
          <w:rFonts w:cs="Arial"/>
          <w:b/>
          <w:sz w:val="24"/>
          <w:szCs w:val="24"/>
        </w:rPr>
        <w:t xml:space="preserve">istotnych zmian, jakie zachodzą </w:t>
      </w:r>
      <w:r>
        <w:rPr>
          <w:rFonts w:cs="Arial"/>
          <w:b/>
          <w:sz w:val="24"/>
          <w:szCs w:val="24"/>
        </w:rPr>
        <w:t xml:space="preserve">na rynku pracy, odsetek </w:t>
      </w:r>
      <w:r w:rsidR="00775996">
        <w:rPr>
          <w:rFonts w:cs="Arial"/>
          <w:b/>
          <w:sz w:val="24"/>
          <w:szCs w:val="24"/>
        </w:rPr>
        <w:t xml:space="preserve">dla tej grupy wiekowej </w:t>
      </w:r>
      <w:r>
        <w:rPr>
          <w:rFonts w:cs="Arial"/>
          <w:b/>
          <w:sz w:val="24"/>
          <w:szCs w:val="24"/>
        </w:rPr>
        <w:t xml:space="preserve">pozostaje znacząco </w:t>
      </w:r>
      <w:r w:rsidR="00775996">
        <w:rPr>
          <w:rFonts w:cs="Arial"/>
          <w:b/>
          <w:sz w:val="24"/>
          <w:szCs w:val="24"/>
        </w:rPr>
        <w:t xml:space="preserve">wyższy niż </w:t>
      </w:r>
      <w:r>
        <w:rPr>
          <w:rFonts w:cs="Arial"/>
          <w:b/>
          <w:sz w:val="24"/>
          <w:szCs w:val="24"/>
        </w:rPr>
        <w:t xml:space="preserve">w przypadku osób </w:t>
      </w:r>
      <w:r w:rsidR="003877E8">
        <w:rPr>
          <w:rFonts w:cs="Arial"/>
          <w:b/>
          <w:sz w:val="24"/>
          <w:szCs w:val="24"/>
        </w:rPr>
        <w:t>starszych</w:t>
      </w:r>
      <w:r>
        <w:rPr>
          <w:rFonts w:cs="Arial"/>
          <w:b/>
          <w:sz w:val="24"/>
          <w:szCs w:val="24"/>
        </w:rPr>
        <w:t>.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141B43" w:rsidRDefault="004C779E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Wszystko wskazuje na to, że zmiany zachodzące na rynku pracy – obejmujące m.in. wydłużenie wieku emerytalnego – sprawią, że wśród aktywnych zawodowo Polaków coraz większą grupę będą stanowiły osoby w wieku powyżej 50 lat. Niezależnie od indywidualnych planów i aspiracji, ostatnie lata pracy zawodowej nie powinny być okresem zawodowej stagnacji. </w:t>
      </w:r>
      <w:r w:rsidR="00BE73E8">
        <w:rPr>
          <w:rFonts w:cs="Arial"/>
          <w:sz w:val="24"/>
          <w:szCs w:val="24"/>
        </w:rPr>
        <w:t xml:space="preserve">Tymczasem, jak </w:t>
      </w:r>
      <w:r w:rsidR="00327FA7">
        <w:rPr>
          <w:rFonts w:cs="Arial"/>
          <w:sz w:val="24"/>
          <w:szCs w:val="24"/>
        </w:rPr>
        <w:t>wynika z badania przepro</w:t>
      </w:r>
      <w:r w:rsidR="00BE73E8">
        <w:rPr>
          <w:rFonts w:cs="Arial"/>
          <w:sz w:val="24"/>
          <w:szCs w:val="24"/>
        </w:rPr>
        <w:t>wadzonego na zlecenie Pracuj.pl,</w:t>
      </w:r>
      <w:r w:rsidR="00327FA7">
        <w:rPr>
          <w:rFonts w:cs="Arial"/>
          <w:sz w:val="24"/>
          <w:szCs w:val="24"/>
        </w:rPr>
        <w:t xml:space="preserve"> </w:t>
      </w:r>
      <w:r w:rsidR="00BE73E8">
        <w:rPr>
          <w:rFonts w:cs="Arial"/>
          <w:sz w:val="24"/>
          <w:szCs w:val="24"/>
        </w:rPr>
        <w:t>n</w:t>
      </w:r>
      <w:r w:rsidR="00B76EAF">
        <w:rPr>
          <w:rFonts w:cs="Arial"/>
          <w:sz w:val="24"/>
          <w:szCs w:val="24"/>
        </w:rPr>
        <w:t>ajwięcej</w:t>
      </w:r>
      <w:r w:rsidR="00BE73E8">
        <w:rPr>
          <w:rFonts w:cs="Arial"/>
          <w:sz w:val="24"/>
          <w:szCs w:val="24"/>
        </w:rPr>
        <w:t xml:space="preserve"> osób (</w:t>
      </w:r>
      <w:r w:rsidR="00B76EAF">
        <w:rPr>
          <w:rFonts w:cs="Arial"/>
          <w:sz w:val="24"/>
          <w:szCs w:val="24"/>
        </w:rPr>
        <w:t>85%</w:t>
      </w:r>
      <w:r w:rsidR="00BE73E8">
        <w:rPr>
          <w:rFonts w:cs="Arial"/>
          <w:sz w:val="24"/>
          <w:szCs w:val="24"/>
        </w:rPr>
        <w:t>)</w:t>
      </w:r>
      <w:r w:rsidR="00B76EAF">
        <w:rPr>
          <w:rFonts w:cs="Arial"/>
          <w:sz w:val="24"/>
          <w:szCs w:val="24"/>
        </w:rPr>
        <w:t>,</w:t>
      </w:r>
      <w:r w:rsidR="00327FA7">
        <w:rPr>
          <w:rFonts w:cs="Arial"/>
          <w:sz w:val="24"/>
          <w:szCs w:val="24"/>
        </w:rPr>
        <w:t xml:space="preserve"> które w ostatnim roku zdobył</w:t>
      </w:r>
      <w:r w:rsidR="00B76EAF">
        <w:rPr>
          <w:rFonts w:cs="Arial"/>
          <w:sz w:val="24"/>
          <w:szCs w:val="24"/>
        </w:rPr>
        <w:t>y</w:t>
      </w:r>
      <w:r w:rsidR="00327FA7">
        <w:rPr>
          <w:rFonts w:cs="Arial"/>
          <w:sz w:val="24"/>
          <w:szCs w:val="24"/>
        </w:rPr>
        <w:t xml:space="preserve"> nowe umiejętności i podniosł</w:t>
      </w:r>
      <w:r w:rsidR="00B76EAF">
        <w:rPr>
          <w:rFonts w:cs="Arial"/>
          <w:sz w:val="24"/>
          <w:szCs w:val="24"/>
        </w:rPr>
        <w:t>y</w:t>
      </w:r>
      <w:r w:rsidR="00327FA7">
        <w:rPr>
          <w:rFonts w:cs="Arial"/>
          <w:sz w:val="24"/>
          <w:szCs w:val="24"/>
        </w:rPr>
        <w:t xml:space="preserve"> swoje </w:t>
      </w:r>
      <w:r w:rsidR="00BC4A58">
        <w:rPr>
          <w:rFonts w:cs="Arial"/>
          <w:sz w:val="24"/>
          <w:szCs w:val="24"/>
        </w:rPr>
        <w:t>kwalifikacje</w:t>
      </w:r>
      <w:r w:rsidR="00327FA7">
        <w:rPr>
          <w:rFonts w:cs="Arial"/>
          <w:sz w:val="24"/>
          <w:szCs w:val="24"/>
        </w:rPr>
        <w:t xml:space="preserve">, </w:t>
      </w:r>
      <w:r w:rsidR="00BE73E8">
        <w:rPr>
          <w:rFonts w:cs="Arial"/>
          <w:sz w:val="24"/>
          <w:szCs w:val="24"/>
        </w:rPr>
        <w:t>było</w:t>
      </w:r>
      <w:r w:rsidR="00327FA7">
        <w:rPr>
          <w:rFonts w:cs="Arial"/>
          <w:sz w:val="24"/>
          <w:szCs w:val="24"/>
        </w:rPr>
        <w:t xml:space="preserve"> </w:t>
      </w:r>
      <w:r w:rsidR="00BA7F0B">
        <w:rPr>
          <w:rFonts w:cs="Arial"/>
          <w:sz w:val="24"/>
          <w:szCs w:val="24"/>
        </w:rPr>
        <w:t>w wieku 19-2</w:t>
      </w:r>
      <w:r w:rsidR="00BC4A58">
        <w:rPr>
          <w:rFonts w:cs="Arial"/>
          <w:sz w:val="24"/>
          <w:szCs w:val="24"/>
        </w:rPr>
        <w:t>9 lat</w:t>
      </w:r>
      <w:r w:rsidR="00327FA7">
        <w:rPr>
          <w:rFonts w:cs="Arial"/>
          <w:sz w:val="24"/>
          <w:szCs w:val="24"/>
        </w:rPr>
        <w:t>. Znacznie gorzej przedstawiała się sytuacja w przypadku osób należących do przedziału wiekowego 50-59 lat</w:t>
      </w:r>
      <w:r w:rsidR="00BC4A58">
        <w:rPr>
          <w:rFonts w:cs="Arial"/>
          <w:sz w:val="24"/>
          <w:szCs w:val="24"/>
        </w:rPr>
        <w:t>, gdzie podobnego zdania było</w:t>
      </w:r>
      <w:r w:rsidR="00141B43">
        <w:rPr>
          <w:rFonts w:cs="Arial"/>
          <w:sz w:val="24"/>
          <w:szCs w:val="24"/>
        </w:rPr>
        <w:t xml:space="preserve"> 56%</w:t>
      </w:r>
      <w:r w:rsidR="00BC4A58">
        <w:rPr>
          <w:rFonts w:cs="Arial"/>
          <w:sz w:val="24"/>
          <w:szCs w:val="24"/>
        </w:rPr>
        <w:t xml:space="preserve"> badanych. </w:t>
      </w:r>
    </w:p>
    <w:p w:rsidR="00141B43" w:rsidRDefault="00141B43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141B43" w:rsidRDefault="00141B43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1B43" w:rsidRDefault="00141B43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Źródło: Pracuj.pl</w:t>
      </w:r>
    </w:p>
    <w:p w:rsidR="00141B43" w:rsidRDefault="00141B43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BC4A5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Wyraźne dysproporcje widoczne są także w przypadku przyznawania awansów i podwyżek. Mimo większego doświadczenia zawodowego, jakim mogą pochwalić się osoby w wieku 50-</w:t>
      </w:r>
      <w:r>
        <w:rPr>
          <w:rFonts w:cs="Arial"/>
          <w:sz w:val="24"/>
          <w:szCs w:val="24"/>
        </w:rPr>
        <w:lastRenderedPageBreak/>
        <w:t>59 lat, zaledwie 20% z nich w przeciągu ostatnich trzech lat otrzymało awans, a 47% – podwyżkę. Dla porównania, wśród aktywnych zawodowo Polaków w wieku 18-29 lat</w:t>
      </w:r>
      <w:r w:rsidR="00DC256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 ostatnich trzech lat</w:t>
      </w:r>
      <w:r w:rsidR="009D459C">
        <w:rPr>
          <w:rFonts w:cs="Arial"/>
          <w:sz w:val="24"/>
          <w:szCs w:val="24"/>
        </w:rPr>
        <w:t>ach</w:t>
      </w:r>
      <w:r>
        <w:rPr>
          <w:rFonts w:cs="Arial"/>
          <w:sz w:val="24"/>
          <w:szCs w:val="24"/>
        </w:rPr>
        <w:t xml:space="preserve"> awansowało </w:t>
      </w:r>
      <w:r w:rsidR="00132E51">
        <w:rPr>
          <w:rFonts w:cs="Arial"/>
          <w:sz w:val="24"/>
          <w:szCs w:val="24"/>
        </w:rPr>
        <w:t>49%</w:t>
      </w:r>
      <w:r w:rsidR="009D459C">
        <w:rPr>
          <w:rFonts w:cs="Arial"/>
          <w:sz w:val="24"/>
          <w:szCs w:val="24"/>
        </w:rPr>
        <w:t xml:space="preserve"> badanych</w:t>
      </w:r>
      <w:r>
        <w:rPr>
          <w:rFonts w:cs="Arial"/>
          <w:sz w:val="24"/>
          <w:szCs w:val="24"/>
        </w:rPr>
        <w:t xml:space="preserve">, </w:t>
      </w:r>
      <w:r w:rsidR="009D459C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podwyżkę otrzymało </w:t>
      </w:r>
      <w:r w:rsidR="00132E51">
        <w:rPr>
          <w:rFonts w:cs="Arial"/>
          <w:sz w:val="24"/>
          <w:szCs w:val="24"/>
        </w:rPr>
        <w:t xml:space="preserve">w tym czasie </w:t>
      </w:r>
      <w:r>
        <w:rPr>
          <w:rFonts w:cs="Arial"/>
          <w:sz w:val="24"/>
          <w:szCs w:val="24"/>
        </w:rPr>
        <w:t>aż 69%</w:t>
      </w:r>
      <w:r w:rsidR="00132E51">
        <w:rPr>
          <w:rFonts w:cs="Arial"/>
          <w:sz w:val="24"/>
          <w:szCs w:val="24"/>
        </w:rPr>
        <w:t xml:space="preserve"> badanych z tej grupy</w:t>
      </w:r>
      <w:r>
        <w:rPr>
          <w:rFonts w:cs="Arial"/>
          <w:sz w:val="24"/>
          <w:szCs w:val="24"/>
        </w:rPr>
        <w:t>.</w:t>
      </w:r>
    </w:p>
    <w:p w:rsidR="00132E51" w:rsidRDefault="00132E5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132E51" w:rsidRDefault="00132E5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132E51" w:rsidRDefault="00132E5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Źródło: Pracuj.pl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4C779E" w:rsidRPr="006D0809" w:rsidRDefault="006E40F2" w:rsidP="004C779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E73E8">
        <w:rPr>
          <w:rFonts w:cs="Arial"/>
          <w:sz w:val="24"/>
          <w:szCs w:val="24"/>
        </w:rPr>
        <w:t>odobny trend zauważalny jest również w przypadku gotowości</w:t>
      </w:r>
      <w:r w:rsidR="00D22F58">
        <w:rPr>
          <w:rFonts w:cs="Arial"/>
          <w:sz w:val="24"/>
          <w:szCs w:val="24"/>
        </w:rPr>
        <w:t xml:space="preserve"> do zmiany miejsca pracy</w:t>
      </w:r>
      <w:r w:rsidR="00BE73E8">
        <w:rPr>
          <w:rFonts w:cs="Arial"/>
          <w:sz w:val="24"/>
          <w:szCs w:val="24"/>
        </w:rPr>
        <w:t>, która w dalszym ciągu</w:t>
      </w:r>
      <w:r w:rsidR="00D22F58">
        <w:rPr>
          <w:rFonts w:cs="Arial"/>
          <w:sz w:val="24"/>
          <w:szCs w:val="24"/>
        </w:rPr>
        <w:t xml:space="preserve"> je</w:t>
      </w:r>
      <w:r w:rsidR="006727D6">
        <w:rPr>
          <w:rFonts w:cs="Arial"/>
          <w:sz w:val="24"/>
          <w:szCs w:val="24"/>
        </w:rPr>
        <w:t>st</w:t>
      </w:r>
      <w:r w:rsidR="00D22F58">
        <w:rPr>
          <w:rFonts w:cs="Arial"/>
          <w:sz w:val="24"/>
          <w:szCs w:val="24"/>
        </w:rPr>
        <w:t xml:space="preserve"> domeną młodych. Blisko co trzeci badany (</w:t>
      </w:r>
      <w:r w:rsidR="00D22F58" w:rsidRPr="00BE074F">
        <w:rPr>
          <w:rFonts w:cs="Arial"/>
          <w:sz w:val="24"/>
          <w:szCs w:val="24"/>
        </w:rPr>
        <w:t>32%</w:t>
      </w:r>
      <w:r w:rsidR="00000CB0">
        <w:rPr>
          <w:rFonts w:cs="Arial"/>
          <w:sz w:val="24"/>
          <w:szCs w:val="24"/>
        </w:rPr>
        <w:t>) w wieku 1</w:t>
      </w:r>
      <w:r w:rsidR="00D22F58">
        <w:rPr>
          <w:rFonts w:cs="Arial"/>
          <w:sz w:val="24"/>
          <w:szCs w:val="24"/>
        </w:rPr>
        <w:t xml:space="preserve">8-29 lat </w:t>
      </w:r>
      <w:r w:rsidR="00EA7C09">
        <w:rPr>
          <w:rFonts w:cs="Arial"/>
          <w:sz w:val="24"/>
          <w:szCs w:val="24"/>
        </w:rPr>
        <w:t>bi</w:t>
      </w:r>
      <w:r w:rsidR="00D22F58">
        <w:rPr>
          <w:rFonts w:cs="Arial"/>
          <w:sz w:val="24"/>
          <w:szCs w:val="24"/>
        </w:rPr>
        <w:t>erze</w:t>
      </w:r>
      <w:r w:rsidR="00EA7C09">
        <w:rPr>
          <w:rFonts w:cs="Arial"/>
          <w:sz w:val="24"/>
          <w:szCs w:val="24"/>
        </w:rPr>
        <w:t xml:space="preserve"> pod uwagę możliwość zmiany </w:t>
      </w:r>
      <w:r w:rsidR="00EA7C09" w:rsidRPr="00DC2562">
        <w:rPr>
          <w:rFonts w:cs="Arial"/>
          <w:sz w:val="24"/>
          <w:szCs w:val="24"/>
        </w:rPr>
        <w:t xml:space="preserve">miejsca </w:t>
      </w:r>
      <w:r w:rsidR="00D22F58" w:rsidRPr="00DC2562">
        <w:rPr>
          <w:rFonts w:cs="Arial"/>
          <w:sz w:val="24"/>
          <w:szCs w:val="24"/>
        </w:rPr>
        <w:t>zatrudnienia. W</w:t>
      </w:r>
      <w:r w:rsidR="00D55AEC" w:rsidRPr="00DC2562">
        <w:rPr>
          <w:rFonts w:cs="Arial"/>
          <w:sz w:val="24"/>
          <w:szCs w:val="24"/>
        </w:rPr>
        <w:t>śród osób w wieku 50-59 lat o zmianie myśli zaledwie co dziesiąta osoba</w:t>
      </w:r>
      <w:r w:rsidR="00000CB0" w:rsidRPr="00DC2562">
        <w:rPr>
          <w:rFonts w:cs="Arial"/>
          <w:sz w:val="24"/>
          <w:szCs w:val="24"/>
        </w:rPr>
        <w:t>, co najprawdopodobniej wynika z większej  otwartości na zmiany zauważalnej u osób należących do pokolenia Y.</w:t>
      </w:r>
      <w:r w:rsidR="0073270D" w:rsidRPr="00DC2562">
        <w:rPr>
          <w:rFonts w:cs="Arial"/>
          <w:sz w:val="24"/>
          <w:szCs w:val="24"/>
        </w:rPr>
        <w:t xml:space="preserve"> </w:t>
      </w:r>
      <w:r w:rsidR="00245974" w:rsidRPr="00DC2562">
        <w:rPr>
          <w:rFonts w:cs="Arial"/>
          <w:sz w:val="24"/>
          <w:szCs w:val="24"/>
        </w:rPr>
        <w:t xml:space="preserve">Zarówno </w:t>
      </w:r>
      <w:r w:rsidR="006D0809" w:rsidRPr="00DC2562">
        <w:rPr>
          <w:rFonts w:cs="Arial"/>
          <w:sz w:val="24"/>
          <w:szCs w:val="24"/>
        </w:rPr>
        <w:t>osoby</w:t>
      </w:r>
      <w:r w:rsidR="00245974" w:rsidRPr="00DC2562">
        <w:rPr>
          <w:rFonts w:cs="Arial"/>
          <w:sz w:val="24"/>
          <w:szCs w:val="24"/>
        </w:rPr>
        <w:t xml:space="preserve">, które stawiają pierwsze kroki </w:t>
      </w:r>
      <w:r w:rsidR="006D0809" w:rsidRPr="00DC2562">
        <w:rPr>
          <w:rFonts w:cs="Arial"/>
          <w:sz w:val="24"/>
          <w:szCs w:val="24"/>
        </w:rPr>
        <w:t>na rynku pracy, jak i kandydaci</w:t>
      </w:r>
      <w:r w:rsidR="00245974" w:rsidRPr="00DC2562">
        <w:rPr>
          <w:rFonts w:cs="Arial"/>
          <w:sz w:val="24"/>
          <w:szCs w:val="24"/>
        </w:rPr>
        <w:t>, którzy mogą pochwalić się</w:t>
      </w:r>
      <w:r w:rsidR="004C779E" w:rsidRPr="00DC2562">
        <w:rPr>
          <w:rFonts w:cs="Arial"/>
          <w:sz w:val="24"/>
          <w:szCs w:val="24"/>
        </w:rPr>
        <w:t xml:space="preserve"> doświadczeniem zawodowym</w:t>
      </w:r>
      <w:r w:rsidR="006D0809" w:rsidRPr="00DC2562">
        <w:rPr>
          <w:rFonts w:cs="Arial"/>
          <w:sz w:val="24"/>
          <w:szCs w:val="24"/>
        </w:rPr>
        <w:t xml:space="preserve">, </w:t>
      </w:r>
      <w:r w:rsidR="0073270D" w:rsidRPr="00DC2562">
        <w:rPr>
          <w:rFonts w:cs="Arial"/>
          <w:sz w:val="24"/>
          <w:szCs w:val="24"/>
        </w:rPr>
        <w:t>mogą zwiększać swoje szanse na rynku pracy zakładając profil zawodowy na Pracuj</w:t>
      </w:r>
      <w:r w:rsidR="00607268" w:rsidRPr="00DC2562">
        <w:rPr>
          <w:rFonts w:cs="Arial"/>
          <w:sz w:val="24"/>
          <w:szCs w:val="24"/>
        </w:rPr>
        <w:t>.pl</w:t>
      </w:r>
      <w:r w:rsidR="0073270D" w:rsidRPr="00DC2562">
        <w:rPr>
          <w:rFonts w:cs="Arial"/>
          <w:sz w:val="24"/>
          <w:szCs w:val="24"/>
        </w:rPr>
        <w:t xml:space="preserve"> i włączając zgodę na polecanie go pracodawcom. Dzięki funkcji </w:t>
      </w:r>
      <w:r w:rsidR="006D0809" w:rsidRPr="00DC2562">
        <w:rPr>
          <w:rFonts w:cs="Arial"/>
          <w:sz w:val="24"/>
          <w:szCs w:val="24"/>
        </w:rPr>
        <w:t>Pracuj Select</w:t>
      </w:r>
      <w:r w:rsidR="0073270D" w:rsidRPr="00DC2562">
        <w:rPr>
          <w:rFonts w:cs="Arial"/>
          <w:sz w:val="24"/>
          <w:szCs w:val="24"/>
        </w:rPr>
        <w:t xml:space="preserve"> profile zawodowe rekomendowane są pracodawcom w  odpowiedzi na</w:t>
      </w:r>
      <w:r w:rsidR="00CC0E32" w:rsidRPr="00DC2562">
        <w:rPr>
          <w:rFonts w:cs="Arial"/>
          <w:sz w:val="24"/>
          <w:szCs w:val="24"/>
        </w:rPr>
        <w:t xml:space="preserve"> ich</w:t>
      </w:r>
      <w:r w:rsidR="0073270D" w:rsidRPr="00DC2562">
        <w:rPr>
          <w:rFonts w:cs="Arial"/>
          <w:sz w:val="24"/>
          <w:szCs w:val="24"/>
        </w:rPr>
        <w:t xml:space="preserve"> ofertę pracy. </w:t>
      </w:r>
      <w:r w:rsidR="00607268" w:rsidRPr="00DC2562">
        <w:rPr>
          <w:rFonts w:cs="Arial"/>
          <w:sz w:val="24"/>
          <w:szCs w:val="24"/>
        </w:rPr>
        <w:t>N</w:t>
      </w:r>
      <w:r w:rsidR="00CC0E32" w:rsidRPr="00DC2562">
        <w:rPr>
          <w:rFonts w:cs="Arial"/>
          <w:sz w:val="24"/>
          <w:szCs w:val="24"/>
        </w:rPr>
        <w:t xml:space="preserve">arzędzie automatycznie dopasowuje kandydatów na podstawie analizy oferty pracy i treści profili użytkowników na Pracuj.pl. Pracodawca, oprócz aplikacji wysłanych przez kandydatów bezpośrednio na ofertę pracy, otrzyma dodatkowe rekomendacje pracowników, którzy nie odpowiedzieli na ogłoszenie, ale pasują do wymagań zawartych w ofercie. </w:t>
      </w:r>
      <w:r w:rsidR="0073270D" w:rsidRPr="00DC2562">
        <w:rPr>
          <w:rFonts w:cs="Arial"/>
          <w:sz w:val="24"/>
          <w:szCs w:val="24"/>
        </w:rPr>
        <w:t xml:space="preserve">Profile zawodowe </w:t>
      </w:r>
      <w:r w:rsidR="00275AB6" w:rsidRPr="00DC2562">
        <w:rPr>
          <w:rFonts w:cs="Arial"/>
          <w:sz w:val="24"/>
          <w:szCs w:val="24"/>
        </w:rPr>
        <w:t xml:space="preserve">nie </w:t>
      </w:r>
      <w:r w:rsidR="0073270D" w:rsidRPr="00DC2562">
        <w:rPr>
          <w:rFonts w:cs="Arial"/>
          <w:sz w:val="24"/>
          <w:szCs w:val="24"/>
        </w:rPr>
        <w:t>są</w:t>
      </w:r>
      <w:r w:rsidR="00B440C7" w:rsidRPr="00DC2562">
        <w:rPr>
          <w:rFonts w:cs="Arial"/>
          <w:sz w:val="24"/>
          <w:szCs w:val="24"/>
        </w:rPr>
        <w:t xml:space="preserve"> </w:t>
      </w:r>
      <w:r w:rsidR="00275AB6" w:rsidRPr="00DC2562">
        <w:rPr>
          <w:rFonts w:cs="Arial"/>
          <w:sz w:val="24"/>
          <w:szCs w:val="24"/>
        </w:rPr>
        <w:t xml:space="preserve">publicznie </w:t>
      </w:r>
      <w:r w:rsidR="0073270D" w:rsidRPr="00DC2562">
        <w:rPr>
          <w:rFonts w:cs="Arial"/>
          <w:sz w:val="24"/>
          <w:szCs w:val="24"/>
        </w:rPr>
        <w:t xml:space="preserve">dostępne, a </w:t>
      </w:r>
      <w:r w:rsidR="002160D6" w:rsidRPr="00DC2562">
        <w:rPr>
          <w:rFonts w:cs="Arial"/>
          <w:sz w:val="24"/>
          <w:szCs w:val="24"/>
        </w:rPr>
        <w:t>k</w:t>
      </w:r>
      <w:r w:rsidR="00275AB6" w:rsidRPr="00DC2562">
        <w:rPr>
          <w:rFonts w:cs="Arial"/>
          <w:sz w:val="24"/>
          <w:szCs w:val="24"/>
        </w:rPr>
        <w:t xml:space="preserve">ażdy użytkownik ma możliwość wyłączenia opcji </w:t>
      </w:r>
      <w:r w:rsidR="002160D6" w:rsidRPr="00DC2562">
        <w:rPr>
          <w:rFonts w:cs="Arial"/>
          <w:sz w:val="24"/>
          <w:szCs w:val="24"/>
        </w:rPr>
        <w:t>polecania</w:t>
      </w:r>
      <w:r w:rsidR="00275AB6" w:rsidRPr="00DC2562">
        <w:rPr>
          <w:rFonts w:cs="Arial"/>
          <w:sz w:val="24"/>
          <w:szCs w:val="24"/>
        </w:rPr>
        <w:t xml:space="preserve"> </w:t>
      </w:r>
      <w:r w:rsidR="008F56DB" w:rsidRPr="00DC2562">
        <w:rPr>
          <w:rFonts w:cs="Arial"/>
          <w:sz w:val="24"/>
          <w:szCs w:val="24"/>
        </w:rPr>
        <w:t>swojego profilu konkretnym pracodawcom</w:t>
      </w:r>
      <w:r w:rsidR="0073270D" w:rsidRPr="00DC2562">
        <w:rPr>
          <w:rFonts w:cs="Arial"/>
          <w:sz w:val="24"/>
          <w:szCs w:val="24"/>
        </w:rPr>
        <w:t xml:space="preserve"> (np. obecnym czy byłym)</w:t>
      </w:r>
      <w:r w:rsidR="008F56DB" w:rsidRPr="00DC2562">
        <w:rPr>
          <w:rFonts w:cs="Arial"/>
          <w:sz w:val="24"/>
          <w:szCs w:val="24"/>
        </w:rPr>
        <w:t>. Dodatkowo, p</w:t>
      </w:r>
      <w:r w:rsidR="00275AB6" w:rsidRPr="00DC2562">
        <w:rPr>
          <w:rFonts w:cs="Arial"/>
          <w:sz w:val="24"/>
          <w:szCs w:val="24"/>
        </w:rPr>
        <w:t xml:space="preserve">o zalogowaniu do profilu, </w:t>
      </w:r>
      <w:r w:rsidR="008F56DB" w:rsidRPr="00DC2562">
        <w:rPr>
          <w:rFonts w:cs="Arial"/>
          <w:sz w:val="24"/>
          <w:szCs w:val="24"/>
        </w:rPr>
        <w:t>istnieje możliwość sprawdzenia</w:t>
      </w:r>
      <w:r w:rsidR="00275AB6" w:rsidRPr="00DC2562">
        <w:rPr>
          <w:rFonts w:cs="Arial"/>
          <w:sz w:val="24"/>
          <w:szCs w:val="24"/>
        </w:rPr>
        <w:t xml:space="preserve">, ilu pracodawców szuka obecnie kandydatów posiadających </w:t>
      </w:r>
      <w:r w:rsidR="002160D6" w:rsidRPr="00DC2562">
        <w:rPr>
          <w:rFonts w:cs="Arial"/>
          <w:sz w:val="24"/>
          <w:szCs w:val="24"/>
        </w:rPr>
        <w:t>podobne</w:t>
      </w:r>
      <w:r w:rsidR="00607268" w:rsidRPr="00DC2562">
        <w:rPr>
          <w:rFonts w:cs="Arial"/>
          <w:sz w:val="24"/>
          <w:szCs w:val="24"/>
        </w:rPr>
        <w:t xml:space="preserve"> do naszych</w:t>
      </w:r>
      <w:r w:rsidR="00275AB6" w:rsidRPr="00DC2562">
        <w:rPr>
          <w:rFonts w:cs="Arial"/>
          <w:sz w:val="24"/>
          <w:szCs w:val="24"/>
        </w:rPr>
        <w:t xml:space="preserve"> kompetencje</w:t>
      </w:r>
      <w:r w:rsidR="00CC0E32" w:rsidRPr="00DC2562">
        <w:rPr>
          <w:rFonts w:cs="Arial"/>
          <w:sz w:val="24"/>
          <w:szCs w:val="24"/>
        </w:rPr>
        <w:t xml:space="preserve">, co </w:t>
      </w:r>
      <w:r w:rsidR="00607268" w:rsidRPr="00DC2562">
        <w:rPr>
          <w:rFonts w:cs="Arial"/>
          <w:sz w:val="24"/>
          <w:szCs w:val="24"/>
        </w:rPr>
        <w:t>dodatkowo</w:t>
      </w:r>
      <w:r w:rsidR="00CC0E32" w:rsidRPr="00DC2562">
        <w:rPr>
          <w:rFonts w:cs="Arial"/>
          <w:sz w:val="24"/>
          <w:szCs w:val="24"/>
        </w:rPr>
        <w:t xml:space="preserve"> sprzyja </w:t>
      </w:r>
      <w:r w:rsidR="00DC2562">
        <w:rPr>
          <w:rFonts w:cs="Arial"/>
          <w:sz w:val="24"/>
          <w:szCs w:val="24"/>
        </w:rPr>
        <w:t xml:space="preserve">bycie </w:t>
      </w:r>
      <w:r w:rsidR="00CC0E32" w:rsidRPr="00DC2562">
        <w:rPr>
          <w:rFonts w:cs="Arial"/>
          <w:sz w:val="24"/>
          <w:szCs w:val="24"/>
        </w:rPr>
        <w:t xml:space="preserve">na </w:t>
      </w:r>
      <w:r w:rsidR="00607268" w:rsidRPr="00DC2562">
        <w:rPr>
          <w:rFonts w:cs="Arial"/>
          <w:sz w:val="24"/>
          <w:szCs w:val="24"/>
        </w:rPr>
        <w:t>bieżąco</w:t>
      </w:r>
      <w:r w:rsidR="00CC0E32" w:rsidRPr="00DC2562">
        <w:rPr>
          <w:rFonts w:cs="Arial"/>
          <w:sz w:val="24"/>
          <w:szCs w:val="24"/>
        </w:rPr>
        <w:t xml:space="preserve"> z rynkiem pracy. </w:t>
      </w:r>
    </w:p>
    <w:p w:rsidR="006727D6" w:rsidRDefault="006727D6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950C7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*</w:t>
      </w:r>
      <w:r w:rsidRPr="00C257DE">
        <w:rPr>
          <w:rFonts w:cs="Arial"/>
          <w:sz w:val="24"/>
          <w:szCs w:val="24"/>
        </w:rPr>
        <w:t xml:space="preserve">Wyniki badania motywacji zawodowych Polaków, zrealizowanego na zlecenie </w:t>
      </w:r>
      <w:r>
        <w:rPr>
          <w:rFonts w:cs="Arial"/>
          <w:sz w:val="24"/>
          <w:szCs w:val="24"/>
        </w:rPr>
        <w:t>Pracuj.pl</w:t>
      </w:r>
      <w:r w:rsidR="00C16FD5" w:rsidRPr="00C16FD5">
        <w:t xml:space="preserve"> </w:t>
      </w:r>
      <w:r w:rsidR="00C16FD5" w:rsidRPr="00C16FD5">
        <w:rPr>
          <w:rFonts w:cs="Arial"/>
          <w:sz w:val="24"/>
          <w:szCs w:val="24"/>
        </w:rPr>
        <w:t>przez TNS Polska</w:t>
      </w:r>
      <w:r>
        <w:rPr>
          <w:rFonts w:cs="Arial"/>
          <w:sz w:val="24"/>
          <w:szCs w:val="24"/>
        </w:rPr>
        <w:t>, na reprezentatywnej próbie 1000 aktywnych zawodowo Polaków.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950C7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C257DE">
        <w:rPr>
          <w:rFonts w:cs="Arial"/>
          <w:sz w:val="24"/>
          <w:szCs w:val="24"/>
        </w:rPr>
        <w:t xml:space="preserve">Powoływanie się na wyniki badania jest możliwe wyłącznie za podaniem źródła: </w:t>
      </w:r>
      <w:r w:rsidRPr="00C257DE">
        <w:rPr>
          <w:rFonts w:cs="Arial"/>
          <w:sz w:val="24"/>
          <w:szCs w:val="24"/>
        </w:rPr>
        <w:br/>
        <w:t xml:space="preserve">Raport Pracuj.pl „Wygoda kontra </w:t>
      </w:r>
      <w:r>
        <w:rPr>
          <w:rFonts w:cs="Arial"/>
          <w:sz w:val="24"/>
          <w:szCs w:val="24"/>
        </w:rPr>
        <w:t>r</w:t>
      </w:r>
      <w:r w:rsidRPr="00C257DE">
        <w:rPr>
          <w:rFonts w:cs="Arial"/>
          <w:sz w:val="24"/>
          <w:szCs w:val="24"/>
        </w:rPr>
        <w:t>ozwój”.</w:t>
      </w:r>
    </w:p>
    <w:p w:rsidR="00950C7F" w:rsidRDefault="00950C7F" w:rsidP="00FB3945">
      <w:pPr>
        <w:spacing w:after="0" w:line="300" w:lineRule="auto"/>
        <w:contextualSpacing/>
        <w:jc w:val="both"/>
        <w:rPr>
          <w:rFonts w:cs="Arial"/>
          <w:sz w:val="24"/>
          <w:szCs w:val="24"/>
        </w:rPr>
      </w:pPr>
    </w:p>
    <w:p w:rsidR="007F3588" w:rsidRPr="007F3588" w:rsidRDefault="007F3588" w:rsidP="00FB3945">
      <w:pPr>
        <w:spacing w:after="0" w:line="300" w:lineRule="auto"/>
        <w:contextualSpacing/>
        <w:jc w:val="both"/>
        <w:rPr>
          <w:rFonts w:cs="Arial"/>
          <w:color w:val="808080" w:themeColor="background1" w:themeShade="80"/>
          <w:sz w:val="24"/>
          <w:szCs w:val="24"/>
        </w:rPr>
      </w:pPr>
    </w:p>
    <w:p w:rsidR="007F3588" w:rsidRPr="007F3588" w:rsidRDefault="007F3588" w:rsidP="007F3588">
      <w:pPr>
        <w:spacing w:after="0" w:line="240" w:lineRule="auto"/>
        <w:jc w:val="center"/>
        <w:rPr>
          <w:color w:val="808080" w:themeColor="background1" w:themeShade="80"/>
        </w:rPr>
      </w:pPr>
      <w:r w:rsidRPr="007F3588">
        <w:rPr>
          <w:rFonts w:cs="Arial"/>
          <w:color w:val="808080" w:themeColor="background1" w:themeShade="80"/>
          <w:sz w:val="24"/>
          <w:szCs w:val="24"/>
        </w:rPr>
        <w:t>***</w:t>
      </w:r>
    </w:p>
    <w:p w:rsidR="007F3588" w:rsidRPr="007F3588" w:rsidRDefault="007F3588" w:rsidP="007F3588">
      <w:pPr>
        <w:spacing w:after="0" w:line="240" w:lineRule="auto"/>
        <w:jc w:val="both"/>
        <w:rPr>
          <w:color w:val="808080" w:themeColor="background1" w:themeShade="80"/>
        </w:rPr>
      </w:pPr>
    </w:p>
    <w:p w:rsidR="007F3588" w:rsidRPr="007F3588" w:rsidRDefault="00F43314" w:rsidP="007F3588">
      <w:pPr>
        <w:spacing w:after="0" w:line="240" w:lineRule="auto"/>
        <w:jc w:val="both"/>
        <w:rPr>
          <w:color w:val="808080" w:themeColor="background1" w:themeShade="80"/>
        </w:rPr>
      </w:pPr>
      <w:r w:rsidRPr="007F3588">
        <w:rPr>
          <w:b/>
          <w:color w:val="808080" w:themeColor="background1" w:themeShade="80"/>
        </w:rPr>
        <w:t>Pracuj.pl</w:t>
      </w:r>
      <w:r w:rsidRPr="007F3588">
        <w:rPr>
          <w:color w:val="808080" w:themeColor="background1" w:themeShade="80"/>
        </w:rPr>
        <w:t xml:space="preserve"> to wiodący polski serwis rekrutacyjny. Kandydatom dostarcza codziennie ponad 30 tysięcy oferty pracy od atrakcyjnych pracodawców, a także porady specjalistów dotyczące poszukiwania pracy, rozwoju kariery zawodowej oraz zdobywania dodatkowych kwalifikacji. Portal powstał w 2000 r. i należy do Grupy Pracuj, będącej właścicielem wiodących marek na rynku rekrutacji on-line w Polsce i na Ukrainie. </w:t>
      </w:r>
    </w:p>
    <w:p w:rsidR="007F3588" w:rsidRPr="007F3588" w:rsidRDefault="007F3588" w:rsidP="007F3588">
      <w:pPr>
        <w:spacing w:after="0" w:line="240" w:lineRule="auto"/>
        <w:jc w:val="both"/>
        <w:rPr>
          <w:color w:val="808080" w:themeColor="background1" w:themeShade="80"/>
        </w:rPr>
      </w:pPr>
    </w:p>
    <w:p w:rsidR="00E32110" w:rsidRPr="007F3588" w:rsidRDefault="00F43314" w:rsidP="007F3588">
      <w:pPr>
        <w:spacing w:after="0" w:line="240" w:lineRule="auto"/>
        <w:jc w:val="both"/>
      </w:pPr>
      <w:r w:rsidRPr="007F3588">
        <w:rPr>
          <w:color w:val="808080" w:themeColor="background1" w:themeShade="80"/>
        </w:rPr>
        <w:t>Więcej informacji na</w:t>
      </w:r>
      <w:r w:rsidRPr="007F3588">
        <w:t xml:space="preserve"> </w:t>
      </w:r>
      <w:hyperlink r:id="rId10" w:history="1">
        <w:r w:rsidR="007F3588" w:rsidRPr="00B1721C">
          <w:rPr>
            <w:rStyle w:val="Hipercze"/>
          </w:rPr>
          <w:t>www.pracuj.pl</w:t>
        </w:r>
      </w:hyperlink>
      <w:r w:rsidR="007F3588">
        <w:t xml:space="preserve"> </w:t>
      </w:r>
    </w:p>
    <w:sectPr w:rsidR="00E32110" w:rsidRPr="007F3588" w:rsidSect="005D68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95" w:rsidRDefault="00321495" w:rsidP="00843639">
      <w:pPr>
        <w:spacing w:after="0" w:line="240" w:lineRule="auto"/>
      </w:pPr>
      <w:r>
        <w:separator/>
      </w:r>
    </w:p>
  </w:endnote>
  <w:endnote w:type="continuationSeparator" w:id="0">
    <w:p w:rsidR="00321495" w:rsidRDefault="00321495" w:rsidP="008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95" w:rsidRDefault="00321495" w:rsidP="00843639">
      <w:pPr>
        <w:spacing w:after="0" w:line="240" w:lineRule="auto"/>
      </w:pPr>
      <w:r>
        <w:separator/>
      </w:r>
    </w:p>
  </w:footnote>
  <w:footnote w:type="continuationSeparator" w:id="0">
    <w:p w:rsidR="00321495" w:rsidRDefault="00321495" w:rsidP="0084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39" w:rsidRDefault="008436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-909320</wp:posOffset>
          </wp:positionH>
          <wp:positionV relativeFrom="margin">
            <wp:posOffset>-871220</wp:posOffset>
          </wp:positionV>
          <wp:extent cx="6800850" cy="1076325"/>
          <wp:effectExtent l="19050" t="0" r="0" b="0"/>
          <wp:wrapSquare wrapText="bothSides"/>
          <wp:docPr id="3" name="Obraz 2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0763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90"/>
    <w:multiLevelType w:val="hybridMultilevel"/>
    <w:tmpl w:val="8C38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D17"/>
    <w:multiLevelType w:val="hybridMultilevel"/>
    <w:tmpl w:val="9B5C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23A"/>
    <w:multiLevelType w:val="hybridMultilevel"/>
    <w:tmpl w:val="924C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88B"/>
    <w:multiLevelType w:val="hybridMultilevel"/>
    <w:tmpl w:val="87FE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C67"/>
    <w:multiLevelType w:val="hybridMultilevel"/>
    <w:tmpl w:val="EEE0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878"/>
    <w:multiLevelType w:val="hybridMultilevel"/>
    <w:tmpl w:val="1882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603E"/>
    <w:multiLevelType w:val="hybridMultilevel"/>
    <w:tmpl w:val="E854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0457"/>
    <w:multiLevelType w:val="hybridMultilevel"/>
    <w:tmpl w:val="34EA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3B90"/>
    <w:multiLevelType w:val="hybridMultilevel"/>
    <w:tmpl w:val="AB1C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08AB"/>
    <w:multiLevelType w:val="hybridMultilevel"/>
    <w:tmpl w:val="12E0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06A"/>
    <w:multiLevelType w:val="hybridMultilevel"/>
    <w:tmpl w:val="5028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752F"/>
    <w:multiLevelType w:val="hybridMultilevel"/>
    <w:tmpl w:val="BA8A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7B3"/>
    <w:multiLevelType w:val="hybridMultilevel"/>
    <w:tmpl w:val="9744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42353"/>
    <w:multiLevelType w:val="hybridMultilevel"/>
    <w:tmpl w:val="DC66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E6A10"/>
    <w:multiLevelType w:val="hybridMultilevel"/>
    <w:tmpl w:val="505E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3FC9"/>
    <w:multiLevelType w:val="hybridMultilevel"/>
    <w:tmpl w:val="D642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600B"/>
    <w:multiLevelType w:val="hybridMultilevel"/>
    <w:tmpl w:val="A736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A7D"/>
    <w:multiLevelType w:val="hybridMultilevel"/>
    <w:tmpl w:val="8D5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72F62"/>
    <w:multiLevelType w:val="hybridMultilevel"/>
    <w:tmpl w:val="E848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C"/>
    <w:rsid w:val="00000CB0"/>
    <w:rsid w:val="00006F3C"/>
    <w:rsid w:val="000161DE"/>
    <w:rsid w:val="00017E1C"/>
    <w:rsid w:val="00027E4D"/>
    <w:rsid w:val="0003055D"/>
    <w:rsid w:val="00032696"/>
    <w:rsid w:val="00033629"/>
    <w:rsid w:val="00071C4C"/>
    <w:rsid w:val="00076D7E"/>
    <w:rsid w:val="00080D91"/>
    <w:rsid w:val="00091CCD"/>
    <w:rsid w:val="00093F93"/>
    <w:rsid w:val="000A1015"/>
    <w:rsid w:val="000C42C1"/>
    <w:rsid w:val="000E78EC"/>
    <w:rsid w:val="000F46DF"/>
    <w:rsid w:val="00100619"/>
    <w:rsid w:val="0011038F"/>
    <w:rsid w:val="00112F1E"/>
    <w:rsid w:val="001171A8"/>
    <w:rsid w:val="00121BD9"/>
    <w:rsid w:val="00125689"/>
    <w:rsid w:val="00130AB6"/>
    <w:rsid w:val="00132E51"/>
    <w:rsid w:val="00141B43"/>
    <w:rsid w:val="00147FEA"/>
    <w:rsid w:val="001535BE"/>
    <w:rsid w:val="00154762"/>
    <w:rsid w:val="00161EDA"/>
    <w:rsid w:val="001733D0"/>
    <w:rsid w:val="00182E3E"/>
    <w:rsid w:val="001A0673"/>
    <w:rsid w:val="001B447D"/>
    <w:rsid w:val="001B5287"/>
    <w:rsid w:val="001C7311"/>
    <w:rsid w:val="001C7967"/>
    <w:rsid w:val="001D18EB"/>
    <w:rsid w:val="001E14A4"/>
    <w:rsid w:val="001E67A0"/>
    <w:rsid w:val="001F3459"/>
    <w:rsid w:val="002160D6"/>
    <w:rsid w:val="00217A83"/>
    <w:rsid w:val="00220ED9"/>
    <w:rsid w:val="0024540E"/>
    <w:rsid w:val="00245974"/>
    <w:rsid w:val="00275AB6"/>
    <w:rsid w:val="0028233C"/>
    <w:rsid w:val="002B6A73"/>
    <w:rsid w:val="002B7BE6"/>
    <w:rsid w:val="002C66C0"/>
    <w:rsid w:val="002C674B"/>
    <w:rsid w:val="002D2882"/>
    <w:rsid w:val="002D2920"/>
    <w:rsid w:val="002D552F"/>
    <w:rsid w:val="002D7E66"/>
    <w:rsid w:val="002E0FD5"/>
    <w:rsid w:val="002F0CD1"/>
    <w:rsid w:val="00316FB9"/>
    <w:rsid w:val="00321495"/>
    <w:rsid w:val="00327FA7"/>
    <w:rsid w:val="00385102"/>
    <w:rsid w:val="00386A1F"/>
    <w:rsid w:val="003877E8"/>
    <w:rsid w:val="003A15ED"/>
    <w:rsid w:val="003D0ABA"/>
    <w:rsid w:val="003D44FE"/>
    <w:rsid w:val="003F0F1F"/>
    <w:rsid w:val="003F1AD6"/>
    <w:rsid w:val="00403192"/>
    <w:rsid w:val="00404239"/>
    <w:rsid w:val="004119FB"/>
    <w:rsid w:val="00420E5D"/>
    <w:rsid w:val="00422451"/>
    <w:rsid w:val="00426499"/>
    <w:rsid w:val="00430AED"/>
    <w:rsid w:val="00432EAB"/>
    <w:rsid w:val="0045198E"/>
    <w:rsid w:val="004608E1"/>
    <w:rsid w:val="004626F0"/>
    <w:rsid w:val="00477113"/>
    <w:rsid w:val="00485619"/>
    <w:rsid w:val="00486EF7"/>
    <w:rsid w:val="004A3C39"/>
    <w:rsid w:val="004A7E6F"/>
    <w:rsid w:val="004B660C"/>
    <w:rsid w:val="004C628B"/>
    <w:rsid w:val="004C779E"/>
    <w:rsid w:val="004D2C23"/>
    <w:rsid w:val="004D2F05"/>
    <w:rsid w:val="004E00B6"/>
    <w:rsid w:val="00522046"/>
    <w:rsid w:val="00542604"/>
    <w:rsid w:val="00546A7E"/>
    <w:rsid w:val="00571D05"/>
    <w:rsid w:val="00574ED3"/>
    <w:rsid w:val="0059184B"/>
    <w:rsid w:val="00591D2F"/>
    <w:rsid w:val="0059237C"/>
    <w:rsid w:val="00592E68"/>
    <w:rsid w:val="005A0D17"/>
    <w:rsid w:val="005D3B93"/>
    <w:rsid w:val="005D685F"/>
    <w:rsid w:val="005E3609"/>
    <w:rsid w:val="005E7499"/>
    <w:rsid w:val="005F2611"/>
    <w:rsid w:val="00607268"/>
    <w:rsid w:val="006142D5"/>
    <w:rsid w:val="006163FC"/>
    <w:rsid w:val="00620FD1"/>
    <w:rsid w:val="00622F1E"/>
    <w:rsid w:val="0063022A"/>
    <w:rsid w:val="00631ABC"/>
    <w:rsid w:val="006438F9"/>
    <w:rsid w:val="00652E9F"/>
    <w:rsid w:val="00654305"/>
    <w:rsid w:val="006727D6"/>
    <w:rsid w:val="00694974"/>
    <w:rsid w:val="006D0809"/>
    <w:rsid w:val="006D0CC4"/>
    <w:rsid w:val="006D752F"/>
    <w:rsid w:val="006E40F2"/>
    <w:rsid w:val="006F609A"/>
    <w:rsid w:val="00710F54"/>
    <w:rsid w:val="00721908"/>
    <w:rsid w:val="00725EA0"/>
    <w:rsid w:val="0073270D"/>
    <w:rsid w:val="00736B01"/>
    <w:rsid w:val="00742440"/>
    <w:rsid w:val="00745C97"/>
    <w:rsid w:val="00745C9A"/>
    <w:rsid w:val="007473E4"/>
    <w:rsid w:val="00765509"/>
    <w:rsid w:val="00775996"/>
    <w:rsid w:val="00786F63"/>
    <w:rsid w:val="00790D87"/>
    <w:rsid w:val="007A4BD3"/>
    <w:rsid w:val="007C72E7"/>
    <w:rsid w:val="007E018B"/>
    <w:rsid w:val="007E2E6A"/>
    <w:rsid w:val="007F3588"/>
    <w:rsid w:val="00805D6C"/>
    <w:rsid w:val="00812DD6"/>
    <w:rsid w:val="0081396D"/>
    <w:rsid w:val="00817FB4"/>
    <w:rsid w:val="00843639"/>
    <w:rsid w:val="0088092E"/>
    <w:rsid w:val="008A2ED4"/>
    <w:rsid w:val="008A53C2"/>
    <w:rsid w:val="008B543B"/>
    <w:rsid w:val="008C1706"/>
    <w:rsid w:val="008C78B3"/>
    <w:rsid w:val="008D144B"/>
    <w:rsid w:val="008D25B6"/>
    <w:rsid w:val="008E3921"/>
    <w:rsid w:val="008F56DB"/>
    <w:rsid w:val="00906198"/>
    <w:rsid w:val="00922294"/>
    <w:rsid w:val="00925BA0"/>
    <w:rsid w:val="00927536"/>
    <w:rsid w:val="00950C7F"/>
    <w:rsid w:val="009547AA"/>
    <w:rsid w:val="0096030F"/>
    <w:rsid w:val="00981705"/>
    <w:rsid w:val="00981890"/>
    <w:rsid w:val="009840B9"/>
    <w:rsid w:val="00986036"/>
    <w:rsid w:val="00994D06"/>
    <w:rsid w:val="00996537"/>
    <w:rsid w:val="00996E74"/>
    <w:rsid w:val="009B1CF9"/>
    <w:rsid w:val="009B27C9"/>
    <w:rsid w:val="009C6F3F"/>
    <w:rsid w:val="009D371F"/>
    <w:rsid w:val="009D459C"/>
    <w:rsid w:val="009F0667"/>
    <w:rsid w:val="00A01E11"/>
    <w:rsid w:val="00A22105"/>
    <w:rsid w:val="00A240D2"/>
    <w:rsid w:val="00A35E64"/>
    <w:rsid w:val="00A37675"/>
    <w:rsid w:val="00A37F27"/>
    <w:rsid w:val="00A45789"/>
    <w:rsid w:val="00A64203"/>
    <w:rsid w:val="00A7392C"/>
    <w:rsid w:val="00A9214E"/>
    <w:rsid w:val="00A95BCA"/>
    <w:rsid w:val="00AC03C4"/>
    <w:rsid w:val="00AC641E"/>
    <w:rsid w:val="00AF5C34"/>
    <w:rsid w:val="00B01B68"/>
    <w:rsid w:val="00B209FD"/>
    <w:rsid w:val="00B40B1A"/>
    <w:rsid w:val="00B42E3E"/>
    <w:rsid w:val="00B4367D"/>
    <w:rsid w:val="00B440C7"/>
    <w:rsid w:val="00B50189"/>
    <w:rsid w:val="00B54D49"/>
    <w:rsid w:val="00B626C3"/>
    <w:rsid w:val="00B6335C"/>
    <w:rsid w:val="00B65BA1"/>
    <w:rsid w:val="00B7576F"/>
    <w:rsid w:val="00B76EAF"/>
    <w:rsid w:val="00B84929"/>
    <w:rsid w:val="00B95FFD"/>
    <w:rsid w:val="00B97689"/>
    <w:rsid w:val="00BA7F0B"/>
    <w:rsid w:val="00BC4A58"/>
    <w:rsid w:val="00BD4A9A"/>
    <w:rsid w:val="00BE074F"/>
    <w:rsid w:val="00BE73E8"/>
    <w:rsid w:val="00BF4CC1"/>
    <w:rsid w:val="00BF4E4E"/>
    <w:rsid w:val="00BF7FFC"/>
    <w:rsid w:val="00C03DCA"/>
    <w:rsid w:val="00C045AA"/>
    <w:rsid w:val="00C16FD5"/>
    <w:rsid w:val="00C257DE"/>
    <w:rsid w:val="00C361D8"/>
    <w:rsid w:val="00C36814"/>
    <w:rsid w:val="00C46403"/>
    <w:rsid w:val="00C5612F"/>
    <w:rsid w:val="00C80FAF"/>
    <w:rsid w:val="00C84015"/>
    <w:rsid w:val="00C92505"/>
    <w:rsid w:val="00C9477C"/>
    <w:rsid w:val="00CA1E64"/>
    <w:rsid w:val="00CA3C30"/>
    <w:rsid w:val="00CA6034"/>
    <w:rsid w:val="00CC08DA"/>
    <w:rsid w:val="00CC0E32"/>
    <w:rsid w:val="00CC6AC5"/>
    <w:rsid w:val="00CD1B85"/>
    <w:rsid w:val="00CD3AB5"/>
    <w:rsid w:val="00CD5B60"/>
    <w:rsid w:val="00CD7819"/>
    <w:rsid w:val="00CF60E9"/>
    <w:rsid w:val="00D07D57"/>
    <w:rsid w:val="00D16CC6"/>
    <w:rsid w:val="00D22F58"/>
    <w:rsid w:val="00D358FE"/>
    <w:rsid w:val="00D41E6C"/>
    <w:rsid w:val="00D45E08"/>
    <w:rsid w:val="00D55884"/>
    <w:rsid w:val="00D55AEC"/>
    <w:rsid w:val="00D72CE5"/>
    <w:rsid w:val="00D74F89"/>
    <w:rsid w:val="00D76C83"/>
    <w:rsid w:val="00D84845"/>
    <w:rsid w:val="00D958A2"/>
    <w:rsid w:val="00D974D0"/>
    <w:rsid w:val="00DB1C47"/>
    <w:rsid w:val="00DC043B"/>
    <w:rsid w:val="00DC2562"/>
    <w:rsid w:val="00DC6DA1"/>
    <w:rsid w:val="00DD4CEF"/>
    <w:rsid w:val="00DE2FF6"/>
    <w:rsid w:val="00E07FCC"/>
    <w:rsid w:val="00E103BD"/>
    <w:rsid w:val="00E13D79"/>
    <w:rsid w:val="00E21037"/>
    <w:rsid w:val="00E26FD9"/>
    <w:rsid w:val="00E304F9"/>
    <w:rsid w:val="00E32110"/>
    <w:rsid w:val="00E325D9"/>
    <w:rsid w:val="00E33A5E"/>
    <w:rsid w:val="00E354F5"/>
    <w:rsid w:val="00E4213F"/>
    <w:rsid w:val="00E50ABD"/>
    <w:rsid w:val="00E57032"/>
    <w:rsid w:val="00E651AD"/>
    <w:rsid w:val="00E73221"/>
    <w:rsid w:val="00E75223"/>
    <w:rsid w:val="00E870BB"/>
    <w:rsid w:val="00EA7C09"/>
    <w:rsid w:val="00EB5A89"/>
    <w:rsid w:val="00EB60E5"/>
    <w:rsid w:val="00F076E5"/>
    <w:rsid w:val="00F2268E"/>
    <w:rsid w:val="00F42A1B"/>
    <w:rsid w:val="00F42AE3"/>
    <w:rsid w:val="00F43314"/>
    <w:rsid w:val="00F67C22"/>
    <w:rsid w:val="00F7592F"/>
    <w:rsid w:val="00F82C14"/>
    <w:rsid w:val="00F87EC1"/>
    <w:rsid w:val="00F92BF3"/>
    <w:rsid w:val="00FA225A"/>
    <w:rsid w:val="00FA6969"/>
    <w:rsid w:val="00FA7AB8"/>
    <w:rsid w:val="00FB3945"/>
    <w:rsid w:val="00FB3A06"/>
    <w:rsid w:val="00F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98A21-65B6-49C3-B95A-684DECBE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9F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03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03D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C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639"/>
  </w:style>
  <w:style w:type="paragraph" w:styleId="Stopka">
    <w:name w:val="footer"/>
    <w:basedOn w:val="Normalny"/>
    <w:link w:val="StopkaZnak"/>
    <w:uiPriority w:val="99"/>
    <w:semiHidden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639"/>
  </w:style>
  <w:style w:type="character" w:styleId="Hipercze">
    <w:name w:val="Hyperlink"/>
    <w:basedOn w:val="Domylnaczcionkaakapitu"/>
    <w:uiPriority w:val="99"/>
    <w:unhideWhenUsed/>
    <w:rsid w:val="007F3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cuj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 algn="l">
              <a:defRPr sz="1200" i="1"/>
            </a:pPr>
            <a:r>
              <a:rPr lang="pl-PL" sz="1200" i="1"/>
              <a:t>Czy w ciągu ostatniego roku rozwinął(ęła) się Pan(i) zawodowo, zdobył(a) nowe umiejętności czy podniósł(osła) swoje kwalifikacje?</a:t>
            </a:r>
          </a:p>
        </c:rich>
      </c:tx>
      <c:layout>
        <c:manualLayout>
          <c:xMode val="edge"/>
          <c:yMode val="edge"/>
          <c:x val="3.8466389617964489E-2"/>
          <c:y val="2.3809523809523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18-29 lat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0.85000000000000064</c:v>
                </c:pt>
                <c:pt idx="1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50-59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0.44000000000000039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09856"/>
        <c:axId val="211510416"/>
      </c:barChart>
      <c:catAx>
        <c:axId val="211509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1510416"/>
        <c:crosses val="autoZero"/>
        <c:auto val="1"/>
        <c:lblAlgn val="ctr"/>
        <c:lblOffset val="100"/>
        <c:noMultiLvlLbl val="0"/>
      </c:catAx>
      <c:valAx>
        <c:axId val="2115104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50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pl-PL" sz="1200" i="1"/>
              <a:t>Czy w ciągu ostatnich trzech lat </a:t>
            </a:r>
            <a:r>
              <a:rPr lang="pl-PL" sz="1200" i="1" baseline="0"/>
              <a:t>awansował(a) Pan(i) i otrzymał(a) podwyżkę wynagrodzenia? </a:t>
            </a:r>
            <a:endParaRPr lang="pl-PL" sz="1200" i="1"/>
          </a:p>
        </c:rich>
      </c:tx>
      <c:layout>
        <c:manualLayout>
          <c:xMode val="edge"/>
          <c:yMode val="edge"/>
          <c:x val="1.706583552055993E-2"/>
          <c:y val="3.174603174603174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18-29 lat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Awansowałem(am)</c:v>
                </c:pt>
                <c:pt idx="1">
                  <c:v>Otrzymałem(am) podwyżkę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0.49000000000000032</c:v>
                </c:pt>
                <c:pt idx="1">
                  <c:v>0.69000000000000061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50-59 lat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Awansowałem(am)</c:v>
                </c:pt>
                <c:pt idx="1">
                  <c:v>Otrzymałem(am) podwyżkę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0.2</c:v>
                </c:pt>
                <c:pt idx="1">
                  <c:v>0.47000000000000008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93568"/>
        <c:axId val="213894128"/>
      </c:barChart>
      <c:catAx>
        <c:axId val="213893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894128"/>
        <c:crosses val="autoZero"/>
        <c:auto val="1"/>
        <c:lblAlgn val="ctr"/>
        <c:lblOffset val="100"/>
        <c:noMultiLvlLbl val="0"/>
      </c:catAx>
      <c:valAx>
        <c:axId val="2138941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389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4EF9-343C-4A3A-B36F-B9F7E2CA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 Agencja Reklamowa Sp. z o.o.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Sokołowska</dc:creator>
  <cp:lastModifiedBy>Anna Częścik</cp:lastModifiedBy>
  <cp:revision>3</cp:revision>
  <cp:lastPrinted>2015-10-13T13:34:00Z</cp:lastPrinted>
  <dcterms:created xsi:type="dcterms:W3CDTF">2015-11-09T11:51:00Z</dcterms:created>
  <dcterms:modified xsi:type="dcterms:W3CDTF">2015-11-09T12:00:00Z</dcterms:modified>
</cp:coreProperties>
</file>