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53" w:rsidRDefault="005C2953" w:rsidP="006C2EA1">
      <w:pPr>
        <w:jc w:val="both"/>
        <w:rPr>
          <w:b/>
        </w:rPr>
      </w:pPr>
    </w:p>
    <w:p w:rsidR="006C2EA1" w:rsidRPr="005C2953" w:rsidRDefault="006C2EA1" w:rsidP="006C2EA1">
      <w:pPr>
        <w:jc w:val="both"/>
        <w:rPr>
          <w:b/>
          <w:sz w:val="28"/>
          <w:szCs w:val="28"/>
        </w:rPr>
      </w:pPr>
      <w:r w:rsidRPr="005C2953">
        <w:rPr>
          <w:b/>
          <w:sz w:val="28"/>
          <w:szCs w:val="28"/>
        </w:rPr>
        <w:t xml:space="preserve">Soczewki </w:t>
      </w:r>
      <w:proofErr w:type="spellStart"/>
      <w:r w:rsidRPr="005C2953">
        <w:rPr>
          <w:b/>
          <w:sz w:val="28"/>
          <w:szCs w:val="28"/>
        </w:rPr>
        <w:t>asferyczne</w:t>
      </w:r>
      <w:proofErr w:type="spellEnd"/>
      <w:r w:rsidRPr="005C2953">
        <w:rPr>
          <w:b/>
          <w:sz w:val="28"/>
          <w:szCs w:val="28"/>
        </w:rPr>
        <w:t>. Skuteczne w leczeniu zaćmy i innych wad wzroku</w:t>
      </w:r>
    </w:p>
    <w:p w:rsidR="006C2EA1" w:rsidRDefault="006C2EA1" w:rsidP="006C2EA1">
      <w:pPr>
        <w:jc w:val="both"/>
        <w:rPr>
          <w:b/>
        </w:rPr>
      </w:pPr>
      <w:r w:rsidRPr="00984AA7">
        <w:rPr>
          <w:b/>
        </w:rPr>
        <w:t xml:space="preserve">Od lat w Polsce w </w:t>
      </w:r>
      <w:r>
        <w:rPr>
          <w:b/>
        </w:rPr>
        <w:t xml:space="preserve">refundowanym przez NFZ </w:t>
      </w:r>
      <w:r w:rsidRPr="00984AA7">
        <w:rPr>
          <w:b/>
        </w:rPr>
        <w:t xml:space="preserve">operacyjnym leczeniu </w:t>
      </w:r>
      <w:r>
        <w:rPr>
          <w:b/>
        </w:rPr>
        <w:t>zaćmy</w:t>
      </w:r>
      <w:r w:rsidRPr="00984AA7">
        <w:rPr>
          <w:b/>
        </w:rPr>
        <w:t xml:space="preserve"> </w:t>
      </w:r>
      <w:r>
        <w:rPr>
          <w:b/>
        </w:rPr>
        <w:t xml:space="preserve">powszechnie </w:t>
      </w:r>
      <w:r w:rsidRPr="00984AA7">
        <w:rPr>
          <w:b/>
        </w:rPr>
        <w:t xml:space="preserve">stosuje się soczewki sferyczne. Na Zachodzie standardem jest </w:t>
      </w:r>
      <w:r>
        <w:rPr>
          <w:b/>
        </w:rPr>
        <w:t xml:space="preserve">już </w:t>
      </w:r>
      <w:r w:rsidRPr="00984AA7">
        <w:rPr>
          <w:b/>
        </w:rPr>
        <w:t xml:space="preserve">jednak operowanie pacjentów z użyciem soczewek </w:t>
      </w:r>
      <w:proofErr w:type="spellStart"/>
      <w:r w:rsidRPr="00984AA7">
        <w:rPr>
          <w:b/>
        </w:rPr>
        <w:t>asferycznych</w:t>
      </w:r>
      <w:proofErr w:type="spellEnd"/>
      <w:r w:rsidRPr="00984AA7">
        <w:rPr>
          <w:b/>
        </w:rPr>
        <w:t xml:space="preserve">. </w:t>
      </w:r>
      <w:r>
        <w:rPr>
          <w:b/>
        </w:rPr>
        <w:t>To tylko moda czy faktycznie ten model implantów wewnątrzgałkowych jest lepszym rozwiązaniem dla osób z kataraktą?</w:t>
      </w:r>
    </w:p>
    <w:p w:rsidR="006C2EA1" w:rsidRDefault="006C2EA1" w:rsidP="006C2EA1">
      <w:pPr>
        <w:jc w:val="both"/>
      </w:pPr>
      <w:r>
        <w:t xml:space="preserve">W okulistyce, tak jak i wielu innych dziedzinach, technologia wciąż idzie do przodu. I to nie tylko pod kątem wykorzystywanego w produkcji soczewek wewnątrzgałkowych bezpiecznego dla oka materiału, lecz przede wszystkim pod względem ich kształtu i właściwości, a w efekcie – zwiększenia skuteczności leczenia. </w:t>
      </w:r>
    </w:p>
    <w:p w:rsidR="006C2EA1" w:rsidRDefault="006C2EA1" w:rsidP="006C2EA1">
      <w:pPr>
        <w:jc w:val="both"/>
      </w:pPr>
      <w:r>
        <w:t xml:space="preserve">Jednym z takich nowoczesnych produktów jest soczewka </w:t>
      </w:r>
      <w:proofErr w:type="spellStart"/>
      <w:r>
        <w:t>asferyczna</w:t>
      </w:r>
      <w:proofErr w:type="spellEnd"/>
      <w:r>
        <w:t>, powszechnie już stosowana w klinikach i szpitalach okulistycznych na Zachodzie w leczeniu katarakty. Wyparły one całkowicie soczewki sferyczne – co prawda dobrze tolerowane przez oko, ale jednak nieidealne pod kątem np. pojawiających się po ich wszczepieniu w polu widzenia pacjenta zniekształceń widzianego obrazu, tzw. aberracji sferycznych.</w:t>
      </w:r>
    </w:p>
    <w:tbl>
      <w:tblPr>
        <w:tblStyle w:val="Tabela-Siatka"/>
        <w:tblW w:w="0" w:type="auto"/>
        <w:tblLook w:val="04A0" w:firstRow="1" w:lastRow="0" w:firstColumn="1" w:lastColumn="0" w:noHBand="0" w:noVBand="1"/>
      </w:tblPr>
      <w:tblGrid>
        <w:gridCol w:w="9062"/>
      </w:tblGrid>
      <w:tr w:rsidR="006C2EA1" w:rsidTr="006C2EA1">
        <w:tc>
          <w:tcPr>
            <w:tcW w:w="9062" w:type="dxa"/>
          </w:tcPr>
          <w:p w:rsidR="006C2EA1" w:rsidRPr="006C2EA1" w:rsidRDefault="006C2EA1" w:rsidP="006C2EA1">
            <w:pPr>
              <w:jc w:val="both"/>
              <w:rPr>
                <w:b/>
              </w:rPr>
            </w:pPr>
            <w:r w:rsidRPr="006C2EA1">
              <w:rPr>
                <w:b/>
              </w:rPr>
              <w:t>Czym się objawia aberracja sferyczna?</w:t>
            </w:r>
          </w:p>
          <w:p w:rsidR="006C2EA1" w:rsidRPr="006C2EA1" w:rsidRDefault="006C2EA1" w:rsidP="006C2EA1">
            <w:pPr>
              <w:jc w:val="both"/>
            </w:pPr>
            <w:r w:rsidRPr="006C2EA1">
              <w:t xml:space="preserve">Aberracja sferyczna to nic innego jak gorsza jakość widzenia (obraz zamazany, o kiepskiej ostrości) na skutek niewłaściwego odbioru przez oko padających na nie promieni słonecznych. Zjawisko to niwelują właściwie dobrane soczewki (np. soczewki </w:t>
            </w:r>
            <w:proofErr w:type="spellStart"/>
            <w:r w:rsidRPr="006C2EA1">
              <w:t>asferyczne</w:t>
            </w:r>
            <w:proofErr w:type="spellEnd"/>
            <w:r w:rsidRPr="006C2EA1">
              <w:t xml:space="preserve"> wewnątrzgałkowe wszczepiane podczas zabiegu usunięcia zaćmy). Korygują one aberrację związaną z budową oka, polepszając tym samym kontrast widzianego obrazu, jak również dostrzeganie wszystkich jego szczegółów.</w:t>
            </w:r>
          </w:p>
        </w:tc>
      </w:tr>
    </w:tbl>
    <w:p w:rsidR="006C2EA1" w:rsidRDefault="006C2EA1" w:rsidP="006C2EA1">
      <w:pPr>
        <w:jc w:val="both"/>
        <w:rPr>
          <w:b/>
        </w:rPr>
      </w:pPr>
    </w:p>
    <w:p w:rsidR="006C2EA1" w:rsidRPr="00F72C99" w:rsidRDefault="006C2EA1" w:rsidP="006C2EA1">
      <w:pPr>
        <w:jc w:val="both"/>
        <w:rPr>
          <w:b/>
        </w:rPr>
      </w:pPr>
      <w:r w:rsidRPr="00F72C99">
        <w:rPr>
          <w:b/>
        </w:rPr>
        <w:t xml:space="preserve">Soczewka </w:t>
      </w:r>
      <w:proofErr w:type="spellStart"/>
      <w:r w:rsidRPr="00F72C99">
        <w:rPr>
          <w:b/>
        </w:rPr>
        <w:t>asferyczna</w:t>
      </w:r>
      <w:proofErr w:type="spellEnd"/>
      <w:r w:rsidRPr="00F72C99">
        <w:rPr>
          <w:b/>
        </w:rPr>
        <w:t xml:space="preserve"> kontra zaćma</w:t>
      </w:r>
    </w:p>
    <w:p w:rsidR="006C2EA1" w:rsidRDefault="006C2EA1" w:rsidP="006C2EA1">
      <w:pPr>
        <w:jc w:val="both"/>
      </w:pPr>
      <w:r>
        <w:t xml:space="preserve">W leczeniu zaćmy najlepsze efekty daje dziś wszczepienie soczewki </w:t>
      </w:r>
      <w:proofErr w:type="spellStart"/>
      <w:r>
        <w:t>asferycznej</w:t>
      </w:r>
      <w:proofErr w:type="spellEnd"/>
      <w:r>
        <w:t>. Z racji tego, że gałka oka ludzkiego nie jest idealną kulą, to również implant ma „niedoskonały” kształt elipsoidy. Ma to jednak ogromne przełożenie na moc optyczną takiej soczewki, która dzięki takiej budowie jest identyczna w każdym miejscu jej powierzchni. Dodatkowo pozwala ona leczyć wady wzroku w przedziale od minus do plus 25 dioptrii, co tylko potwierdza jej wszechstronność w kwestii korekcji wszelkich problemów z tym organem.</w:t>
      </w:r>
    </w:p>
    <w:p w:rsidR="00164940" w:rsidRDefault="00164940" w:rsidP="006C2EA1">
      <w:pPr>
        <w:jc w:val="both"/>
      </w:pPr>
    </w:p>
    <w:p w:rsidR="00164940" w:rsidRDefault="00164940" w:rsidP="006C2EA1">
      <w:pPr>
        <w:jc w:val="both"/>
      </w:pPr>
    </w:p>
    <w:p w:rsidR="00164940" w:rsidRDefault="00164940" w:rsidP="006C2EA1">
      <w:pPr>
        <w:jc w:val="both"/>
      </w:pPr>
    </w:p>
    <w:p w:rsidR="00164940" w:rsidRDefault="00164940" w:rsidP="006C2EA1">
      <w:pPr>
        <w:jc w:val="both"/>
      </w:pPr>
    </w:p>
    <w:tbl>
      <w:tblPr>
        <w:tblStyle w:val="Tabela-Siatka"/>
        <w:tblW w:w="0" w:type="auto"/>
        <w:tblLook w:val="04A0" w:firstRow="1" w:lastRow="0" w:firstColumn="1" w:lastColumn="0" w:noHBand="0" w:noVBand="1"/>
      </w:tblPr>
      <w:tblGrid>
        <w:gridCol w:w="9062"/>
      </w:tblGrid>
      <w:tr w:rsidR="006C2EA1" w:rsidTr="006C2EA1">
        <w:tc>
          <w:tcPr>
            <w:tcW w:w="9062" w:type="dxa"/>
          </w:tcPr>
          <w:p w:rsidR="006C2EA1" w:rsidRPr="006C2EA1" w:rsidRDefault="006C2EA1" w:rsidP="006C2EA1">
            <w:pPr>
              <w:jc w:val="both"/>
              <w:rPr>
                <w:b/>
              </w:rPr>
            </w:pPr>
            <w:r w:rsidRPr="006C2EA1">
              <w:rPr>
                <w:b/>
              </w:rPr>
              <w:lastRenderedPageBreak/>
              <w:t xml:space="preserve">Kompleksowość leczenia wad wzroku soczewkami </w:t>
            </w:r>
            <w:proofErr w:type="spellStart"/>
            <w:r w:rsidRPr="006C2EA1">
              <w:rPr>
                <w:b/>
              </w:rPr>
              <w:t>asferycznymi</w:t>
            </w:r>
            <w:proofErr w:type="spellEnd"/>
          </w:p>
          <w:p w:rsidR="006C2EA1" w:rsidRDefault="006C2EA1" w:rsidP="006C2EA1">
            <w:pPr>
              <w:jc w:val="both"/>
            </w:pPr>
            <w:r w:rsidRPr="006C2EA1">
              <w:t xml:space="preserve">Soczewki wewnątrzgałkowe sferyczne jednoogniskowe mają tę zaletę, że po ich wszczepieniu pozwalają pacjentom normalnie widzieć do dali. Dużym jednak minusem jest to, że utrudniają widzenie z bliska – trzeba więc dodatkowo sięgnąć po okulary, chcąc np. przeczytać książkę. Natomiast soczewki jednoogniskowe </w:t>
            </w:r>
            <w:proofErr w:type="spellStart"/>
            <w:r w:rsidRPr="006C2EA1">
              <w:t>asferyczne</w:t>
            </w:r>
            <w:proofErr w:type="spellEnd"/>
            <w:r w:rsidRPr="006C2EA1">
              <w:t xml:space="preserve"> w ogóle eliminują konieczność noszenia okularów. Dlatego warto wybierać te soczewki, które po operacji zaćmy ułatwią choremu życie „kompleksowo”. Dopóki jednak NFZ nie będzie ich refundował, polscy pacjenci będą zmuszeni korzystać z pomocy europejskich specjalistów, którzy już powszechnie stosują soczewki </w:t>
            </w:r>
            <w:proofErr w:type="spellStart"/>
            <w:r w:rsidRPr="006C2EA1">
              <w:t>asferyczne</w:t>
            </w:r>
            <w:proofErr w:type="spellEnd"/>
            <w:r w:rsidRPr="006C2EA1">
              <w:t xml:space="preserve"> podczas zabiegów wykonywanych za granicą.</w:t>
            </w:r>
          </w:p>
        </w:tc>
      </w:tr>
    </w:tbl>
    <w:p w:rsidR="00164940" w:rsidRDefault="00164940" w:rsidP="006C2EA1">
      <w:pPr>
        <w:jc w:val="both"/>
      </w:pPr>
    </w:p>
    <w:p w:rsidR="006C2EA1" w:rsidRDefault="006C2EA1" w:rsidP="006C2EA1">
      <w:pPr>
        <w:jc w:val="both"/>
        <w:rPr>
          <w:i/>
        </w:rPr>
      </w:pPr>
      <w:r>
        <w:t xml:space="preserve">– </w:t>
      </w:r>
      <w:r w:rsidRPr="009B14E7">
        <w:rPr>
          <w:i/>
        </w:rPr>
        <w:t xml:space="preserve">Soczewka </w:t>
      </w:r>
      <w:proofErr w:type="spellStart"/>
      <w:r w:rsidRPr="009B14E7">
        <w:rPr>
          <w:i/>
        </w:rPr>
        <w:t>asferyczna</w:t>
      </w:r>
      <w:proofErr w:type="spellEnd"/>
      <w:r w:rsidRPr="009B14E7">
        <w:rPr>
          <w:i/>
        </w:rPr>
        <w:t xml:space="preserve"> to najlepszy model takiego implantu pod jednym względem</w:t>
      </w:r>
      <w:r>
        <w:t xml:space="preserve"> – mówi </w:t>
      </w:r>
      <w:r w:rsidR="000F7367" w:rsidRPr="000F7367">
        <w:t xml:space="preserve">dr n. med. </w:t>
      </w:r>
      <w:proofErr w:type="spellStart"/>
      <w:r w:rsidR="000F7367" w:rsidRPr="000F7367">
        <w:t>Juraj</w:t>
      </w:r>
      <w:proofErr w:type="spellEnd"/>
      <w:r w:rsidR="000F7367" w:rsidRPr="000F7367">
        <w:t xml:space="preserve"> </w:t>
      </w:r>
      <w:proofErr w:type="spellStart"/>
      <w:r w:rsidR="000F7367" w:rsidRPr="000F7367">
        <w:t>Urminský</w:t>
      </w:r>
      <w:proofErr w:type="spellEnd"/>
      <w:r w:rsidR="000F7367" w:rsidRPr="000F7367">
        <w:t xml:space="preserve">, okulista operujący dla </w:t>
      </w:r>
      <w:proofErr w:type="spellStart"/>
      <w:r w:rsidR="000F7367" w:rsidRPr="000F7367">
        <w:t>OneDayClinic</w:t>
      </w:r>
      <w:proofErr w:type="spellEnd"/>
      <w:r>
        <w:t xml:space="preserve">. – </w:t>
      </w:r>
      <w:r w:rsidRPr="009B14E7">
        <w:rPr>
          <w:i/>
        </w:rPr>
        <w:t>Je</w:t>
      </w:r>
      <w:r>
        <w:rPr>
          <w:i/>
        </w:rPr>
        <w:t>j</w:t>
      </w:r>
      <w:r w:rsidRPr="009B14E7">
        <w:rPr>
          <w:i/>
        </w:rPr>
        <w:t xml:space="preserve"> kształt najlepiej odwzorowuje kształt gałki ocznej,</w:t>
      </w:r>
      <w:r>
        <w:rPr>
          <w:i/>
        </w:rPr>
        <w:t xml:space="preserve"> tym samym</w:t>
      </w:r>
      <w:r w:rsidRPr="009B14E7">
        <w:rPr>
          <w:i/>
        </w:rPr>
        <w:t xml:space="preserve"> świetnie dopasowując się do </w:t>
      </w:r>
      <w:r>
        <w:rPr>
          <w:i/>
        </w:rPr>
        <w:t>niej samej i jej</w:t>
      </w:r>
      <w:r w:rsidRPr="009B14E7">
        <w:rPr>
          <w:i/>
        </w:rPr>
        <w:t xml:space="preserve"> fizjologii. </w:t>
      </w:r>
      <w:r>
        <w:rPr>
          <w:i/>
        </w:rPr>
        <w:t>Dlatego rekomendujemy ją jako jedyną soczewkę, która ułatwi pacjentom wykonywanie zarówno codziennych obowiązków, jak i czerpanie przyjemności z takich czynności, jak np. czytanie książek.</w:t>
      </w:r>
    </w:p>
    <w:p w:rsidR="00164940" w:rsidRDefault="00164940" w:rsidP="006C2EA1">
      <w:pPr>
        <w:jc w:val="both"/>
        <w:rPr>
          <w:i/>
        </w:rPr>
      </w:pPr>
    </w:p>
    <w:tbl>
      <w:tblPr>
        <w:tblStyle w:val="Tabela-Siatka"/>
        <w:tblW w:w="0" w:type="auto"/>
        <w:tblLook w:val="04A0" w:firstRow="1" w:lastRow="0" w:firstColumn="1" w:lastColumn="0" w:noHBand="0" w:noVBand="1"/>
      </w:tblPr>
      <w:tblGrid>
        <w:gridCol w:w="4531"/>
        <w:gridCol w:w="4531"/>
      </w:tblGrid>
      <w:tr w:rsidR="005C2953" w:rsidTr="00680CB1">
        <w:tc>
          <w:tcPr>
            <w:tcW w:w="9062" w:type="dxa"/>
            <w:gridSpan w:val="2"/>
          </w:tcPr>
          <w:p w:rsidR="005C2953" w:rsidRPr="005C2953" w:rsidRDefault="005C2953" w:rsidP="005C2953">
            <w:pPr>
              <w:jc w:val="center"/>
              <w:rPr>
                <w:i/>
              </w:rPr>
            </w:pPr>
            <w:r w:rsidRPr="005C2953">
              <w:rPr>
                <w:b/>
              </w:rPr>
              <w:t xml:space="preserve">Różnice między soczewką </w:t>
            </w:r>
            <w:proofErr w:type="spellStart"/>
            <w:r w:rsidRPr="005C2953">
              <w:rPr>
                <w:b/>
              </w:rPr>
              <w:t>asferyczną</w:t>
            </w:r>
            <w:proofErr w:type="spellEnd"/>
            <w:r w:rsidRPr="005C2953">
              <w:rPr>
                <w:b/>
              </w:rPr>
              <w:t xml:space="preserve"> a sferyczną</w:t>
            </w:r>
          </w:p>
        </w:tc>
      </w:tr>
      <w:tr w:rsidR="005C2953" w:rsidTr="005C2953">
        <w:tc>
          <w:tcPr>
            <w:tcW w:w="4531" w:type="dxa"/>
          </w:tcPr>
          <w:p w:rsidR="005C2953" w:rsidRPr="005C2953" w:rsidRDefault="005C2953" w:rsidP="005C2953">
            <w:pPr>
              <w:jc w:val="center"/>
              <w:rPr>
                <w:i/>
              </w:rPr>
            </w:pPr>
            <w:r w:rsidRPr="005C2953">
              <w:rPr>
                <w:b/>
              </w:rPr>
              <w:t xml:space="preserve">Soczewka </w:t>
            </w:r>
            <w:proofErr w:type="spellStart"/>
            <w:r w:rsidRPr="005C2953">
              <w:rPr>
                <w:b/>
              </w:rPr>
              <w:t>asferyczna</w:t>
            </w:r>
            <w:proofErr w:type="spellEnd"/>
          </w:p>
        </w:tc>
        <w:tc>
          <w:tcPr>
            <w:tcW w:w="4531" w:type="dxa"/>
          </w:tcPr>
          <w:p w:rsidR="005C2953" w:rsidRPr="005C2953" w:rsidRDefault="005C2953" w:rsidP="005C2953">
            <w:pPr>
              <w:jc w:val="center"/>
              <w:rPr>
                <w:i/>
              </w:rPr>
            </w:pPr>
            <w:r w:rsidRPr="005C2953">
              <w:rPr>
                <w:b/>
              </w:rPr>
              <w:t>Soczewka sferyczna</w:t>
            </w:r>
          </w:p>
        </w:tc>
      </w:tr>
      <w:tr w:rsidR="005C2953" w:rsidTr="005C2953">
        <w:tc>
          <w:tcPr>
            <w:tcW w:w="4531" w:type="dxa"/>
          </w:tcPr>
          <w:tbl>
            <w:tblPr>
              <w:tblStyle w:val="Tabela-Siatka"/>
              <w:tblW w:w="0" w:type="auto"/>
              <w:tblLook w:val="04A0" w:firstRow="1" w:lastRow="0" w:firstColumn="1" w:lastColumn="0" w:noHBand="0" w:noVBand="1"/>
            </w:tblPr>
            <w:tblGrid>
              <w:gridCol w:w="4315"/>
            </w:tblGrid>
            <w:tr w:rsidR="005C2953" w:rsidRPr="005C2953" w:rsidTr="009B5443">
              <w:tc>
                <w:tcPr>
                  <w:tcW w:w="4531" w:type="dxa"/>
                  <w:tcBorders>
                    <w:top w:val="nil"/>
                    <w:left w:val="nil"/>
                    <w:bottom w:val="nil"/>
                    <w:right w:val="nil"/>
                  </w:tcBorders>
                </w:tcPr>
                <w:p w:rsidR="005C2953" w:rsidRDefault="005C2953" w:rsidP="005C2953">
                  <w:pPr>
                    <w:pStyle w:val="Akapitzlist"/>
                    <w:numPr>
                      <w:ilvl w:val="0"/>
                      <w:numId w:val="9"/>
                    </w:numPr>
                    <w:jc w:val="both"/>
                  </w:pPr>
                  <w:r w:rsidRPr="005C2953">
                    <w:t>Identyczna moc optyczna na całej powierzchni soczewki</w:t>
                  </w:r>
                </w:p>
                <w:p w:rsidR="005C2953" w:rsidRPr="005C2953" w:rsidRDefault="005C2953" w:rsidP="005C2953">
                  <w:pPr>
                    <w:pStyle w:val="Akapitzlist"/>
                    <w:jc w:val="both"/>
                  </w:pPr>
                </w:p>
              </w:tc>
            </w:tr>
            <w:tr w:rsidR="005C2953" w:rsidRPr="005C2953" w:rsidTr="009B5443">
              <w:tc>
                <w:tcPr>
                  <w:tcW w:w="4531" w:type="dxa"/>
                  <w:tcBorders>
                    <w:top w:val="nil"/>
                    <w:left w:val="nil"/>
                    <w:bottom w:val="nil"/>
                    <w:right w:val="nil"/>
                  </w:tcBorders>
                </w:tcPr>
                <w:p w:rsidR="005C2953" w:rsidRPr="005C2953" w:rsidRDefault="005C2953" w:rsidP="005C2953">
                  <w:pPr>
                    <w:pStyle w:val="Akapitzlist"/>
                    <w:numPr>
                      <w:ilvl w:val="0"/>
                      <w:numId w:val="9"/>
                    </w:numPr>
                    <w:jc w:val="both"/>
                  </w:pPr>
                  <w:r w:rsidRPr="005C2953">
                    <w:t>Lepsze widzenie kontrastowe, zniwelowanie dodatkowych wad wzroku (krótkowzroczności, astygmatyzmu)</w:t>
                  </w:r>
                </w:p>
              </w:tc>
            </w:tr>
            <w:tr w:rsidR="005C2953" w:rsidRPr="005C2953" w:rsidTr="009B5443">
              <w:tc>
                <w:tcPr>
                  <w:tcW w:w="4531" w:type="dxa"/>
                  <w:tcBorders>
                    <w:top w:val="nil"/>
                    <w:left w:val="nil"/>
                    <w:bottom w:val="nil"/>
                    <w:right w:val="nil"/>
                  </w:tcBorders>
                </w:tcPr>
                <w:p w:rsidR="005C2953" w:rsidRPr="005C2953" w:rsidRDefault="005C2953" w:rsidP="005C2953">
                  <w:pPr>
                    <w:pStyle w:val="Akapitzlist"/>
                    <w:numPr>
                      <w:ilvl w:val="0"/>
                      <w:numId w:val="9"/>
                    </w:numPr>
                    <w:jc w:val="both"/>
                  </w:pPr>
                  <w:r w:rsidRPr="005C2953">
                    <w:t>Lepsza ostrość widzenia (szczególnie lepiej pozwala widzieć w nocy oraz we mgle)</w:t>
                  </w:r>
                </w:p>
              </w:tc>
            </w:tr>
            <w:tr w:rsidR="005C2953" w:rsidRPr="005C2953" w:rsidTr="009B5443">
              <w:tc>
                <w:tcPr>
                  <w:tcW w:w="4531" w:type="dxa"/>
                  <w:tcBorders>
                    <w:top w:val="nil"/>
                    <w:left w:val="nil"/>
                    <w:bottom w:val="nil"/>
                    <w:right w:val="nil"/>
                  </w:tcBorders>
                </w:tcPr>
                <w:p w:rsidR="005C2953" w:rsidRPr="005C2953" w:rsidRDefault="005C2953" w:rsidP="005C2953">
                  <w:pPr>
                    <w:pStyle w:val="Akapitzlist"/>
                    <w:numPr>
                      <w:ilvl w:val="0"/>
                      <w:numId w:val="9"/>
                    </w:numPr>
                    <w:jc w:val="both"/>
                  </w:pPr>
                  <w:r w:rsidRPr="005C2953">
                    <w:t>Lepsze ogniskowanie promieni światła we wnętrzu gałki ocznej (skupianie ich w jednym punkcie)</w:t>
                  </w:r>
                </w:p>
              </w:tc>
            </w:tr>
            <w:tr w:rsidR="005C2953" w:rsidRPr="005C2953" w:rsidTr="009B5443">
              <w:tc>
                <w:tcPr>
                  <w:tcW w:w="4531" w:type="dxa"/>
                  <w:tcBorders>
                    <w:top w:val="nil"/>
                    <w:left w:val="nil"/>
                    <w:bottom w:val="nil"/>
                    <w:right w:val="nil"/>
                  </w:tcBorders>
                </w:tcPr>
                <w:p w:rsidR="005C2953" w:rsidRPr="005C2953" w:rsidRDefault="001C5184" w:rsidP="005C2953">
                  <w:pPr>
                    <w:pStyle w:val="Akapitzlist"/>
                    <w:numPr>
                      <w:ilvl w:val="0"/>
                      <w:numId w:val="9"/>
                    </w:numPr>
                    <w:jc w:val="both"/>
                  </w:pPr>
                  <w:r>
                    <w:t>Nierefundowana</w:t>
                  </w:r>
                  <w:bookmarkStart w:id="0" w:name="_GoBack"/>
                  <w:bookmarkEnd w:id="0"/>
                  <w:r w:rsidR="005C2953" w:rsidRPr="005C2953">
                    <w:t xml:space="preserve"> przez NFZ</w:t>
                  </w:r>
                  <w:r w:rsidR="0045103D">
                    <w:t xml:space="preserve"> w Polsce, </w:t>
                  </w:r>
                  <w:r w:rsidR="006959AB">
                    <w:t xml:space="preserve">refundowane w </w:t>
                  </w:r>
                  <w:r>
                    <w:t xml:space="preserve">ramach dyrektywy transgranicznej, np. w </w:t>
                  </w:r>
                  <w:r w:rsidR="006959AB">
                    <w:t xml:space="preserve">Czechach </w:t>
                  </w:r>
                </w:p>
              </w:tc>
            </w:tr>
          </w:tbl>
          <w:p w:rsidR="005C2953" w:rsidRPr="005C2953" w:rsidRDefault="005C2953" w:rsidP="006C2EA1">
            <w:pPr>
              <w:jc w:val="both"/>
              <w:rPr>
                <w:i/>
              </w:rPr>
            </w:pPr>
          </w:p>
        </w:tc>
        <w:tc>
          <w:tcPr>
            <w:tcW w:w="4531" w:type="dxa"/>
          </w:tcPr>
          <w:tbl>
            <w:tblPr>
              <w:tblStyle w:val="Tabela-Siatka"/>
              <w:tblW w:w="0" w:type="auto"/>
              <w:tblLook w:val="04A0" w:firstRow="1" w:lastRow="0" w:firstColumn="1" w:lastColumn="0" w:noHBand="0" w:noVBand="1"/>
            </w:tblPr>
            <w:tblGrid>
              <w:gridCol w:w="4315"/>
            </w:tblGrid>
            <w:tr w:rsidR="005C2953" w:rsidRPr="005C2953" w:rsidTr="009B5443">
              <w:tc>
                <w:tcPr>
                  <w:tcW w:w="4531" w:type="dxa"/>
                  <w:tcBorders>
                    <w:top w:val="nil"/>
                    <w:left w:val="nil"/>
                    <w:bottom w:val="nil"/>
                    <w:right w:val="nil"/>
                  </w:tcBorders>
                </w:tcPr>
                <w:p w:rsidR="005C2953" w:rsidRPr="005C2953" w:rsidRDefault="005C2953" w:rsidP="005C2953">
                  <w:pPr>
                    <w:pStyle w:val="Akapitzlist"/>
                    <w:numPr>
                      <w:ilvl w:val="0"/>
                      <w:numId w:val="9"/>
                    </w:numPr>
                    <w:jc w:val="both"/>
                  </w:pPr>
                  <w:r w:rsidRPr="005C2953">
                    <w:t>Najlepsza koncentracja promieni słonecznych tylko w centralnej części soczewki</w:t>
                  </w:r>
                </w:p>
              </w:tc>
            </w:tr>
            <w:tr w:rsidR="005C2953" w:rsidRPr="005C2953" w:rsidTr="009B5443">
              <w:tc>
                <w:tcPr>
                  <w:tcW w:w="4531" w:type="dxa"/>
                  <w:tcBorders>
                    <w:top w:val="nil"/>
                    <w:left w:val="nil"/>
                    <w:bottom w:val="nil"/>
                    <w:right w:val="nil"/>
                  </w:tcBorders>
                </w:tcPr>
                <w:p w:rsidR="005C2953" w:rsidRPr="005C2953" w:rsidRDefault="005C2953" w:rsidP="005C2953">
                  <w:pPr>
                    <w:pStyle w:val="Akapitzlist"/>
                    <w:numPr>
                      <w:ilvl w:val="0"/>
                      <w:numId w:val="9"/>
                    </w:numPr>
                    <w:jc w:val="both"/>
                  </w:pPr>
                  <w:r w:rsidRPr="005C2953">
                    <w:t>Nie leczy dalekowzroczności (często obecnej przed zabiegiem lub pojawiającej się po operacji usunięcia zaćmy)</w:t>
                  </w:r>
                </w:p>
              </w:tc>
            </w:tr>
            <w:tr w:rsidR="005C2953" w:rsidRPr="005C2953" w:rsidTr="009B5443">
              <w:tc>
                <w:tcPr>
                  <w:tcW w:w="4531" w:type="dxa"/>
                  <w:tcBorders>
                    <w:top w:val="nil"/>
                    <w:left w:val="nil"/>
                    <w:bottom w:val="nil"/>
                    <w:right w:val="nil"/>
                  </w:tcBorders>
                </w:tcPr>
                <w:p w:rsidR="005C2953" w:rsidRPr="005C2953" w:rsidRDefault="005C2953" w:rsidP="005C2953">
                  <w:pPr>
                    <w:pStyle w:val="Akapitzlist"/>
                    <w:numPr>
                      <w:ilvl w:val="0"/>
                      <w:numId w:val="9"/>
                    </w:numPr>
                    <w:jc w:val="both"/>
                  </w:pPr>
                  <w:r w:rsidRPr="005C2953">
                    <w:t>Ryzyko wystąpienia wtórnego zmętnienia torebki soczewki po wszczepieniu implantu</w:t>
                  </w:r>
                </w:p>
              </w:tc>
            </w:tr>
            <w:tr w:rsidR="005C2953" w:rsidRPr="005C2953" w:rsidTr="009B5443">
              <w:tc>
                <w:tcPr>
                  <w:tcW w:w="4531" w:type="dxa"/>
                  <w:tcBorders>
                    <w:top w:val="nil"/>
                    <w:left w:val="nil"/>
                    <w:bottom w:val="nil"/>
                    <w:right w:val="nil"/>
                  </w:tcBorders>
                </w:tcPr>
                <w:p w:rsidR="005C2953" w:rsidRPr="005C2953" w:rsidRDefault="005C2953" w:rsidP="005C2953">
                  <w:pPr>
                    <w:pStyle w:val="Akapitzlist"/>
                    <w:numPr>
                      <w:ilvl w:val="0"/>
                      <w:numId w:val="9"/>
                    </w:numPr>
                    <w:jc w:val="both"/>
                  </w:pPr>
                  <w:r w:rsidRPr="005C2953">
                    <w:t>Im dalej od centralnej części soczewki, tym większe aberracje sferyczne (zniekształcenia obrazu)</w:t>
                  </w:r>
                </w:p>
              </w:tc>
            </w:tr>
            <w:tr w:rsidR="005C2953" w:rsidRPr="005C2953" w:rsidTr="009B5443">
              <w:tc>
                <w:tcPr>
                  <w:tcW w:w="4531" w:type="dxa"/>
                  <w:tcBorders>
                    <w:top w:val="nil"/>
                    <w:left w:val="nil"/>
                    <w:bottom w:val="nil"/>
                    <w:right w:val="nil"/>
                  </w:tcBorders>
                </w:tcPr>
                <w:p w:rsidR="005C2953" w:rsidRPr="005C2953" w:rsidRDefault="005C2953" w:rsidP="005C2953">
                  <w:pPr>
                    <w:pStyle w:val="Akapitzlist"/>
                    <w:numPr>
                      <w:ilvl w:val="0"/>
                      <w:numId w:val="9"/>
                    </w:numPr>
                    <w:jc w:val="both"/>
                  </w:pPr>
                  <w:r w:rsidRPr="005C2953">
                    <w:t>Refundowana przez NFZ</w:t>
                  </w:r>
                </w:p>
              </w:tc>
            </w:tr>
          </w:tbl>
          <w:p w:rsidR="005C2953" w:rsidRPr="005C2953" w:rsidRDefault="005C2953" w:rsidP="006C2EA1">
            <w:pPr>
              <w:jc w:val="both"/>
              <w:rPr>
                <w:i/>
              </w:rPr>
            </w:pPr>
          </w:p>
        </w:tc>
      </w:tr>
    </w:tbl>
    <w:p w:rsidR="00164940" w:rsidRDefault="00164940" w:rsidP="00CC7704">
      <w:pPr>
        <w:jc w:val="both"/>
      </w:pPr>
    </w:p>
    <w:p w:rsidR="00164940" w:rsidRDefault="00164940" w:rsidP="00CC7704">
      <w:pPr>
        <w:jc w:val="both"/>
      </w:pPr>
    </w:p>
    <w:p w:rsidR="00164940" w:rsidRDefault="00164940" w:rsidP="00CC7704">
      <w:pPr>
        <w:jc w:val="both"/>
      </w:pPr>
    </w:p>
    <w:p w:rsidR="00164940" w:rsidRDefault="006C2EA1" w:rsidP="00CC7704">
      <w:pPr>
        <w:jc w:val="both"/>
      </w:pPr>
      <w:r>
        <w:t xml:space="preserve">W Polsce głośno mówi się o tym, że pacjenci powinni móc wybrać soczewkę wewnątrzgałkową w oparciu o wyniki badań wzroku okulisty. Niestety, chorzy na zaćmę wciąż skazani są na wszczepianie im w ramach refundowanego przez NFZ zabiegu jednego typu soczewki: jednoogniskowej sferycznej. A jak pokazuje praktyka zagranicznych okulistów, to właśnie soczewka </w:t>
      </w:r>
      <w:proofErr w:type="spellStart"/>
      <w:r>
        <w:t>asferyczna</w:t>
      </w:r>
      <w:proofErr w:type="spellEnd"/>
      <w:r>
        <w:t xml:space="preserve"> – nowocześniejsza i lecząca dodatkowo wiele innych wad wzroku – jest najlepszą opcją w kompleksowym leczeniu zaćmy.</w:t>
      </w:r>
    </w:p>
    <w:p w:rsidR="00164940" w:rsidRPr="00164940" w:rsidRDefault="00164940" w:rsidP="00164940"/>
    <w:p w:rsidR="00164940" w:rsidRPr="00164940" w:rsidRDefault="00164940" w:rsidP="00164940"/>
    <w:p w:rsidR="00164940" w:rsidRDefault="00164940" w:rsidP="00164940"/>
    <w:p w:rsidR="00234BE6" w:rsidRPr="00164940" w:rsidRDefault="00164940" w:rsidP="00164940">
      <w:pPr>
        <w:tabs>
          <w:tab w:val="left" w:pos="3030"/>
        </w:tabs>
      </w:pPr>
      <w:r>
        <w:tab/>
      </w:r>
    </w:p>
    <w:sectPr w:rsidR="00234BE6" w:rsidRPr="00164940" w:rsidSect="009B5828">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EB8" w:rsidRDefault="00DD5EB8" w:rsidP="00C43C57">
      <w:pPr>
        <w:spacing w:after="0" w:line="240" w:lineRule="auto"/>
      </w:pPr>
      <w:r>
        <w:separator/>
      </w:r>
    </w:p>
  </w:endnote>
  <w:endnote w:type="continuationSeparator" w:id="0">
    <w:p w:rsidR="00DD5EB8" w:rsidRDefault="00DD5EB8" w:rsidP="00C4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300">
    <w:altName w:val="Calibri"/>
    <w:charset w:val="EE"/>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9D3" w:rsidRDefault="004C59D3" w:rsidP="00F8742E">
    <w:pPr>
      <w:pStyle w:val="Stopka"/>
      <w:jc w:val="both"/>
      <w:rPr>
        <w:rFonts w:ascii="Cambria" w:hAnsi="Cambria" w:cs="Arial"/>
        <w:b/>
        <w:color w:val="333333"/>
        <w:sz w:val="18"/>
        <w:szCs w:val="18"/>
        <w:shd w:val="clear" w:color="auto" w:fill="FFFFFF"/>
      </w:rPr>
    </w:pPr>
  </w:p>
  <w:p w:rsidR="009B5828" w:rsidRPr="001C24B8" w:rsidRDefault="000F7367" w:rsidP="00F8742E">
    <w:pPr>
      <w:pStyle w:val="Stopka"/>
      <w:jc w:val="both"/>
      <w:rPr>
        <w:rFonts w:ascii="Cambria" w:hAnsi="Cambria" w:cstheme="minorHAnsi"/>
        <w:color w:val="333333"/>
        <w:sz w:val="18"/>
        <w:szCs w:val="18"/>
        <w:shd w:val="clear" w:color="auto" w:fill="FFFFFF"/>
      </w:rPr>
    </w:pPr>
    <w:proofErr w:type="spellStart"/>
    <w:r>
      <w:rPr>
        <w:rFonts w:ascii="Cambria" w:hAnsi="Cambria" w:cstheme="minorHAnsi"/>
        <w:b/>
        <w:sz w:val="18"/>
        <w:szCs w:val="18"/>
        <w:shd w:val="clear" w:color="auto" w:fill="FFFFFF"/>
      </w:rPr>
      <w:t>OneDay</w:t>
    </w:r>
    <w:r w:rsidR="001C24B8" w:rsidRPr="001C24B8">
      <w:rPr>
        <w:rFonts w:ascii="Cambria" w:hAnsi="Cambria" w:cstheme="minorHAnsi"/>
        <w:b/>
        <w:sz w:val="18"/>
        <w:szCs w:val="18"/>
        <w:shd w:val="clear" w:color="auto" w:fill="FFFFFF"/>
      </w:rPr>
      <w:t>Clinic</w:t>
    </w:r>
    <w:proofErr w:type="spellEnd"/>
    <w:r w:rsidR="001C24B8" w:rsidRPr="001C24B8">
      <w:rPr>
        <w:rFonts w:ascii="Cambria" w:hAnsi="Cambria" w:cstheme="minorHAnsi"/>
        <w:b/>
        <w:sz w:val="18"/>
        <w:szCs w:val="18"/>
        <w:shd w:val="clear" w:color="auto" w:fill="FFFFFF"/>
      </w:rPr>
      <w:t xml:space="preserve"> </w:t>
    </w:r>
    <w:r w:rsidR="001C24B8" w:rsidRPr="001C24B8">
      <w:rPr>
        <w:rFonts w:ascii="Cambria" w:hAnsi="Cambria" w:cstheme="minorHAnsi"/>
        <w:sz w:val="18"/>
        <w:szCs w:val="18"/>
        <w:shd w:val="clear" w:color="auto" w:fill="FFFFFF"/>
      </w:rPr>
      <w:t xml:space="preserve">to alternatywa dla NFZ. Firma oferuje usługę organizacji wyjazdów na zabiegi leczenia zaćmy do czeskich klinik okulistycznych. O jej profesjonalnym podejściu świadczy kompleksowa opieka nad pacjentami. Obejmuje ona m.in.: realizację wizyty w klinice do 30 dni, transport w obie strony, nocleg ze śniadaniem i wizytę kontrolną następnego dnia. Dodatkowo One Day Clinic zajmuje się wszelkimi formalnościami związanymi z refundacją zabiegu w NFZ i umożliwia pacjentowi wybór najlepszej dla niego soczewki. Więcej informacji na temat oferty i samej firmy można znaleźć na: </w:t>
    </w:r>
    <w:hyperlink r:id="rId1" w:history="1">
      <w:r w:rsidR="001C24B8" w:rsidRPr="001C24B8">
        <w:rPr>
          <w:rStyle w:val="Hipercze"/>
          <w:rFonts w:ascii="Cambria" w:hAnsi="Cambria" w:cstheme="minorHAnsi"/>
          <w:sz w:val="18"/>
          <w:szCs w:val="18"/>
        </w:rPr>
        <w:t>www.onedayclinic.pl</w:t>
      </w:r>
    </w:hyperlink>
    <w:r w:rsidR="001C24B8" w:rsidRPr="001C24B8">
      <w:rPr>
        <w:rFonts w:ascii="Cambria" w:hAnsi="Cambria"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EB8" w:rsidRDefault="00DD5EB8" w:rsidP="00C43C57">
      <w:pPr>
        <w:spacing w:after="0" w:line="240" w:lineRule="auto"/>
      </w:pPr>
      <w:r>
        <w:separator/>
      </w:r>
    </w:p>
  </w:footnote>
  <w:footnote w:type="continuationSeparator" w:id="0">
    <w:p w:rsidR="00DD5EB8" w:rsidRDefault="00DD5EB8" w:rsidP="00C4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8CD" w:rsidRDefault="00AE6747" w:rsidP="007B75D5">
    <w:pPr>
      <w:pStyle w:val="Nagwek"/>
      <w:jc w:val="both"/>
    </w:pPr>
    <w:r>
      <w:t xml:space="preserve">                                                                                       </w:t>
    </w:r>
  </w:p>
  <w:p w:rsidR="00F668CD" w:rsidRDefault="007B75D5" w:rsidP="00931CF7">
    <w:pPr>
      <w:pStyle w:val="Nagwek"/>
      <w:ind w:left="5664"/>
    </w:pPr>
    <w:r>
      <w:t xml:space="preserve">                                                                               </w:t>
    </w:r>
    <w:r w:rsidR="00931CF7">
      <w:t xml:space="preserve">                                                 </w:t>
    </w:r>
    <w:r>
      <w:t xml:space="preserve">      </w:t>
    </w:r>
    <w:r w:rsidR="00931CF7">
      <w:t xml:space="preserve">      </w:t>
    </w:r>
    <w:r w:rsidR="00EB0F11">
      <w:rPr>
        <w:rFonts w:eastAsia="Times New Roman"/>
        <w:noProof/>
      </w:rPr>
      <w:drawing>
        <wp:inline distT="0" distB="0" distL="0" distR="0">
          <wp:extent cx="2247900" cy="352425"/>
          <wp:effectExtent l="0" t="0" r="0" b="9525"/>
          <wp:docPr id="1" name="Obraz 1" descr="cid:4471B64C-FAAA-47EF-B5F2-88E624A6F09B@homerouter.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AEB38B-3FD8-4362-9441-198DD67F0E48" descr="cid:4471B64C-FAAA-47EF-B5F2-88E624A6F09B@homerouter.cp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7900" cy="3524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32F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73" w:hanging="360"/>
      </w:pPr>
      <w:rPr>
        <w:rFonts w:ascii="Symbol" w:hAnsi="Symbol" w:cs="Symbol"/>
      </w:rPr>
    </w:lvl>
    <w:lvl w:ilvl="1">
      <w:start w:val="1"/>
      <w:numFmt w:val="bullet"/>
      <w:lvlText w:val="o"/>
      <w:lvlJc w:val="left"/>
      <w:pPr>
        <w:tabs>
          <w:tab w:val="num" w:pos="0"/>
        </w:tabs>
        <w:ind w:left="1493" w:hanging="360"/>
      </w:pPr>
      <w:rPr>
        <w:rFonts w:ascii="Courier New" w:hAnsi="Courier New" w:cs="Courier New"/>
      </w:rPr>
    </w:lvl>
    <w:lvl w:ilvl="2">
      <w:start w:val="1"/>
      <w:numFmt w:val="bullet"/>
      <w:lvlText w:val=""/>
      <w:lvlJc w:val="left"/>
      <w:pPr>
        <w:tabs>
          <w:tab w:val="num" w:pos="0"/>
        </w:tabs>
        <w:ind w:left="2213" w:hanging="360"/>
      </w:pPr>
      <w:rPr>
        <w:rFonts w:ascii="Wingdings" w:hAnsi="Wingdings" w:cs="Wingdings"/>
      </w:rPr>
    </w:lvl>
    <w:lvl w:ilvl="3">
      <w:start w:val="1"/>
      <w:numFmt w:val="bullet"/>
      <w:lvlText w:val=""/>
      <w:lvlJc w:val="left"/>
      <w:pPr>
        <w:tabs>
          <w:tab w:val="num" w:pos="0"/>
        </w:tabs>
        <w:ind w:left="2933" w:hanging="360"/>
      </w:pPr>
      <w:rPr>
        <w:rFonts w:ascii="Symbol" w:hAnsi="Symbol" w:cs="Symbol"/>
      </w:rPr>
    </w:lvl>
    <w:lvl w:ilvl="4">
      <w:start w:val="1"/>
      <w:numFmt w:val="bullet"/>
      <w:lvlText w:val="o"/>
      <w:lvlJc w:val="left"/>
      <w:pPr>
        <w:tabs>
          <w:tab w:val="num" w:pos="0"/>
        </w:tabs>
        <w:ind w:left="3653" w:hanging="360"/>
      </w:pPr>
      <w:rPr>
        <w:rFonts w:ascii="Courier New" w:hAnsi="Courier New" w:cs="Courier New"/>
      </w:rPr>
    </w:lvl>
    <w:lvl w:ilvl="5">
      <w:start w:val="1"/>
      <w:numFmt w:val="bullet"/>
      <w:lvlText w:val=""/>
      <w:lvlJc w:val="left"/>
      <w:pPr>
        <w:tabs>
          <w:tab w:val="num" w:pos="0"/>
        </w:tabs>
        <w:ind w:left="4373" w:hanging="360"/>
      </w:pPr>
      <w:rPr>
        <w:rFonts w:ascii="Wingdings" w:hAnsi="Wingdings" w:cs="Wingdings"/>
      </w:rPr>
    </w:lvl>
    <w:lvl w:ilvl="6">
      <w:start w:val="1"/>
      <w:numFmt w:val="bullet"/>
      <w:lvlText w:val=""/>
      <w:lvlJc w:val="left"/>
      <w:pPr>
        <w:tabs>
          <w:tab w:val="num" w:pos="0"/>
        </w:tabs>
        <w:ind w:left="5093" w:hanging="360"/>
      </w:pPr>
      <w:rPr>
        <w:rFonts w:ascii="Symbol" w:hAnsi="Symbol" w:cs="Symbol"/>
      </w:rPr>
    </w:lvl>
    <w:lvl w:ilvl="7">
      <w:start w:val="1"/>
      <w:numFmt w:val="bullet"/>
      <w:lvlText w:val="o"/>
      <w:lvlJc w:val="left"/>
      <w:pPr>
        <w:tabs>
          <w:tab w:val="num" w:pos="0"/>
        </w:tabs>
        <w:ind w:left="5813" w:hanging="360"/>
      </w:pPr>
      <w:rPr>
        <w:rFonts w:ascii="Courier New" w:hAnsi="Courier New" w:cs="Courier New"/>
      </w:rPr>
    </w:lvl>
    <w:lvl w:ilvl="8">
      <w:start w:val="1"/>
      <w:numFmt w:val="bullet"/>
      <w:lvlText w:val=""/>
      <w:lvlJc w:val="left"/>
      <w:pPr>
        <w:tabs>
          <w:tab w:val="num" w:pos="0"/>
        </w:tabs>
        <w:ind w:left="6533" w:hanging="360"/>
      </w:pPr>
      <w:rPr>
        <w:rFonts w:ascii="Wingdings" w:hAnsi="Wingdings" w:cs="Wingdings"/>
      </w:rPr>
    </w:lvl>
  </w:abstractNum>
  <w:abstractNum w:abstractNumId="2" w15:restartNumberingAfterBreak="0">
    <w:nsid w:val="12AF677D"/>
    <w:multiLevelType w:val="hybridMultilevel"/>
    <w:tmpl w:val="90FA2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2619D9"/>
    <w:multiLevelType w:val="hybridMultilevel"/>
    <w:tmpl w:val="8DE64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750D7E"/>
    <w:multiLevelType w:val="hybridMultilevel"/>
    <w:tmpl w:val="A94A0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99707F6"/>
    <w:multiLevelType w:val="hybridMultilevel"/>
    <w:tmpl w:val="57E8E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FEA463C"/>
    <w:multiLevelType w:val="hybridMultilevel"/>
    <w:tmpl w:val="539AB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80253C"/>
    <w:multiLevelType w:val="hybridMultilevel"/>
    <w:tmpl w:val="60DE9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C654D8"/>
    <w:multiLevelType w:val="hybridMultilevel"/>
    <w:tmpl w:val="C8C4A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0"/>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40"/>
    <w:rsid w:val="00002AC3"/>
    <w:rsid w:val="00010FBC"/>
    <w:rsid w:val="00024A1A"/>
    <w:rsid w:val="0003188F"/>
    <w:rsid w:val="00032957"/>
    <w:rsid w:val="0005599A"/>
    <w:rsid w:val="000762EB"/>
    <w:rsid w:val="000A689F"/>
    <w:rsid w:val="000D42C0"/>
    <w:rsid w:val="000F6447"/>
    <w:rsid w:val="000F7367"/>
    <w:rsid w:val="00164940"/>
    <w:rsid w:val="00165820"/>
    <w:rsid w:val="00191C17"/>
    <w:rsid w:val="001B706D"/>
    <w:rsid w:val="001C24B8"/>
    <w:rsid w:val="001C5184"/>
    <w:rsid w:val="001D0FE5"/>
    <w:rsid w:val="001D551C"/>
    <w:rsid w:val="001D644E"/>
    <w:rsid w:val="0020340B"/>
    <w:rsid w:val="00212029"/>
    <w:rsid w:val="00212CE2"/>
    <w:rsid w:val="00234BE6"/>
    <w:rsid w:val="00265449"/>
    <w:rsid w:val="00284BB0"/>
    <w:rsid w:val="00284F3F"/>
    <w:rsid w:val="002E07D3"/>
    <w:rsid w:val="002E13AC"/>
    <w:rsid w:val="00313B68"/>
    <w:rsid w:val="00342394"/>
    <w:rsid w:val="0035045F"/>
    <w:rsid w:val="003577B9"/>
    <w:rsid w:val="0037702C"/>
    <w:rsid w:val="00386F08"/>
    <w:rsid w:val="00390E8E"/>
    <w:rsid w:val="003A4138"/>
    <w:rsid w:val="003A51A8"/>
    <w:rsid w:val="003B746C"/>
    <w:rsid w:val="003C1110"/>
    <w:rsid w:val="003D6E63"/>
    <w:rsid w:val="003E27D0"/>
    <w:rsid w:val="00406830"/>
    <w:rsid w:val="00411A27"/>
    <w:rsid w:val="004208A1"/>
    <w:rsid w:val="00435D5D"/>
    <w:rsid w:val="0045103D"/>
    <w:rsid w:val="00452D12"/>
    <w:rsid w:val="00452D44"/>
    <w:rsid w:val="004A68D3"/>
    <w:rsid w:val="004C59D3"/>
    <w:rsid w:val="004D0C4D"/>
    <w:rsid w:val="004D45E4"/>
    <w:rsid w:val="00517266"/>
    <w:rsid w:val="00517522"/>
    <w:rsid w:val="005429D2"/>
    <w:rsid w:val="0055179B"/>
    <w:rsid w:val="00583D2F"/>
    <w:rsid w:val="005B32B5"/>
    <w:rsid w:val="005C2953"/>
    <w:rsid w:val="005C3337"/>
    <w:rsid w:val="005D39D7"/>
    <w:rsid w:val="005F3C55"/>
    <w:rsid w:val="0060259E"/>
    <w:rsid w:val="00607CDC"/>
    <w:rsid w:val="00625C09"/>
    <w:rsid w:val="006270A5"/>
    <w:rsid w:val="0064496B"/>
    <w:rsid w:val="0065029A"/>
    <w:rsid w:val="00685EBB"/>
    <w:rsid w:val="006959AB"/>
    <w:rsid w:val="00697C42"/>
    <w:rsid w:val="006A7EB7"/>
    <w:rsid w:val="006C2EA1"/>
    <w:rsid w:val="006F0122"/>
    <w:rsid w:val="006F436D"/>
    <w:rsid w:val="006F5B18"/>
    <w:rsid w:val="0073334F"/>
    <w:rsid w:val="00743730"/>
    <w:rsid w:val="0075458F"/>
    <w:rsid w:val="007658B2"/>
    <w:rsid w:val="00777818"/>
    <w:rsid w:val="00792EE9"/>
    <w:rsid w:val="007A1F0D"/>
    <w:rsid w:val="007A3194"/>
    <w:rsid w:val="007B75D5"/>
    <w:rsid w:val="007C0B87"/>
    <w:rsid w:val="007F28FF"/>
    <w:rsid w:val="007F2C1A"/>
    <w:rsid w:val="008220FC"/>
    <w:rsid w:val="008419AB"/>
    <w:rsid w:val="008600AE"/>
    <w:rsid w:val="008730E0"/>
    <w:rsid w:val="008764C6"/>
    <w:rsid w:val="008835BC"/>
    <w:rsid w:val="008C4B88"/>
    <w:rsid w:val="008C616F"/>
    <w:rsid w:val="008D5240"/>
    <w:rsid w:val="009052F7"/>
    <w:rsid w:val="00905538"/>
    <w:rsid w:val="00931CF7"/>
    <w:rsid w:val="009452CE"/>
    <w:rsid w:val="009465D1"/>
    <w:rsid w:val="0095708B"/>
    <w:rsid w:val="009861EF"/>
    <w:rsid w:val="009938B5"/>
    <w:rsid w:val="00995B28"/>
    <w:rsid w:val="009B5828"/>
    <w:rsid w:val="009D1267"/>
    <w:rsid w:val="009D4FC9"/>
    <w:rsid w:val="00A34DB1"/>
    <w:rsid w:val="00A5547A"/>
    <w:rsid w:val="00A852B6"/>
    <w:rsid w:val="00A91972"/>
    <w:rsid w:val="00A94EC6"/>
    <w:rsid w:val="00A9557D"/>
    <w:rsid w:val="00A96F67"/>
    <w:rsid w:val="00AB02FD"/>
    <w:rsid w:val="00AD2034"/>
    <w:rsid w:val="00AE6747"/>
    <w:rsid w:val="00AF2990"/>
    <w:rsid w:val="00B039D6"/>
    <w:rsid w:val="00B2526B"/>
    <w:rsid w:val="00B44A6D"/>
    <w:rsid w:val="00B72DF4"/>
    <w:rsid w:val="00B751CC"/>
    <w:rsid w:val="00B91129"/>
    <w:rsid w:val="00BC4BE8"/>
    <w:rsid w:val="00BD1ADF"/>
    <w:rsid w:val="00C01C0F"/>
    <w:rsid w:val="00C12CE7"/>
    <w:rsid w:val="00C13120"/>
    <w:rsid w:val="00C26F96"/>
    <w:rsid w:val="00C41BC7"/>
    <w:rsid w:val="00C43C57"/>
    <w:rsid w:val="00C51280"/>
    <w:rsid w:val="00C54F51"/>
    <w:rsid w:val="00C66795"/>
    <w:rsid w:val="00C73D44"/>
    <w:rsid w:val="00C84FF7"/>
    <w:rsid w:val="00C85CCE"/>
    <w:rsid w:val="00CA6298"/>
    <w:rsid w:val="00CA7AB3"/>
    <w:rsid w:val="00CC7704"/>
    <w:rsid w:val="00CE05FB"/>
    <w:rsid w:val="00D0097A"/>
    <w:rsid w:val="00D13B65"/>
    <w:rsid w:val="00D23735"/>
    <w:rsid w:val="00D505C0"/>
    <w:rsid w:val="00D652E4"/>
    <w:rsid w:val="00D84473"/>
    <w:rsid w:val="00D95E46"/>
    <w:rsid w:val="00DB000E"/>
    <w:rsid w:val="00DB0A32"/>
    <w:rsid w:val="00DC02F8"/>
    <w:rsid w:val="00DC62F8"/>
    <w:rsid w:val="00DD261B"/>
    <w:rsid w:val="00DD5687"/>
    <w:rsid w:val="00DD5EB8"/>
    <w:rsid w:val="00DD7C60"/>
    <w:rsid w:val="00DE16FF"/>
    <w:rsid w:val="00DE3812"/>
    <w:rsid w:val="00DE6186"/>
    <w:rsid w:val="00E12AAD"/>
    <w:rsid w:val="00E51DCC"/>
    <w:rsid w:val="00E625C6"/>
    <w:rsid w:val="00E633D3"/>
    <w:rsid w:val="00E75EF7"/>
    <w:rsid w:val="00E8549D"/>
    <w:rsid w:val="00E9140B"/>
    <w:rsid w:val="00EB0F11"/>
    <w:rsid w:val="00EB1611"/>
    <w:rsid w:val="00F020CE"/>
    <w:rsid w:val="00F03EBD"/>
    <w:rsid w:val="00F21773"/>
    <w:rsid w:val="00F23E65"/>
    <w:rsid w:val="00F42C84"/>
    <w:rsid w:val="00F53F6D"/>
    <w:rsid w:val="00F63229"/>
    <w:rsid w:val="00F668CD"/>
    <w:rsid w:val="00F6798D"/>
    <w:rsid w:val="00F8550B"/>
    <w:rsid w:val="00F8742E"/>
    <w:rsid w:val="00F946E6"/>
    <w:rsid w:val="00FD519D"/>
    <w:rsid w:val="00FE0648"/>
    <w:rsid w:val="00FF43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982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ny">
    <w:name w:val="Normal"/>
    <w:qFormat/>
    <w:rsid w:val="008D52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7F2C1A"/>
    <w:rPr>
      <w:sz w:val="16"/>
      <w:szCs w:val="16"/>
    </w:rPr>
  </w:style>
  <w:style w:type="paragraph" w:styleId="Tekstkomentarza">
    <w:name w:val="annotation text"/>
    <w:basedOn w:val="Normalny"/>
    <w:link w:val="TekstkomentarzaZnak"/>
    <w:uiPriority w:val="99"/>
    <w:semiHidden/>
    <w:unhideWhenUsed/>
    <w:rsid w:val="007F2C1A"/>
    <w:pPr>
      <w:spacing w:line="240" w:lineRule="auto"/>
    </w:pPr>
    <w:rPr>
      <w:sz w:val="20"/>
      <w:szCs w:val="20"/>
    </w:rPr>
  </w:style>
  <w:style w:type="character" w:customStyle="1" w:styleId="TekstkomentarzaZnak">
    <w:name w:val="Tekst komentarza Znak"/>
    <w:link w:val="Tekstkomentarza"/>
    <w:uiPriority w:val="99"/>
    <w:semiHidden/>
    <w:rsid w:val="007F2C1A"/>
    <w:rPr>
      <w:sz w:val="20"/>
      <w:szCs w:val="20"/>
    </w:rPr>
  </w:style>
  <w:style w:type="paragraph" w:styleId="Tematkomentarza">
    <w:name w:val="annotation subject"/>
    <w:basedOn w:val="Tekstkomentarza"/>
    <w:next w:val="Tekstkomentarza"/>
    <w:link w:val="TematkomentarzaZnak"/>
    <w:uiPriority w:val="99"/>
    <w:semiHidden/>
    <w:unhideWhenUsed/>
    <w:rsid w:val="007F2C1A"/>
    <w:rPr>
      <w:b/>
      <w:bCs/>
    </w:rPr>
  </w:style>
  <w:style w:type="character" w:customStyle="1" w:styleId="TematkomentarzaZnak">
    <w:name w:val="Temat komentarza Znak"/>
    <w:link w:val="Tematkomentarza"/>
    <w:uiPriority w:val="99"/>
    <w:semiHidden/>
    <w:rsid w:val="007F2C1A"/>
    <w:rPr>
      <w:b/>
      <w:bCs/>
      <w:sz w:val="20"/>
      <w:szCs w:val="20"/>
    </w:rPr>
  </w:style>
  <w:style w:type="paragraph" w:styleId="Tekstdymka">
    <w:name w:val="Balloon Text"/>
    <w:basedOn w:val="Normalny"/>
    <w:link w:val="TekstdymkaZnak"/>
    <w:uiPriority w:val="99"/>
    <w:semiHidden/>
    <w:unhideWhenUsed/>
    <w:rsid w:val="007F2C1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2C1A"/>
    <w:rPr>
      <w:rFonts w:ascii="Tahoma" w:hAnsi="Tahoma" w:cs="Tahoma"/>
      <w:sz w:val="16"/>
      <w:szCs w:val="16"/>
    </w:rPr>
  </w:style>
  <w:style w:type="paragraph" w:styleId="Nagwek">
    <w:name w:val="header"/>
    <w:basedOn w:val="Normalny"/>
    <w:link w:val="NagwekZnak"/>
    <w:uiPriority w:val="99"/>
    <w:unhideWhenUsed/>
    <w:rsid w:val="00C43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C57"/>
  </w:style>
  <w:style w:type="paragraph" w:styleId="Stopka">
    <w:name w:val="footer"/>
    <w:basedOn w:val="Normalny"/>
    <w:link w:val="StopkaZnak"/>
    <w:uiPriority w:val="99"/>
    <w:unhideWhenUsed/>
    <w:rsid w:val="00C43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C57"/>
  </w:style>
  <w:style w:type="character" w:customStyle="1" w:styleId="apple-converted-space">
    <w:name w:val="apple-converted-space"/>
    <w:basedOn w:val="Domylnaczcionkaakapitu"/>
    <w:rsid w:val="007A1F0D"/>
  </w:style>
  <w:style w:type="table" w:styleId="Tabela-Siatka">
    <w:name w:val="Table Grid"/>
    <w:basedOn w:val="Standardowy"/>
    <w:uiPriority w:val="39"/>
    <w:rsid w:val="007A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A1F0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A1F0D"/>
    <w:rPr>
      <w:color w:val="0000FF"/>
      <w:u w:val="single"/>
    </w:rPr>
  </w:style>
  <w:style w:type="paragraph" w:styleId="Akapitzlist">
    <w:name w:val="List Paragraph"/>
    <w:basedOn w:val="Normalny"/>
    <w:uiPriority w:val="34"/>
    <w:qFormat/>
    <w:rsid w:val="00DD261B"/>
    <w:pPr>
      <w:spacing w:after="160" w:line="252" w:lineRule="auto"/>
      <w:ind w:left="720"/>
      <w:contextualSpacing/>
    </w:pPr>
  </w:style>
  <w:style w:type="paragraph" w:customStyle="1" w:styleId="m2208806667900808685gmail-msonormal">
    <w:name w:val="m_2208806667900808685gmail-msonormal"/>
    <w:basedOn w:val="Normalny"/>
    <w:rsid w:val="003E27D0"/>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668CD"/>
    <w:rPr>
      <w:color w:val="954F72" w:themeColor="followedHyperlink"/>
      <w:u w:val="single"/>
    </w:rPr>
  </w:style>
  <w:style w:type="character" w:customStyle="1" w:styleId="Odwoaniedokomentarza1">
    <w:name w:val="Odwołanie do komentarza1"/>
    <w:rsid w:val="007658B2"/>
    <w:rPr>
      <w:sz w:val="16"/>
      <w:szCs w:val="16"/>
    </w:rPr>
  </w:style>
  <w:style w:type="character" w:styleId="Wzmianka">
    <w:name w:val="Mention"/>
    <w:basedOn w:val="Domylnaczcionkaakapitu"/>
    <w:uiPriority w:val="99"/>
    <w:rsid w:val="00234BE6"/>
    <w:rPr>
      <w:color w:val="2B579A"/>
      <w:shd w:val="clear" w:color="auto" w:fill="E6E6E6"/>
    </w:rPr>
  </w:style>
  <w:style w:type="paragraph" w:customStyle="1" w:styleId="Akapitzlist1">
    <w:name w:val="Akapit z listą1"/>
    <w:basedOn w:val="Normalny"/>
    <w:rsid w:val="00284BB0"/>
    <w:pPr>
      <w:suppressAutoHyphens/>
      <w:ind w:left="720"/>
      <w:contextualSpacing/>
    </w:pPr>
    <w:rPr>
      <w:rFonts w:cs="font300"/>
      <w:color w:val="00000A"/>
      <w:kern w:val="1"/>
    </w:rPr>
  </w:style>
  <w:style w:type="paragraph" w:customStyle="1" w:styleId="Zawartoramki">
    <w:name w:val="Zawartość ramki"/>
    <w:basedOn w:val="Normalny"/>
    <w:rsid w:val="00284BB0"/>
    <w:pPr>
      <w:suppressAutoHyphens/>
    </w:pPr>
    <w:rPr>
      <w:rFonts w:cs="font300"/>
      <w:color w:val="00000A"/>
      <w:kern w:val="1"/>
    </w:rPr>
  </w:style>
  <w:style w:type="character" w:styleId="Nierozpoznanawzmianka">
    <w:name w:val="Unresolved Mention"/>
    <w:basedOn w:val="Domylnaczcionkaakapitu"/>
    <w:uiPriority w:val="99"/>
    <w:semiHidden/>
    <w:unhideWhenUsed/>
    <w:rsid w:val="003504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857">
      <w:bodyDiv w:val="1"/>
      <w:marLeft w:val="0"/>
      <w:marRight w:val="0"/>
      <w:marTop w:val="0"/>
      <w:marBottom w:val="0"/>
      <w:divBdr>
        <w:top w:val="none" w:sz="0" w:space="0" w:color="auto"/>
        <w:left w:val="none" w:sz="0" w:space="0" w:color="auto"/>
        <w:bottom w:val="none" w:sz="0" w:space="0" w:color="auto"/>
        <w:right w:val="none" w:sz="0" w:space="0" w:color="auto"/>
      </w:divBdr>
      <w:divsChild>
        <w:div w:id="270091549">
          <w:marLeft w:val="0"/>
          <w:marRight w:val="0"/>
          <w:marTop w:val="0"/>
          <w:marBottom w:val="0"/>
          <w:divBdr>
            <w:top w:val="none" w:sz="0" w:space="0" w:color="auto"/>
            <w:left w:val="none" w:sz="0" w:space="0" w:color="auto"/>
            <w:bottom w:val="none" w:sz="0" w:space="0" w:color="auto"/>
            <w:right w:val="none" w:sz="0" w:space="0" w:color="auto"/>
          </w:divBdr>
        </w:div>
        <w:div w:id="1618633562">
          <w:marLeft w:val="0"/>
          <w:marRight w:val="0"/>
          <w:marTop w:val="0"/>
          <w:marBottom w:val="0"/>
          <w:divBdr>
            <w:top w:val="none" w:sz="0" w:space="0" w:color="auto"/>
            <w:left w:val="none" w:sz="0" w:space="0" w:color="auto"/>
            <w:bottom w:val="none" w:sz="0" w:space="0" w:color="auto"/>
            <w:right w:val="none" w:sz="0" w:space="0" w:color="auto"/>
          </w:divBdr>
        </w:div>
      </w:divsChild>
    </w:div>
    <w:div w:id="452595797">
      <w:bodyDiv w:val="1"/>
      <w:marLeft w:val="0"/>
      <w:marRight w:val="0"/>
      <w:marTop w:val="0"/>
      <w:marBottom w:val="0"/>
      <w:divBdr>
        <w:top w:val="none" w:sz="0" w:space="0" w:color="auto"/>
        <w:left w:val="none" w:sz="0" w:space="0" w:color="auto"/>
        <w:bottom w:val="none" w:sz="0" w:space="0" w:color="auto"/>
        <w:right w:val="none" w:sz="0" w:space="0" w:color="auto"/>
      </w:divBdr>
    </w:div>
    <w:div w:id="636375280">
      <w:bodyDiv w:val="1"/>
      <w:marLeft w:val="0"/>
      <w:marRight w:val="0"/>
      <w:marTop w:val="0"/>
      <w:marBottom w:val="0"/>
      <w:divBdr>
        <w:top w:val="none" w:sz="0" w:space="0" w:color="auto"/>
        <w:left w:val="none" w:sz="0" w:space="0" w:color="auto"/>
        <w:bottom w:val="none" w:sz="0" w:space="0" w:color="auto"/>
        <w:right w:val="none" w:sz="0" w:space="0" w:color="auto"/>
      </w:divBdr>
    </w:div>
    <w:div w:id="209921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nedayclinic.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4471B64C-FAAA-47EF-B5F2-88E624A6F09B@homerouter.cpe"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B681-6914-49C7-8465-DAE01075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682</Words>
  <Characters>4095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4768</CharactersWithSpaces>
  <SharedDoc>false</SharedDoc>
  <HLinks>
    <vt:vector size="18" baseType="variant">
      <vt:variant>
        <vt:i4>2424866</vt:i4>
      </vt:variant>
      <vt:variant>
        <vt:i4>6</vt:i4>
      </vt:variant>
      <vt:variant>
        <vt:i4>0</vt:i4>
      </vt:variant>
      <vt:variant>
        <vt:i4>5</vt:i4>
      </vt:variant>
      <vt:variant>
        <vt:lpwstr>https://www.facebook.com/futurofinance/</vt:lpwstr>
      </vt:variant>
      <vt:variant>
        <vt:lpwstr/>
      </vt:variant>
      <vt:variant>
        <vt:i4>3997788</vt:i4>
      </vt:variant>
      <vt:variant>
        <vt:i4>3</vt:i4>
      </vt:variant>
      <vt:variant>
        <vt:i4>0</vt:i4>
      </vt:variant>
      <vt:variant>
        <vt:i4>5</vt:i4>
      </vt:variant>
      <vt:variant>
        <vt:lpwstr>mailto:katarzyna.bugryn@brandvoice.pl</vt:lpwstr>
      </vt:variant>
      <vt:variant>
        <vt:lpwstr/>
      </vt:variant>
      <vt:variant>
        <vt:i4>1638444</vt:i4>
      </vt:variant>
      <vt:variant>
        <vt:i4>0</vt:i4>
      </vt:variant>
      <vt:variant>
        <vt:i4>0</vt:i4>
      </vt:variant>
      <vt:variant>
        <vt:i4>5</vt:i4>
      </vt:variant>
      <vt:variant>
        <vt:lpwstr>mailto:media@futurofinance.pl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Bugryn</dc:creator>
  <cp:keywords/>
  <cp:lastModifiedBy>Julita Pacana</cp:lastModifiedBy>
  <cp:revision>11</cp:revision>
  <cp:lastPrinted>2017-04-20T09:18:00Z</cp:lastPrinted>
  <dcterms:created xsi:type="dcterms:W3CDTF">2017-07-03T06:21:00Z</dcterms:created>
  <dcterms:modified xsi:type="dcterms:W3CDTF">2017-08-29T07:29:00Z</dcterms:modified>
</cp:coreProperties>
</file>