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FF" w:rsidRPr="00B1478B" w:rsidRDefault="009524FF" w:rsidP="009524FF">
      <w:pPr>
        <w:spacing w:after="600" w:line="240" w:lineRule="auto"/>
        <w:rPr>
          <w:rFonts w:ascii="Segoe UI Semibold" w:hAnsi="Segoe UI Semibold" w:cs="Segoe UI"/>
          <w:sz w:val="21"/>
          <w:szCs w:val="21"/>
        </w:rPr>
      </w:pPr>
      <w:r>
        <w:rPr>
          <w:rFonts w:ascii="Segoe UI Semibold" w:hAnsi="Segoe UI Semibold"/>
          <w:sz w:val="21"/>
        </w:rPr>
        <w:t>INFORMACJA PRASOWA</w:t>
      </w:r>
    </w:p>
    <w:p w:rsidR="00A57D27" w:rsidRDefault="00A57D27" w:rsidP="00A57D27">
      <w:pPr>
        <w:spacing w:after="160" w:line="240" w:lineRule="auto"/>
        <w:rPr>
          <w:rFonts w:ascii="Segoe UI Semibold" w:hAnsi="Segoe UI Semibold"/>
          <w:sz w:val="38"/>
        </w:rPr>
      </w:pPr>
      <w:r>
        <w:rPr>
          <w:rFonts w:ascii="Segoe UI Semibold" w:hAnsi="Segoe UI Semibold"/>
          <w:sz w:val="38"/>
        </w:rPr>
        <w:t xml:space="preserve">Prologis </w:t>
      </w:r>
      <w:r w:rsidR="0046424D">
        <w:rPr>
          <w:rFonts w:ascii="Segoe UI Semibold" w:hAnsi="Segoe UI Semibold"/>
          <w:sz w:val="38"/>
        </w:rPr>
        <w:t xml:space="preserve">Jako Jedyny z </w:t>
      </w:r>
      <w:r>
        <w:rPr>
          <w:rFonts w:ascii="Segoe UI Semibold" w:hAnsi="Segoe UI Semibold"/>
          <w:sz w:val="38"/>
        </w:rPr>
        <w:t xml:space="preserve">Najwyższą Oceną BREEAM </w:t>
      </w:r>
      <w:r w:rsidR="00133662">
        <w:rPr>
          <w:rFonts w:ascii="Segoe UI Semibold" w:hAnsi="Segoe UI Semibold"/>
          <w:sz w:val="38"/>
        </w:rPr>
        <w:br/>
      </w:r>
      <w:r>
        <w:rPr>
          <w:rFonts w:ascii="Segoe UI Semibold" w:hAnsi="Segoe UI Semibold"/>
          <w:sz w:val="38"/>
        </w:rPr>
        <w:t>w Czechach</w:t>
      </w:r>
    </w:p>
    <w:p w:rsidR="009524FF" w:rsidRDefault="0046424D" w:rsidP="009524FF">
      <w:pPr>
        <w:spacing w:after="160" w:line="240" w:lineRule="auto"/>
        <w:rPr>
          <w:b/>
          <w:sz w:val="20"/>
        </w:rPr>
      </w:pPr>
      <w:r>
        <w:rPr>
          <w:b/>
          <w:sz w:val="20"/>
        </w:rPr>
        <w:t xml:space="preserve">Ocena „outstanding” </w:t>
      </w:r>
      <w:r w:rsidR="009524FF">
        <w:rPr>
          <w:b/>
          <w:sz w:val="20"/>
        </w:rPr>
        <w:t>potwierdzenie</w:t>
      </w:r>
      <w:r w:rsidR="0098514B">
        <w:rPr>
          <w:b/>
          <w:sz w:val="20"/>
        </w:rPr>
        <w:t>m</w:t>
      </w:r>
      <w:r w:rsidR="009524FF">
        <w:rPr>
          <w:b/>
          <w:sz w:val="20"/>
        </w:rPr>
        <w:t xml:space="preserve"> pozycji  Prologis jako</w:t>
      </w:r>
      <w:r w:rsidR="00256422">
        <w:rPr>
          <w:b/>
          <w:sz w:val="20"/>
        </w:rPr>
        <w:t xml:space="preserve"> lidera w zakresie zrównoważonego budownictwa</w:t>
      </w:r>
      <w:r w:rsidR="009524FF">
        <w:rPr>
          <w:b/>
          <w:sz w:val="20"/>
        </w:rPr>
        <w:t xml:space="preserve"> </w:t>
      </w:r>
    </w:p>
    <w:p w:rsidR="00951D5D" w:rsidRDefault="009524FF" w:rsidP="00385140">
      <w:pPr>
        <w:spacing w:before="180" w:after="60"/>
        <w:rPr>
          <w:sz w:val="20"/>
        </w:rPr>
      </w:pPr>
      <w:r w:rsidRPr="00385140">
        <w:rPr>
          <w:sz w:val="20"/>
        </w:rPr>
        <w:t>Praga (6 czerwca 2017</w:t>
      </w:r>
      <w:r w:rsidR="004F3427" w:rsidRPr="00385140">
        <w:rPr>
          <w:sz w:val="20"/>
        </w:rPr>
        <w:t xml:space="preserve"> r.</w:t>
      </w:r>
      <w:r w:rsidRPr="00385140">
        <w:rPr>
          <w:sz w:val="20"/>
        </w:rPr>
        <w:t xml:space="preserve">) </w:t>
      </w:r>
      <w:bookmarkStart w:id="0" w:name="_Hlk479612662"/>
    </w:p>
    <w:p w:rsidR="00385140" w:rsidRPr="00385140" w:rsidRDefault="009524FF" w:rsidP="00385140">
      <w:pPr>
        <w:spacing w:before="180" w:after="60"/>
        <w:rPr>
          <w:sz w:val="20"/>
        </w:rPr>
      </w:pPr>
      <w:r>
        <w:rPr>
          <w:sz w:val="20"/>
        </w:rPr>
        <w:t xml:space="preserve">Prologis, Inc., globalny lider nieruchomości </w:t>
      </w:r>
      <w:r w:rsidR="0098514B">
        <w:rPr>
          <w:sz w:val="20"/>
        </w:rPr>
        <w:t>logistycznych</w:t>
      </w:r>
      <w:r>
        <w:rPr>
          <w:sz w:val="20"/>
        </w:rPr>
        <w:t>, poinformował dzisiaj, że</w:t>
      </w:r>
      <w:r w:rsidR="00256422">
        <w:rPr>
          <w:sz w:val="20"/>
        </w:rPr>
        <w:t xml:space="preserve"> budynek</w:t>
      </w:r>
      <w:r>
        <w:rPr>
          <w:sz w:val="20"/>
        </w:rPr>
        <w:t xml:space="preserve"> </w:t>
      </w:r>
      <w:r w:rsidR="00367290">
        <w:rPr>
          <w:sz w:val="20"/>
        </w:rPr>
        <w:t xml:space="preserve">typu build-to-suit (BTS) </w:t>
      </w:r>
      <w:r>
        <w:rPr>
          <w:sz w:val="20"/>
        </w:rPr>
        <w:t>o powierzchni 33 700 metrów kwadratowych zlokalizowany w Prologis Park Prague-Rudna</w:t>
      </w:r>
      <w:r w:rsidR="00367290">
        <w:rPr>
          <w:sz w:val="20"/>
        </w:rPr>
        <w:t>,</w:t>
      </w:r>
      <w:r>
        <w:rPr>
          <w:sz w:val="20"/>
        </w:rPr>
        <w:t xml:space="preserve"> </w:t>
      </w:r>
      <w:r w:rsidR="00367290">
        <w:rPr>
          <w:sz w:val="20"/>
        </w:rPr>
        <w:t>otrzymał najwyższą ocenę według systemu akredytacji BREEAM</w:t>
      </w:r>
      <w:r w:rsidR="00055E3F">
        <w:rPr>
          <w:sz w:val="20"/>
        </w:rPr>
        <w:t>,</w:t>
      </w:r>
      <w:r w:rsidR="00367290">
        <w:rPr>
          <w:sz w:val="20"/>
        </w:rPr>
        <w:t xml:space="preserve"> jako</w:t>
      </w:r>
      <w:r>
        <w:rPr>
          <w:sz w:val="20"/>
        </w:rPr>
        <w:t xml:space="preserve"> pierwszy obiekt dystrybucyjny w Czechach i drugi w Europie Środkow</w:t>
      </w:r>
      <w:r w:rsidR="00256422">
        <w:rPr>
          <w:sz w:val="20"/>
        </w:rPr>
        <w:t>o-</w:t>
      </w:r>
      <w:r>
        <w:rPr>
          <w:sz w:val="20"/>
        </w:rPr>
        <w:t xml:space="preserve">Wschodniej. </w:t>
      </w:r>
      <w:r w:rsidR="004E1EC6">
        <w:rPr>
          <w:sz w:val="20"/>
        </w:rPr>
        <w:t xml:space="preserve">Inwestycję zrealizowano dla czeskiego sprzedawcy artykułów sportowych firmy Sportisimo.  </w:t>
      </w:r>
    </w:p>
    <w:p w:rsidR="00133662" w:rsidRPr="00385140" w:rsidRDefault="009524FF" w:rsidP="00385140">
      <w:pPr>
        <w:spacing w:before="180" w:after="60"/>
        <w:rPr>
          <w:sz w:val="20"/>
        </w:rPr>
      </w:pPr>
      <w:r>
        <w:rPr>
          <w:sz w:val="20"/>
        </w:rPr>
        <w:t xml:space="preserve">BREEAM to </w:t>
      </w:r>
      <w:r w:rsidR="002A0850">
        <w:rPr>
          <w:sz w:val="20"/>
        </w:rPr>
        <w:t>wiodący system akredytacji</w:t>
      </w:r>
      <w:r>
        <w:rPr>
          <w:sz w:val="20"/>
        </w:rPr>
        <w:t xml:space="preserve"> projektów infrastrukturalnych oraz budynków pod kątem ich wpływu na środowisko. Ocena „wybitn</w:t>
      </w:r>
      <w:r w:rsidR="00367290">
        <w:rPr>
          <w:sz w:val="20"/>
        </w:rPr>
        <w:t>a</w:t>
      </w:r>
      <w:r>
        <w:rPr>
          <w:sz w:val="20"/>
        </w:rPr>
        <w:t xml:space="preserve">” </w:t>
      </w:r>
      <w:r w:rsidR="00133662">
        <w:rPr>
          <w:sz w:val="20"/>
        </w:rPr>
        <w:t xml:space="preserve">(„outstanding”) </w:t>
      </w:r>
      <w:r>
        <w:rPr>
          <w:sz w:val="20"/>
        </w:rPr>
        <w:t xml:space="preserve">jest przyznawana w przypadku uzyskania przez nieruchomość wyniku powyżej 85 procent w </w:t>
      </w:r>
      <w:r w:rsidR="002A0850">
        <w:rPr>
          <w:sz w:val="20"/>
        </w:rPr>
        <w:t>kilku</w:t>
      </w:r>
      <w:r>
        <w:rPr>
          <w:sz w:val="20"/>
        </w:rPr>
        <w:t xml:space="preserve"> </w:t>
      </w:r>
      <w:r w:rsidR="002A0850">
        <w:rPr>
          <w:sz w:val="20"/>
        </w:rPr>
        <w:t>głównych</w:t>
      </w:r>
      <w:r>
        <w:rPr>
          <w:sz w:val="20"/>
        </w:rPr>
        <w:t xml:space="preserve"> kategori</w:t>
      </w:r>
      <w:r w:rsidR="00A57D27">
        <w:rPr>
          <w:sz w:val="20"/>
        </w:rPr>
        <w:t>ach</w:t>
      </w:r>
      <w:r>
        <w:rPr>
          <w:sz w:val="20"/>
        </w:rPr>
        <w:t>, takich jak</w:t>
      </w:r>
      <w:r w:rsidR="00A57D27">
        <w:rPr>
          <w:sz w:val="20"/>
        </w:rPr>
        <w:t>:</w:t>
      </w:r>
      <w:r>
        <w:rPr>
          <w:sz w:val="20"/>
        </w:rPr>
        <w:t xml:space="preserve"> zarządzanie, </w:t>
      </w:r>
      <w:r w:rsidR="00D0475B">
        <w:rPr>
          <w:sz w:val="20"/>
        </w:rPr>
        <w:t xml:space="preserve">wykorzystanie terenu i ekologia, energia, zdrowie i </w:t>
      </w:r>
      <w:r w:rsidR="00385140">
        <w:rPr>
          <w:sz w:val="20"/>
        </w:rPr>
        <w:t xml:space="preserve">dobre </w:t>
      </w:r>
      <w:r w:rsidR="00D0475B">
        <w:rPr>
          <w:sz w:val="20"/>
        </w:rPr>
        <w:t xml:space="preserve">samopoczucie, </w:t>
      </w:r>
      <w:r>
        <w:rPr>
          <w:sz w:val="20"/>
        </w:rPr>
        <w:t>transport oraz innowacje.</w:t>
      </w:r>
    </w:p>
    <w:p w:rsidR="009524FF" w:rsidRPr="00385140" w:rsidRDefault="009524FF" w:rsidP="00385140">
      <w:pPr>
        <w:spacing w:before="180" w:after="60"/>
        <w:rPr>
          <w:sz w:val="20"/>
        </w:rPr>
      </w:pPr>
      <w:r>
        <w:rPr>
          <w:sz w:val="20"/>
        </w:rPr>
        <w:t xml:space="preserve">Ukończony w tym roku budynek 18 uzyskał końcową ocenę BREEAM na poziomie 88,1 procent. Jest to zasługą konstrukcji, która nie tylko wykorzystuje przyjazne dla środowiska materiały, ale także zapewnia istotne oszczędności operacyjne. Dzienne zużycie wody pitnej obniżono o 56 procent, </w:t>
      </w:r>
      <w:r w:rsidRPr="002A0FE2">
        <w:rPr>
          <w:sz w:val="20"/>
        </w:rPr>
        <w:t xml:space="preserve">natomiast zużycie energii </w:t>
      </w:r>
      <w:r w:rsidR="00D0475B" w:rsidRPr="002A0FE2">
        <w:rPr>
          <w:sz w:val="20"/>
        </w:rPr>
        <w:t xml:space="preserve">aż </w:t>
      </w:r>
      <w:r w:rsidRPr="002A0FE2">
        <w:rPr>
          <w:sz w:val="20"/>
        </w:rPr>
        <w:t xml:space="preserve">o 20 procent </w:t>
      </w:r>
      <w:r w:rsidR="00D0475B" w:rsidRPr="002A0FE2">
        <w:rPr>
          <w:sz w:val="20"/>
        </w:rPr>
        <w:t>w stosunku do</w:t>
      </w:r>
      <w:r w:rsidRPr="002A0FE2">
        <w:rPr>
          <w:sz w:val="20"/>
        </w:rPr>
        <w:t xml:space="preserve"> najsurowsz</w:t>
      </w:r>
      <w:r w:rsidR="00D0475B" w:rsidRPr="002A0FE2">
        <w:rPr>
          <w:sz w:val="20"/>
        </w:rPr>
        <w:t>ych</w:t>
      </w:r>
      <w:r w:rsidRPr="002A0FE2">
        <w:rPr>
          <w:sz w:val="20"/>
        </w:rPr>
        <w:t xml:space="preserve"> norm</w:t>
      </w:r>
      <w:r w:rsidRPr="00055E3F">
        <w:rPr>
          <w:sz w:val="20"/>
        </w:rPr>
        <w:t>.</w:t>
      </w:r>
      <w:r w:rsidR="00133662" w:rsidRPr="00385140">
        <w:rPr>
          <w:sz w:val="20"/>
        </w:rPr>
        <w:t xml:space="preserve"> </w:t>
      </w:r>
      <w:r w:rsidR="00D0475B">
        <w:rPr>
          <w:sz w:val="20"/>
        </w:rPr>
        <w:t>Wydajność</w:t>
      </w:r>
      <w:r>
        <w:rPr>
          <w:sz w:val="20"/>
        </w:rPr>
        <w:t xml:space="preserve"> energ</w:t>
      </w:r>
      <w:r w:rsidR="00D0475B">
        <w:rPr>
          <w:sz w:val="20"/>
        </w:rPr>
        <w:t>etyczna</w:t>
      </w:r>
      <w:r>
        <w:rPr>
          <w:sz w:val="20"/>
        </w:rPr>
        <w:t xml:space="preserve"> jest nieustannie kontrolowana przez najnowocześniejsze systemy pomiarowe, natomiast </w:t>
      </w:r>
      <w:r w:rsidR="001A55E0">
        <w:rPr>
          <w:sz w:val="20"/>
        </w:rPr>
        <w:t>instalacja</w:t>
      </w:r>
      <w:r>
        <w:rPr>
          <w:sz w:val="20"/>
        </w:rPr>
        <w:t xml:space="preserve"> wod</w:t>
      </w:r>
      <w:r w:rsidR="001A55E0">
        <w:rPr>
          <w:sz w:val="20"/>
        </w:rPr>
        <w:t>na</w:t>
      </w:r>
      <w:r>
        <w:rPr>
          <w:sz w:val="20"/>
        </w:rPr>
        <w:t xml:space="preserve"> </w:t>
      </w:r>
      <w:r w:rsidR="001A55E0">
        <w:rPr>
          <w:sz w:val="20"/>
        </w:rPr>
        <w:t>jest</w:t>
      </w:r>
      <w:r>
        <w:rPr>
          <w:sz w:val="20"/>
        </w:rPr>
        <w:t xml:space="preserve"> wyposażon</w:t>
      </w:r>
      <w:r w:rsidR="001A55E0">
        <w:rPr>
          <w:sz w:val="20"/>
        </w:rPr>
        <w:t>a</w:t>
      </w:r>
      <w:r>
        <w:rPr>
          <w:sz w:val="20"/>
        </w:rPr>
        <w:t xml:space="preserve"> w </w:t>
      </w:r>
      <w:r w:rsidR="001A55E0">
        <w:rPr>
          <w:sz w:val="20"/>
        </w:rPr>
        <w:t>system</w:t>
      </w:r>
      <w:r>
        <w:rPr>
          <w:sz w:val="20"/>
        </w:rPr>
        <w:t xml:space="preserve"> </w:t>
      </w:r>
      <w:r w:rsidR="001A55E0">
        <w:rPr>
          <w:sz w:val="20"/>
        </w:rPr>
        <w:t>detekcji</w:t>
      </w:r>
      <w:r>
        <w:rPr>
          <w:sz w:val="20"/>
        </w:rPr>
        <w:t xml:space="preserve"> wycieków.</w:t>
      </w:r>
    </w:p>
    <w:p w:rsidR="009524FF" w:rsidRPr="00385140" w:rsidRDefault="009524FF" w:rsidP="00385140">
      <w:pPr>
        <w:spacing w:before="180" w:after="60"/>
        <w:rPr>
          <w:sz w:val="20"/>
        </w:rPr>
      </w:pPr>
      <w:r>
        <w:rPr>
          <w:sz w:val="20"/>
        </w:rPr>
        <w:t xml:space="preserve">„Akredytacja </w:t>
      </w:r>
      <w:r w:rsidR="008E4877">
        <w:rPr>
          <w:sz w:val="20"/>
        </w:rPr>
        <w:t>BREEAM</w:t>
      </w:r>
      <w:r>
        <w:rPr>
          <w:sz w:val="20"/>
        </w:rPr>
        <w:t xml:space="preserve"> </w:t>
      </w:r>
      <w:r w:rsidR="008E4877">
        <w:rPr>
          <w:sz w:val="20"/>
        </w:rPr>
        <w:t>jest świadectwem</w:t>
      </w:r>
      <w:r>
        <w:rPr>
          <w:sz w:val="20"/>
        </w:rPr>
        <w:t xml:space="preserve"> innowacyjności, jakości i dbałości o detale, które Prologis zawsze bierze pod uwagę na etapie projektowania i budowy wszystkich </w:t>
      </w:r>
      <w:r w:rsidR="00A57D27">
        <w:rPr>
          <w:sz w:val="20"/>
        </w:rPr>
        <w:t xml:space="preserve">swoich </w:t>
      </w:r>
      <w:r>
        <w:rPr>
          <w:sz w:val="20"/>
        </w:rPr>
        <w:t xml:space="preserve">nieruchomości” — powiedział David Jakes, </w:t>
      </w:r>
      <w:r w:rsidR="008E4877" w:rsidRPr="00385140">
        <w:rPr>
          <w:sz w:val="20"/>
        </w:rPr>
        <w:t xml:space="preserve"> senior project manager</w:t>
      </w:r>
      <w:r>
        <w:rPr>
          <w:sz w:val="20"/>
        </w:rPr>
        <w:t xml:space="preserve"> Prologis</w:t>
      </w:r>
      <w:r w:rsidR="008E4877">
        <w:rPr>
          <w:sz w:val="20"/>
        </w:rPr>
        <w:t xml:space="preserve"> w</w:t>
      </w:r>
      <w:r>
        <w:rPr>
          <w:sz w:val="20"/>
        </w:rPr>
        <w:t xml:space="preserve"> Cz</w:t>
      </w:r>
      <w:r w:rsidR="008E4877">
        <w:rPr>
          <w:sz w:val="20"/>
        </w:rPr>
        <w:t>echach</w:t>
      </w:r>
      <w:r>
        <w:rPr>
          <w:sz w:val="20"/>
        </w:rPr>
        <w:t>. „</w:t>
      </w:r>
      <w:r w:rsidR="008E4877">
        <w:rPr>
          <w:sz w:val="20"/>
        </w:rPr>
        <w:t>Nasz zespół</w:t>
      </w:r>
      <w:r>
        <w:rPr>
          <w:sz w:val="20"/>
        </w:rPr>
        <w:t xml:space="preserve"> ściśle współpracował ze Sportisimo, dzięki czemu mog</w:t>
      </w:r>
      <w:r w:rsidR="008E4877">
        <w:rPr>
          <w:sz w:val="20"/>
        </w:rPr>
        <w:t>liśmy</w:t>
      </w:r>
      <w:r>
        <w:rPr>
          <w:sz w:val="20"/>
        </w:rPr>
        <w:t xml:space="preserve"> </w:t>
      </w:r>
      <w:r w:rsidR="008E4877">
        <w:rPr>
          <w:sz w:val="20"/>
        </w:rPr>
        <w:t>spełnić</w:t>
      </w:r>
      <w:r>
        <w:rPr>
          <w:sz w:val="20"/>
        </w:rPr>
        <w:t xml:space="preserve"> </w:t>
      </w:r>
      <w:r w:rsidR="008E4877">
        <w:rPr>
          <w:sz w:val="20"/>
        </w:rPr>
        <w:t>konkretne</w:t>
      </w:r>
      <w:r>
        <w:rPr>
          <w:sz w:val="20"/>
        </w:rPr>
        <w:t xml:space="preserve"> </w:t>
      </w:r>
      <w:r w:rsidR="008E4877">
        <w:rPr>
          <w:sz w:val="20"/>
        </w:rPr>
        <w:t>wymagania</w:t>
      </w:r>
      <w:r>
        <w:rPr>
          <w:sz w:val="20"/>
        </w:rPr>
        <w:t xml:space="preserve"> klienta oraz stworzyć nowoczesny </w:t>
      </w:r>
      <w:r w:rsidR="008E4877">
        <w:rPr>
          <w:sz w:val="20"/>
        </w:rPr>
        <w:t>budynek, który nie tylko</w:t>
      </w:r>
      <w:r>
        <w:rPr>
          <w:sz w:val="20"/>
        </w:rPr>
        <w:t xml:space="preserve"> poprawia komfort pracujących w nim osób</w:t>
      </w:r>
      <w:r w:rsidR="008E4877">
        <w:rPr>
          <w:sz w:val="20"/>
        </w:rPr>
        <w:t>, ale również</w:t>
      </w:r>
      <w:r>
        <w:rPr>
          <w:sz w:val="20"/>
        </w:rPr>
        <w:t xml:space="preserve"> zapewnia wymierne oszczędności”.</w:t>
      </w:r>
    </w:p>
    <w:p w:rsidR="009524FF" w:rsidRPr="00385140" w:rsidRDefault="009524FF" w:rsidP="00385140">
      <w:pPr>
        <w:spacing w:before="180" w:after="60"/>
        <w:rPr>
          <w:sz w:val="20"/>
        </w:rPr>
      </w:pPr>
      <w:r>
        <w:rPr>
          <w:sz w:val="20"/>
        </w:rPr>
        <w:t>Centrum dystrybucyjne Sportisimo składa się z dwóch prostokątnych hal przylegających z każdej strony do istniejącego budynku</w:t>
      </w:r>
      <w:r w:rsidR="00133662">
        <w:rPr>
          <w:sz w:val="20"/>
        </w:rPr>
        <w:t xml:space="preserve"> firmy</w:t>
      </w:r>
      <w:r>
        <w:rPr>
          <w:sz w:val="20"/>
        </w:rPr>
        <w:t>. Przez cały okres budowy stosowan</w:t>
      </w:r>
      <w:r w:rsidR="00875622">
        <w:rPr>
          <w:sz w:val="20"/>
        </w:rPr>
        <w:t>o</w:t>
      </w:r>
      <w:r>
        <w:rPr>
          <w:sz w:val="20"/>
        </w:rPr>
        <w:t xml:space="preserve"> zrównoważon</w:t>
      </w:r>
      <w:r w:rsidR="00875622">
        <w:rPr>
          <w:sz w:val="20"/>
        </w:rPr>
        <w:t>e</w:t>
      </w:r>
      <w:r>
        <w:rPr>
          <w:sz w:val="20"/>
        </w:rPr>
        <w:t xml:space="preserve"> </w:t>
      </w:r>
      <w:r w:rsidR="00875622">
        <w:rPr>
          <w:sz w:val="20"/>
        </w:rPr>
        <w:t>rozwiązania, które</w:t>
      </w:r>
      <w:r>
        <w:rPr>
          <w:sz w:val="20"/>
        </w:rPr>
        <w:t xml:space="preserve"> zakłada</w:t>
      </w:r>
      <w:r w:rsidR="00875622">
        <w:rPr>
          <w:sz w:val="20"/>
        </w:rPr>
        <w:t>ły</w:t>
      </w:r>
      <w:r w:rsidR="00021FBF">
        <w:rPr>
          <w:sz w:val="20"/>
        </w:rPr>
        <w:t>:</w:t>
      </w:r>
      <w:r>
        <w:rPr>
          <w:sz w:val="20"/>
        </w:rPr>
        <w:t xml:space="preserve"> przestrzeganie surowych wymogów w celu uniknięcia zanieczyszczeń i zagrożeń dla zdrowia oraz bezpieczeństwa, wybieranie materiałów w oparciu o analizę kosztu </w:t>
      </w:r>
      <w:r w:rsidR="006A71AE">
        <w:rPr>
          <w:sz w:val="20"/>
        </w:rPr>
        <w:t xml:space="preserve">cyklu ich </w:t>
      </w:r>
      <w:r>
        <w:rPr>
          <w:sz w:val="20"/>
        </w:rPr>
        <w:t>życia, a także minimalizowanie ilości odpadów poprze</w:t>
      </w:r>
      <w:r w:rsidR="00055E3F">
        <w:rPr>
          <w:sz w:val="20"/>
        </w:rPr>
        <w:t>z</w:t>
      </w:r>
      <w:r>
        <w:rPr>
          <w:sz w:val="20"/>
        </w:rPr>
        <w:t xml:space="preserve"> ponowne wykorzystywanie i poddawanie recyklingowi </w:t>
      </w:r>
      <w:r w:rsidR="00055E3F">
        <w:rPr>
          <w:sz w:val="20"/>
        </w:rPr>
        <w:t>dużej</w:t>
      </w:r>
      <w:r>
        <w:rPr>
          <w:sz w:val="20"/>
        </w:rPr>
        <w:t xml:space="preserve"> ich części. </w:t>
      </w:r>
    </w:p>
    <w:p w:rsidR="009524FF" w:rsidRPr="00385140" w:rsidRDefault="009524FF" w:rsidP="009524FF">
      <w:pPr>
        <w:spacing w:before="180" w:after="60"/>
        <w:rPr>
          <w:sz w:val="20"/>
        </w:rPr>
      </w:pPr>
      <w:r>
        <w:rPr>
          <w:sz w:val="20"/>
        </w:rPr>
        <w:t xml:space="preserve">Wnętrze obiektu zaprojektowano, mając na uwadze komfort wszystkich jego użytkowników. Jest </w:t>
      </w:r>
      <w:r w:rsidR="004430C2">
        <w:rPr>
          <w:sz w:val="20"/>
        </w:rPr>
        <w:t xml:space="preserve"> </w:t>
      </w:r>
      <w:r>
        <w:rPr>
          <w:sz w:val="20"/>
        </w:rPr>
        <w:t>wyposażone w system regulacji temperatury</w:t>
      </w:r>
      <w:r w:rsidRPr="00055E3F">
        <w:rPr>
          <w:sz w:val="20"/>
        </w:rPr>
        <w:t xml:space="preserve">, </w:t>
      </w:r>
      <w:r w:rsidRPr="002A0FE2">
        <w:rPr>
          <w:sz w:val="20"/>
        </w:rPr>
        <w:t>zapewnia światł</w:t>
      </w:r>
      <w:r w:rsidR="00875622" w:rsidRPr="002A0FE2">
        <w:rPr>
          <w:sz w:val="20"/>
        </w:rPr>
        <w:t>o</w:t>
      </w:r>
      <w:r w:rsidRPr="002A0FE2">
        <w:rPr>
          <w:sz w:val="20"/>
        </w:rPr>
        <w:t xml:space="preserve"> dzienne oraz</w:t>
      </w:r>
      <w:r w:rsidR="00875622" w:rsidRPr="002A0FE2">
        <w:rPr>
          <w:sz w:val="20"/>
        </w:rPr>
        <w:t xml:space="preserve"> dopływ</w:t>
      </w:r>
      <w:r w:rsidRPr="002A0FE2">
        <w:rPr>
          <w:sz w:val="20"/>
        </w:rPr>
        <w:t xml:space="preserve"> świeżego powietrza z wykorzystaniem układu wentylacji</w:t>
      </w:r>
      <w:r w:rsidRPr="00055E3F">
        <w:rPr>
          <w:sz w:val="20"/>
        </w:rPr>
        <w:t>, a także poz</w:t>
      </w:r>
      <w:r>
        <w:rPr>
          <w:sz w:val="20"/>
        </w:rPr>
        <w:t xml:space="preserve">wala na zmniejszenie poziomu hałasu. </w:t>
      </w:r>
      <w:r w:rsidR="004430C2">
        <w:rPr>
          <w:sz w:val="20"/>
        </w:rPr>
        <w:t xml:space="preserve">Ekologiczny charakter inwestycji </w:t>
      </w:r>
      <w:r w:rsidR="00990A89">
        <w:rPr>
          <w:sz w:val="20"/>
        </w:rPr>
        <w:t>nadają</w:t>
      </w:r>
      <w:r w:rsidR="004430C2">
        <w:rPr>
          <w:sz w:val="20"/>
        </w:rPr>
        <w:t xml:space="preserve"> o</w:t>
      </w:r>
      <w:r>
        <w:rPr>
          <w:sz w:val="20"/>
        </w:rPr>
        <w:t>taczają</w:t>
      </w:r>
      <w:r w:rsidR="004430C2">
        <w:rPr>
          <w:sz w:val="20"/>
        </w:rPr>
        <w:t xml:space="preserve">ce ją </w:t>
      </w:r>
      <w:r w:rsidR="00875622">
        <w:rPr>
          <w:sz w:val="20"/>
        </w:rPr>
        <w:t>rozległ</w:t>
      </w:r>
      <w:r w:rsidR="004430C2">
        <w:rPr>
          <w:sz w:val="20"/>
        </w:rPr>
        <w:t>e</w:t>
      </w:r>
      <w:r>
        <w:rPr>
          <w:sz w:val="20"/>
        </w:rPr>
        <w:t xml:space="preserve"> teren</w:t>
      </w:r>
      <w:r w:rsidR="004430C2">
        <w:rPr>
          <w:sz w:val="20"/>
        </w:rPr>
        <w:t>y</w:t>
      </w:r>
      <w:r>
        <w:rPr>
          <w:sz w:val="20"/>
        </w:rPr>
        <w:t xml:space="preserve"> zielon</w:t>
      </w:r>
      <w:r w:rsidR="004430C2">
        <w:rPr>
          <w:sz w:val="20"/>
        </w:rPr>
        <w:t>e</w:t>
      </w:r>
      <w:r w:rsidR="00990A89">
        <w:rPr>
          <w:sz w:val="20"/>
        </w:rPr>
        <w:t>, które</w:t>
      </w:r>
      <w:r>
        <w:rPr>
          <w:sz w:val="20"/>
        </w:rPr>
        <w:t xml:space="preserve"> stanowią </w:t>
      </w:r>
      <w:r w:rsidR="00990A89">
        <w:rPr>
          <w:sz w:val="20"/>
        </w:rPr>
        <w:t>środowisko naturalne</w:t>
      </w:r>
      <w:r w:rsidR="004430C2">
        <w:rPr>
          <w:sz w:val="20"/>
        </w:rPr>
        <w:t xml:space="preserve"> </w:t>
      </w:r>
      <w:r w:rsidR="00990A89">
        <w:rPr>
          <w:sz w:val="20"/>
        </w:rPr>
        <w:t xml:space="preserve">dla  </w:t>
      </w:r>
      <w:r>
        <w:rPr>
          <w:sz w:val="20"/>
        </w:rPr>
        <w:t>różnych gatunków</w:t>
      </w:r>
      <w:r w:rsidR="00990A89">
        <w:rPr>
          <w:sz w:val="20"/>
        </w:rPr>
        <w:t xml:space="preserve"> roślin i zwierząt</w:t>
      </w:r>
      <w:r>
        <w:rPr>
          <w:sz w:val="20"/>
        </w:rPr>
        <w:t>.</w:t>
      </w:r>
      <w:r w:rsidRPr="00385140">
        <w:rPr>
          <w:sz w:val="20"/>
        </w:rPr>
        <w:t xml:space="preserve"> </w:t>
      </w:r>
    </w:p>
    <w:p w:rsidR="009524FF" w:rsidRPr="00363C5F" w:rsidRDefault="009524FF" w:rsidP="009524FF">
      <w:pPr>
        <w:spacing w:before="180" w:after="60"/>
        <w:rPr>
          <w:rFonts w:cs="Segoe UI"/>
          <w:bCs/>
          <w:sz w:val="20"/>
          <w:szCs w:val="20"/>
        </w:rPr>
      </w:pPr>
      <w:r>
        <w:rPr>
          <w:sz w:val="20"/>
        </w:rPr>
        <w:t xml:space="preserve">Prologis Park Prague-Rudna znajduje się przy autostradzie D5 i jest oddalony od centrum Pragi o 20 minut jazdy. Składa się z 18 nowoczesnych budynków dystrybucyjnych o łącznej powierzchni 213 000 metrów kwadratowych. </w:t>
      </w:r>
    </w:p>
    <w:p w:rsidR="009524FF" w:rsidRDefault="00B05ACD" w:rsidP="009524FF">
      <w:pPr>
        <w:spacing w:before="180" w:after="0"/>
        <w:rPr>
          <w:sz w:val="20"/>
        </w:rPr>
      </w:pPr>
      <w:r>
        <w:rPr>
          <w:sz w:val="20"/>
        </w:rPr>
        <w:t xml:space="preserve">Z portfolio o łącznej powierzchni miliona metrów kwadratowych Prologis jest wiodącym </w:t>
      </w:r>
      <w:r w:rsidR="009524FF">
        <w:rPr>
          <w:sz w:val="20"/>
        </w:rPr>
        <w:t>dostawc</w:t>
      </w:r>
      <w:r>
        <w:rPr>
          <w:sz w:val="20"/>
        </w:rPr>
        <w:t>ą</w:t>
      </w:r>
      <w:r w:rsidR="009524FF">
        <w:rPr>
          <w:sz w:val="20"/>
        </w:rPr>
        <w:t xml:space="preserve"> </w:t>
      </w:r>
      <w:r>
        <w:rPr>
          <w:sz w:val="20"/>
        </w:rPr>
        <w:t>powierzchni logistycznej</w:t>
      </w:r>
      <w:r w:rsidR="009524FF">
        <w:rPr>
          <w:sz w:val="20"/>
        </w:rPr>
        <w:t xml:space="preserve"> w Czechach (stan na 31 marca 2017 r.).</w:t>
      </w:r>
    </w:p>
    <w:bookmarkEnd w:id="0"/>
    <w:p w:rsidR="009524FF" w:rsidRDefault="009524FF" w:rsidP="009524FF">
      <w:pPr>
        <w:spacing w:after="60"/>
        <w:rPr>
          <w:rFonts w:ascii="Segoe UI Semibold" w:hAnsi="Segoe UI Semibold"/>
          <w:sz w:val="20"/>
          <w:szCs w:val="20"/>
        </w:rPr>
      </w:pPr>
    </w:p>
    <w:p w:rsidR="006A71AE" w:rsidRDefault="006A71AE" w:rsidP="006A71AE">
      <w:pPr>
        <w:spacing w:after="0"/>
        <w:rPr>
          <w:rFonts w:ascii="Segoe UI Semibold" w:hAnsi="Segoe UI Semibold"/>
          <w:color w:val="auto"/>
          <w:sz w:val="18"/>
          <w:szCs w:val="18"/>
        </w:rPr>
      </w:pPr>
      <w:r>
        <w:rPr>
          <w:rFonts w:ascii="Segoe UI Semibold" w:hAnsi="Segoe UI Semibold"/>
          <w:color w:val="auto"/>
          <w:sz w:val="18"/>
          <w:szCs w:val="18"/>
        </w:rPr>
        <w:t>O Prologis</w:t>
      </w:r>
    </w:p>
    <w:p w:rsidR="006A71AE" w:rsidRDefault="006A71AE" w:rsidP="006A71AE">
      <w:pPr>
        <w:spacing w:after="0" w:line="240" w:lineRule="auto"/>
        <w:rPr>
          <w:rFonts w:eastAsia="Times New Roman" w:cs="Segoe UI"/>
          <w:color w:val="auto"/>
          <w:sz w:val="18"/>
          <w:szCs w:val="18"/>
          <w:lang w:eastAsia="sk-SK"/>
        </w:rPr>
      </w:pPr>
      <w:r>
        <w:rPr>
          <w:rFonts w:eastAsia="Times New Roman" w:cs="Segoe UI"/>
          <w:color w:val="auto"/>
          <w:sz w:val="18"/>
          <w:szCs w:val="18"/>
          <w:lang w:eastAsia="sk-SK"/>
        </w:rPr>
        <w:t>Prologis, Inc., jest światowym liderem na rynku nieruchomości logistycznych skoncentrowanym na dynamicznie rozwijających się rynkach z wysokimi barierami wejścia. Prologis jest właścicielem lub inwestorem (w ujęciu skonsolidowanym lub poprzez nieskonsolidowane spółki joint venture) nieruchomości i projektów deweloperskich o oczekiwanej łącznej powierzchni 63 milionów metrów kwadratowych w 20 krajach (stan na 31 marca  2017). Prologis wynajmuje nowoczesne obiekty dystrybucyjne ponad 5 200 różnym klientom obejmujących dwie główne kategorie: B2B oraz handel detaliczny/usługi e-fulfillment.</w:t>
      </w:r>
    </w:p>
    <w:p w:rsidR="006A71AE" w:rsidRDefault="006A71AE" w:rsidP="006A71AE">
      <w:pPr>
        <w:spacing w:after="0"/>
        <w:rPr>
          <w:rFonts w:cs="Segoe UI"/>
          <w:bCs/>
          <w:color w:val="000000" w:themeColor="text1"/>
          <w:sz w:val="18"/>
          <w:szCs w:val="20"/>
          <w:highlight w:val="yellow"/>
          <w:lang w:eastAsia="en-US"/>
        </w:rPr>
      </w:pPr>
      <w:bookmarkStart w:id="1" w:name="_Hlk479683859"/>
    </w:p>
    <w:bookmarkEnd w:id="1"/>
    <w:p w:rsidR="006A71AE" w:rsidRDefault="006A71AE" w:rsidP="006A71AE">
      <w:pPr>
        <w:spacing w:after="0"/>
        <w:rPr>
          <w:rFonts w:ascii="Segoe UI Semibold" w:hAnsi="Segoe UI Semibold"/>
          <w:color w:val="auto"/>
          <w:sz w:val="18"/>
          <w:szCs w:val="18"/>
        </w:rPr>
      </w:pPr>
      <w:r>
        <w:rPr>
          <w:rFonts w:ascii="Segoe UI Semibold" w:hAnsi="Segoe UI Semibold"/>
          <w:color w:val="auto"/>
          <w:sz w:val="18"/>
          <w:szCs w:val="18"/>
        </w:rPr>
        <w:t>Zastrzeżenia prawne</w:t>
      </w:r>
    </w:p>
    <w:p w:rsidR="006A71AE" w:rsidRDefault="006A71AE" w:rsidP="006A71AE">
      <w:pPr>
        <w:spacing w:after="0" w:line="240" w:lineRule="auto"/>
        <w:rPr>
          <w:rFonts w:eastAsia="Times New Roman" w:cs="Segoe UI"/>
          <w:color w:val="auto"/>
          <w:sz w:val="18"/>
          <w:szCs w:val="18"/>
          <w:lang w:eastAsia="sk-SK"/>
        </w:rPr>
      </w:pPr>
      <w:r>
        <w:rPr>
          <w:rFonts w:eastAsia="Times New Roman" w:cs="Segoe UI"/>
          <w:color w:val="auto"/>
          <w:sz w:val="18"/>
          <w:szCs w:val="18"/>
          <w:lang w:eastAsia="sk-SK"/>
        </w:rPr>
        <w:t xml:space="preserve">Wszelkie zawarte w niniejszym komunikacie prasowym informacje, które nie są faktami historycznymi mają wyłącznie charakter oświadczeń dotyczących okresów przyszłych </w:t>
      </w:r>
      <w:r w:rsidR="00804DB1">
        <w:rPr>
          <w:rFonts w:eastAsia="Times New Roman" w:cs="Segoe UI"/>
          <w:color w:val="auto"/>
          <w:sz w:val="18"/>
          <w:szCs w:val="18"/>
          <w:lang w:eastAsia="sk-SK"/>
        </w:rPr>
        <w:t xml:space="preserve">w rozumieniu Punktu 27A Ustawy </w:t>
      </w:r>
      <w:r>
        <w:rPr>
          <w:rFonts w:eastAsia="Times New Roman" w:cs="Segoe UI"/>
          <w:color w:val="auto"/>
          <w:sz w:val="18"/>
          <w:szCs w:val="18"/>
          <w:lang w:eastAsia="sk-SK"/>
        </w:rPr>
        <w:t>o Papierach Wartościowych z 1933 r., wraz z późniejszymi zmianami, oraz Punktu 21E Ustawy o Giełdzie Papierów Wartościowych z 1934 r., wraz z późniejszymi zmianami. Owe oświadczenia dotyczące okresów przyszłych oparte są na bieżących oczekiwaniach, szacunkach i prognozach dotyczących branży oraz rynków, na których działa Prologis, na opiniach zarządu oraz na przyjętych przez zarząd założeniach. Oświadczenia takie uwzględniają liczne niepewności, które mogą w sposób znaczący wpłynąć na wyniki finansowe Prologis. Wyrażenia takie jak „oczekuje”, „spodziewa się”, „zamierza”, „planuje”, „uważa”, „dąży do”, „szacuje” wraz z ich wszelkimi odmianami oraz podo</w:t>
      </w:r>
      <w:r w:rsidR="00804DB1">
        <w:rPr>
          <w:rFonts w:eastAsia="Times New Roman" w:cs="Segoe UI"/>
          <w:color w:val="auto"/>
          <w:sz w:val="18"/>
          <w:szCs w:val="18"/>
          <w:lang w:eastAsia="sk-SK"/>
        </w:rPr>
        <w:t xml:space="preserve">bnymi określeniami mają na celu </w:t>
      </w:r>
      <w:r>
        <w:rPr>
          <w:rFonts w:eastAsia="Times New Roman" w:cs="Segoe UI"/>
          <w:color w:val="auto"/>
          <w:sz w:val="18"/>
          <w:szCs w:val="18"/>
          <w:lang w:eastAsia="sk-SK"/>
        </w:rPr>
        <w:t>zidentyfikowanie takich oświadczeń dotyczących okresów przyszłych, któr</w:t>
      </w:r>
      <w:r w:rsidR="00804DB1">
        <w:rPr>
          <w:rFonts w:eastAsia="Times New Roman" w:cs="Segoe UI"/>
          <w:color w:val="auto"/>
          <w:sz w:val="18"/>
          <w:szCs w:val="18"/>
          <w:lang w:eastAsia="sk-SK"/>
        </w:rPr>
        <w:t xml:space="preserve">e nie są zwykle oświadczeniami  </w:t>
      </w:r>
      <w:r>
        <w:rPr>
          <w:rFonts w:eastAsia="Times New Roman" w:cs="Segoe UI"/>
          <w:color w:val="auto"/>
          <w:sz w:val="18"/>
          <w:szCs w:val="18"/>
          <w:lang w:eastAsia="sk-SK"/>
        </w:rPr>
        <w:t>o charakterze historycznym. Wszystkie oświadczenia odnoszące się do wyników operacyjnych lub wydarzeń, których oczekujemy, lub których się spodziewamy w przyszłości - w tym oświadczenia dotyczące wzrostu wskaźników wynajmu i zajętości, działalności deweloperskiej, z  udziałów w powierzchni  czy pozbywania się aktywów, warunków ogólnych na obszarach geograficznych, na których działamy, naszego zadłużenia i sytuacji finansowej, naszych zdolności do powoływania nowych przedsięwzięć inwestycyjnych oraz dostępności kapitału w istniejących lub nowych, wspólnych przedsięwzięciach inwestycyjnych – są oświadczeniami dotyczącymi okresów przyszłych. Oświadczenia te nie stanowią gwarancji osiąganych w przyszłości wyników i wiążą się z pewnym ryzykiem, niepewnością i założeniami, które są trudne do przewidzenia. Choć uważamy, że oczekiwania przedstawione we wszelkich oświadczeniach dotyczących okresów przyszłych oparte są na rozsądnych i uzasadnionych założeniach, to nie możemy zagwarantować, że nasze oczekiwania się spełnią, a przez to rzeczywiste wyniki i rezultaty mogą różnić się znacząco od tego, co wyrażono lub przewidziano w takich oświadczeniach dotyczących okresów przyszłych. Do czynników, które mogą wpłynąć na osiągane wyniki i rezultaty należą, między innymi: (i) koniunktura gospodarcza na poziomie krajowym, międzynarodowym, regionalnym i lokalnym, (ii) zmiany na rynkach finansowych, zmiany stóp procentowych oraz kursów walut, (iii) zwiększona lub niespodziewana konkurencja związana z naszymi obiektami, (iv) ryzyka dotyczące przejęć, sprzedaży oraz budowy obiektów, (v) zachowanie statusu i struktury podatkowej Funduszu Inwestycji w Nieruchomości (Real Estate Investment Trust - REIT), (vi) dostępność finansowania i kapitału, poziomy utrzymywanego przez nas zadłużenia oraz nasze oceny kredytowe, (vii) ryzyka związane z naszymi inwestycjami we wspólne przedsięwzięcia inwestycyjne oraz fundusze, w tym nasza zdolność do powoływania nowych, wspólnych przedsięwzięć inwestycyjnych, (viii) ryzyko prowadzenia działalności na szczeblu międzynarodowym, w tym ryzyko kursowe, (ix) nieprzewidywalne czynniki naturalne, w tym ryzyko wystąpienia katastrof naturalnych, oraz (x) czynniki dodatkowe wymienione w raportach złożonych przez Prologis do Komisji Papierów Wartościowych i Giełd, ujęte pod nagłówkiem „Czynniki ryzyka.”  Prologis nie ma obowiązku aktualizowania żadnych oświadczeń dotyczących okresów przyszłych zawartych w niniejszej publikacji z wyjątkiem tych, które mogą być wymagane przez przepisy prawa.</w:t>
      </w:r>
    </w:p>
    <w:p w:rsidR="006A71AE" w:rsidRDefault="006A71AE" w:rsidP="006A71AE">
      <w:pPr>
        <w:spacing w:after="0" w:line="240" w:lineRule="auto"/>
        <w:jc w:val="both"/>
        <w:rPr>
          <w:rFonts w:eastAsia="Times New Roman" w:cs="Segoe UI"/>
          <w:b/>
          <w:caps/>
          <w:color w:val="auto"/>
          <w:sz w:val="18"/>
          <w:szCs w:val="18"/>
          <w:lang w:eastAsia="sk-SK"/>
        </w:rPr>
      </w:pPr>
    </w:p>
    <w:p w:rsidR="006A71AE" w:rsidRDefault="006A71AE" w:rsidP="006A71AE">
      <w:pPr>
        <w:spacing w:after="0" w:line="240" w:lineRule="auto"/>
        <w:rPr>
          <w:rFonts w:ascii="Segoe UI Semibold" w:hAnsi="Segoe UI Semibold" w:cs="Segoe UI"/>
          <w:bCs/>
          <w:color w:val="000000" w:themeColor="text1"/>
          <w:sz w:val="18"/>
          <w:szCs w:val="18"/>
          <w:lang w:val="en-US" w:eastAsia="en-US"/>
        </w:rPr>
      </w:pPr>
      <w:r w:rsidRPr="002A0FE2">
        <w:rPr>
          <w:rFonts w:ascii="Segoe UI Semibold" w:hAnsi="Segoe UI Semibold" w:cs="Segoe UI"/>
          <w:bCs/>
          <w:sz w:val="18"/>
          <w:szCs w:val="18"/>
          <w:lang w:val="en-US"/>
        </w:rPr>
        <w:t>KONTAKT:</w:t>
      </w:r>
    </w:p>
    <w:p w:rsidR="006A71AE" w:rsidRPr="002A0FE2" w:rsidRDefault="006A71AE" w:rsidP="006A71AE">
      <w:pPr>
        <w:spacing w:after="0" w:line="240" w:lineRule="auto"/>
        <w:rPr>
          <w:rFonts w:ascii="Segoe UI Semibold" w:hAnsi="Segoe UI Semibold" w:cs="Segoe UI"/>
          <w:bCs/>
          <w:sz w:val="18"/>
          <w:szCs w:val="18"/>
          <w:lang w:val="en-US"/>
        </w:rPr>
      </w:pPr>
    </w:p>
    <w:p w:rsidR="006A71AE" w:rsidRPr="002A0FE2" w:rsidRDefault="006A71AE" w:rsidP="006A71AE">
      <w:pPr>
        <w:tabs>
          <w:tab w:val="left" w:pos="0"/>
        </w:tabs>
        <w:autoSpaceDE w:val="0"/>
        <w:autoSpaceDN w:val="0"/>
        <w:adjustRightInd w:val="0"/>
        <w:spacing w:after="0" w:line="240" w:lineRule="auto"/>
        <w:jc w:val="both"/>
        <w:rPr>
          <w:rFonts w:eastAsia="Times New Roman" w:cs="Segoe UI"/>
          <w:color w:val="auto"/>
          <w:sz w:val="18"/>
          <w:szCs w:val="18"/>
          <w:lang w:val="en-US" w:eastAsia="sk-SK"/>
        </w:rPr>
      </w:pPr>
      <w:r w:rsidRPr="002A0FE2">
        <w:rPr>
          <w:rFonts w:eastAsia="Times New Roman" w:cs="Segoe UI"/>
          <w:color w:val="auto"/>
          <w:sz w:val="18"/>
          <w:szCs w:val="18"/>
          <w:lang w:val="en-US" w:eastAsia="sk-SK"/>
        </w:rPr>
        <w:t>Marta Tęsiorowska</w:t>
      </w:r>
      <w:r w:rsidRPr="002A0FE2">
        <w:rPr>
          <w:rFonts w:eastAsia="Times New Roman" w:cs="Segoe UI"/>
          <w:color w:val="auto"/>
          <w:sz w:val="18"/>
          <w:szCs w:val="18"/>
          <w:lang w:val="en-US" w:eastAsia="sk-SK"/>
        </w:rPr>
        <w:tab/>
      </w:r>
      <w:r w:rsidRPr="002A0FE2">
        <w:rPr>
          <w:rFonts w:eastAsia="Times New Roman" w:cs="Segoe UI"/>
          <w:color w:val="auto"/>
          <w:sz w:val="18"/>
          <w:szCs w:val="18"/>
          <w:lang w:val="en-US" w:eastAsia="sk-SK"/>
        </w:rPr>
        <w:tab/>
      </w:r>
      <w:r w:rsidRPr="002A0FE2">
        <w:rPr>
          <w:rFonts w:eastAsia="Times New Roman" w:cs="Segoe UI"/>
          <w:color w:val="auto"/>
          <w:sz w:val="18"/>
          <w:szCs w:val="18"/>
          <w:lang w:val="en-US" w:eastAsia="sk-SK"/>
        </w:rPr>
        <w:tab/>
      </w:r>
      <w:r w:rsidRPr="002A0FE2">
        <w:rPr>
          <w:rFonts w:eastAsia="Times New Roman" w:cs="Segoe UI"/>
          <w:color w:val="auto"/>
          <w:sz w:val="18"/>
          <w:szCs w:val="18"/>
          <w:lang w:val="en-US" w:eastAsia="sk-SK"/>
        </w:rPr>
        <w:tab/>
      </w:r>
    </w:p>
    <w:p w:rsidR="006A71AE" w:rsidRPr="00804DB1" w:rsidRDefault="006A71AE" w:rsidP="006A71AE">
      <w:pPr>
        <w:tabs>
          <w:tab w:val="left" w:pos="720"/>
        </w:tabs>
        <w:autoSpaceDE w:val="0"/>
        <w:autoSpaceDN w:val="0"/>
        <w:adjustRightInd w:val="0"/>
        <w:spacing w:after="0" w:line="240" w:lineRule="auto"/>
        <w:jc w:val="both"/>
        <w:rPr>
          <w:rFonts w:eastAsia="Times New Roman" w:cs="Segoe UI"/>
          <w:color w:val="auto"/>
          <w:sz w:val="18"/>
          <w:szCs w:val="18"/>
          <w:lang w:val="en-US" w:eastAsia="sk-SK"/>
        </w:rPr>
      </w:pPr>
      <w:r w:rsidRPr="002A0FE2">
        <w:rPr>
          <w:rFonts w:eastAsia="Times New Roman" w:cs="Segoe UI"/>
          <w:color w:val="auto"/>
          <w:sz w:val="18"/>
          <w:szCs w:val="18"/>
          <w:lang w:val="en-US" w:eastAsia="sk-SK"/>
        </w:rPr>
        <w:t>Vice President, Head of Marketing and Communications Europe</w:t>
      </w:r>
      <w:r w:rsidR="00804DB1">
        <w:rPr>
          <w:rFonts w:eastAsia="Times New Roman" w:cs="Segoe UI"/>
          <w:color w:val="auto"/>
          <w:sz w:val="18"/>
          <w:szCs w:val="18"/>
          <w:lang w:val="en-US" w:eastAsia="sk-SK"/>
        </w:rPr>
        <w:t xml:space="preserve">, </w:t>
      </w:r>
      <w:r w:rsidRPr="00385140">
        <w:rPr>
          <w:rFonts w:eastAsia="Times New Roman" w:cs="Segoe UI"/>
          <w:color w:val="auto"/>
          <w:sz w:val="18"/>
          <w:szCs w:val="18"/>
          <w:lang w:val="en-US" w:eastAsia="sk-SK"/>
        </w:rPr>
        <w:t>Prologis</w:t>
      </w:r>
      <w:r w:rsidRPr="00385140">
        <w:rPr>
          <w:rFonts w:eastAsia="Times New Roman" w:cs="Segoe UI"/>
          <w:color w:val="auto"/>
          <w:sz w:val="18"/>
          <w:szCs w:val="18"/>
          <w:lang w:val="en-US" w:eastAsia="sk-SK"/>
        </w:rPr>
        <w:tab/>
      </w:r>
    </w:p>
    <w:p w:rsidR="006A71AE" w:rsidRDefault="006A71AE" w:rsidP="006A7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autoSpaceDE w:val="0"/>
        <w:autoSpaceDN w:val="0"/>
        <w:adjustRightInd w:val="0"/>
        <w:spacing w:after="0" w:line="240" w:lineRule="auto"/>
        <w:jc w:val="both"/>
        <w:rPr>
          <w:rFonts w:eastAsia="Times New Roman" w:cs="Segoe UI"/>
          <w:color w:val="auto"/>
          <w:sz w:val="18"/>
          <w:szCs w:val="18"/>
          <w:lang w:eastAsia="sk-SK"/>
        </w:rPr>
      </w:pPr>
      <w:r>
        <w:rPr>
          <w:rFonts w:eastAsia="Times New Roman" w:cs="Segoe UI"/>
          <w:color w:val="auto"/>
          <w:sz w:val="18"/>
          <w:szCs w:val="18"/>
          <w:lang w:eastAsia="sk-SK"/>
        </w:rPr>
        <w:t>+48 22 218 36 56;  mtesiorowska@prologis.com</w:t>
      </w:r>
      <w:r>
        <w:rPr>
          <w:rFonts w:eastAsia="Times New Roman" w:cs="Segoe UI"/>
          <w:color w:val="auto"/>
          <w:sz w:val="18"/>
          <w:szCs w:val="18"/>
          <w:lang w:eastAsia="sk-SK"/>
        </w:rPr>
        <w:tab/>
      </w:r>
      <w:r>
        <w:rPr>
          <w:rFonts w:eastAsia="Times New Roman" w:cs="Segoe UI"/>
          <w:color w:val="auto"/>
          <w:sz w:val="18"/>
          <w:szCs w:val="18"/>
          <w:lang w:eastAsia="sk-SK"/>
        </w:rPr>
        <w:tab/>
      </w:r>
    </w:p>
    <w:p w:rsidR="006A71AE" w:rsidRDefault="006A71AE" w:rsidP="006A71AE">
      <w:pPr>
        <w:autoSpaceDE w:val="0"/>
        <w:autoSpaceDN w:val="0"/>
        <w:adjustRightInd w:val="0"/>
        <w:spacing w:after="0" w:line="240" w:lineRule="auto"/>
        <w:jc w:val="both"/>
        <w:rPr>
          <w:rFonts w:eastAsia="Times New Roman" w:cs="Segoe UI"/>
          <w:color w:val="auto"/>
          <w:sz w:val="18"/>
          <w:szCs w:val="18"/>
          <w:lang w:eastAsia="sk-SK"/>
        </w:rPr>
      </w:pPr>
    </w:p>
    <w:p w:rsidR="006A71AE" w:rsidRDefault="006A71AE" w:rsidP="006A71AE">
      <w:pPr>
        <w:autoSpaceDE w:val="0"/>
        <w:autoSpaceDN w:val="0"/>
        <w:adjustRightInd w:val="0"/>
        <w:spacing w:after="0" w:line="240" w:lineRule="auto"/>
        <w:jc w:val="both"/>
        <w:rPr>
          <w:rFonts w:eastAsia="Times New Roman" w:cs="Segoe UI"/>
          <w:color w:val="auto"/>
          <w:sz w:val="18"/>
          <w:szCs w:val="18"/>
          <w:lang w:eastAsia="sk-SK"/>
        </w:rPr>
      </w:pPr>
      <w:r>
        <w:rPr>
          <w:rFonts w:eastAsia="Times New Roman" w:cs="Segoe UI"/>
          <w:color w:val="auto"/>
          <w:sz w:val="18"/>
          <w:szCs w:val="18"/>
          <w:lang w:eastAsia="sk-SK"/>
        </w:rPr>
        <w:t xml:space="preserve">Anna Szarek </w:t>
      </w:r>
    </w:p>
    <w:p w:rsidR="006A71AE" w:rsidRPr="002A0FE2" w:rsidRDefault="006A71AE" w:rsidP="006A71AE">
      <w:pPr>
        <w:tabs>
          <w:tab w:val="left" w:pos="5040"/>
          <w:tab w:val="left" w:pos="5760"/>
        </w:tabs>
        <w:autoSpaceDE w:val="0"/>
        <w:autoSpaceDN w:val="0"/>
        <w:adjustRightInd w:val="0"/>
        <w:spacing w:after="0" w:line="240" w:lineRule="auto"/>
        <w:jc w:val="both"/>
        <w:rPr>
          <w:rFonts w:eastAsia="Times New Roman" w:cs="Segoe UI"/>
          <w:color w:val="auto"/>
          <w:sz w:val="18"/>
          <w:szCs w:val="18"/>
          <w:lang w:val="en-US" w:eastAsia="sk-SK"/>
        </w:rPr>
      </w:pPr>
      <w:r w:rsidRPr="002A0FE2">
        <w:rPr>
          <w:rFonts w:eastAsia="Times New Roman" w:cs="Segoe UI"/>
          <w:color w:val="auto"/>
          <w:sz w:val="18"/>
          <w:szCs w:val="18"/>
          <w:lang w:val="en-US" w:eastAsia="sk-SK"/>
        </w:rPr>
        <w:t xml:space="preserve">Account Manager, ConTrust Communication </w:t>
      </w:r>
    </w:p>
    <w:p w:rsidR="006A71AE" w:rsidRPr="002A0FE2" w:rsidRDefault="006A71AE" w:rsidP="002A0FE2">
      <w:pPr>
        <w:tabs>
          <w:tab w:val="left" w:pos="5040"/>
          <w:tab w:val="left" w:pos="5760"/>
        </w:tabs>
        <w:autoSpaceDE w:val="0"/>
        <w:autoSpaceDN w:val="0"/>
        <w:adjustRightInd w:val="0"/>
        <w:spacing w:after="0" w:line="240" w:lineRule="auto"/>
        <w:jc w:val="both"/>
        <w:rPr>
          <w:rFonts w:eastAsia="Times New Roman" w:cs="Segoe UI"/>
          <w:color w:val="auto"/>
          <w:sz w:val="18"/>
          <w:szCs w:val="18"/>
          <w:lang w:val="en-US" w:eastAsia="sk-SK"/>
        </w:rPr>
      </w:pPr>
      <w:r w:rsidRPr="002A0FE2">
        <w:rPr>
          <w:rFonts w:eastAsia="Times New Roman" w:cs="Segoe UI"/>
          <w:color w:val="auto"/>
          <w:sz w:val="18"/>
          <w:szCs w:val="18"/>
          <w:lang w:val="en-US" w:eastAsia="sk-SK"/>
        </w:rPr>
        <w:t>+48 501 121 711; a.szarek@contrust.pl</w:t>
      </w:r>
    </w:p>
    <w:sectPr w:rsidR="006A71AE" w:rsidRPr="002A0FE2" w:rsidSect="009524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BF" w:rsidRDefault="00B647BF" w:rsidP="009524FF">
      <w:pPr>
        <w:spacing w:after="0" w:line="240" w:lineRule="auto"/>
      </w:pPr>
      <w:r>
        <w:separator/>
      </w:r>
    </w:p>
  </w:endnote>
  <w:endnote w:type="continuationSeparator" w:id="0">
    <w:p w:rsidR="00B647BF" w:rsidRDefault="00B647BF" w:rsidP="0095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Semibold">
    <w:altName w:val="Segoe UI"/>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FF" w:rsidRDefault="00952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FF" w:rsidRPr="00BF089A" w:rsidRDefault="009524FF" w:rsidP="009524FF">
    <w:pPr>
      <w:jc w:val="right"/>
      <w:rPr>
        <w:rFonts w:cs="Segoe UI"/>
        <w:sz w:val="19"/>
        <w:szCs w:val="19"/>
      </w:rPr>
    </w:pPr>
    <w:r>
      <w:rPr>
        <w:sz w:val="19"/>
      </w:rPr>
      <w:fldChar w:fldCharType="begin"/>
    </w:r>
    <w:r>
      <w:rPr>
        <w:sz w:val="19"/>
      </w:rPr>
      <w:instrText xml:space="preserve"> PAGE   \* MERGEFORMAT </w:instrText>
    </w:r>
    <w:r>
      <w:rPr>
        <w:sz w:val="19"/>
      </w:rPr>
      <w:fldChar w:fldCharType="separate"/>
    </w:r>
    <w:r w:rsidR="00951D5D">
      <w:rPr>
        <w:noProof/>
        <w:sz w:val="19"/>
      </w:rPr>
      <w:t>3</w:t>
    </w:r>
    <w:r>
      <w:rPr>
        <w:sz w:val="19"/>
      </w:rPr>
      <w:fldChar w:fldCharType="end"/>
    </w:r>
  </w:p>
  <w:p w:rsidR="009524FF" w:rsidRDefault="009524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FF" w:rsidRDefault="0095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BF" w:rsidRDefault="00B647BF" w:rsidP="009524FF">
      <w:pPr>
        <w:spacing w:after="0" w:line="240" w:lineRule="auto"/>
      </w:pPr>
      <w:r>
        <w:separator/>
      </w:r>
    </w:p>
  </w:footnote>
  <w:footnote w:type="continuationSeparator" w:id="0">
    <w:p w:rsidR="00B647BF" w:rsidRDefault="00B647BF" w:rsidP="00952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FF" w:rsidRDefault="00952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FF" w:rsidRDefault="009524FF" w:rsidP="009524FF">
    <w:pPr>
      <w:jc w:val="right"/>
    </w:pPr>
  </w:p>
  <w:p w:rsidR="009524FF" w:rsidRDefault="009524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FF" w:rsidRDefault="009524FF"/>
  <w:p w:rsidR="009524FF" w:rsidRDefault="0036419B">
    <w:r>
      <w:rPr>
        <w:noProof/>
      </w:rPr>
      <w:drawing>
        <wp:anchor distT="0" distB="0" distL="114300" distR="114300" simplePos="0" relativeHeight="251657728" behindDoc="0" locked="0" layoutInCell="1" allowOverlap="1">
          <wp:simplePos x="0" y="0"/>
          <wp:positionH relativeFrom="margin">
            <wp:posOffset>4291330</wp:posOffset>
          </wp:positionH>
          <wp:positionV relativeFrom="page">
            <wp:posOffset>707390</wp:posOffset>
          </wp:positionV>
          <wp:extent cx="1661160" cy="31242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6F8F"/>
    <w:multiLevelType w:val="hybridMultilevel"/>
    <w:tmpl w:val="2FB469AC"/>
    <w:lvl w:ilvl="0" w:tplc="6D4C7D4E">
      <w:numFmt w:val="bullet"/>
      <w:lvlText w:val="■"/>
      <w:lvlJc w:val="left"/>
      <w:pPr>
        <w:ind w:left="720" w:hanging="360"/>
      </w:pPr>
      <w:rPr>
        <w:rFonts w:ascii="Arial" w:hAnsi="Arial" w:hint="default"/>
        <w:color w:val="808080"/>
        <w:sz w:val="16"/>
        <w:u w:color="009A80"/>
      </w:rPr>
    </w:lvl>
    <w:lvl w:ilvl="1" w:tplc="778CD7EA">
      <w:numFmt w:val="bullet"/>
      <w:lvlText w:val="-"/>
      <w:lvlJc w:val="left"/>
      <w:pPr>
        <w:ind w:left="1440" w:hanging="360"/>
      </w:pPr>
      <w:rPr>
        <w:rFonts w:ascii="Arial" w:hAnsi="Arial" w:hint="default"/>
        <w:color w:val="A6A6A6"/>
        <w:sz w:val="16"/>
      </w:rPr>
    </w:lvl>
    <w:lvl w:ilvl="2" w:tplc="B29CA090" w:tentative="1">
      <w:start w:val="1"/>
      <w:numFmt w:val="bullet"/>
      <w:lvlText w:val=""/>
      <w:lvlJc w:val="left"/>
      <w:pPr>
        <w:ind w:left="2160" w:hanging="360"/>
      </w:pPr>
      <w:rPr>
        <w:rFonts w:ascii="Wingdings" w:hAnsi="Wingdings" w:hint="default"/>
      </w:rPr>
    </w:lvl>
    <w:lvl w:ilvl="3" w:tplc="1E5E8028" w:tentative="1">
      <w:start w:val="1"/>
      <w:numFmt w:val="bullet"/>
      <w:lvlText w:val=""/>
      <w:lvlJc w:val="left"/>
      <w:pPr>
        <w:ind w:left="2880" w:hanging="360"/>
      </w:pPr>
      <w:rPr>
        <w:rFonts w:ascii="Symbol" w:hAnsi="Symbol" w:hint="default"/>
      </w:rPr>
    </w:lvl>
    <w:lvl w:ilvl="4" w:tplc="E3EA3E86" w:tentative="1">
      <w:start w:val="1"/>
      <w:numFmt w:val="bullet"/>
      <w:lvlText w:val="o"/>
      <w:lvlJc w:val="left"/>
      <w:pPr>
        <w:ind w:left="3600" w:hanging="360"/>
      </w:pPr>
      <w:rPr>
        <w:rFonts w:ascii="Courier New" w:hAnsi="Courier New" w:cs="Courier New" w:hint="default"/>
      </w:rPr>
    </w:lvl>
    <w:lvl w:ilvl="5" w:tplc="ED94DF14" w:tentative="1">
      <w:start w:val="1"/>
      <w:numFmt w:val="bullet"/>
      <w:lvlText w:val=""/>
      <w:lvlJc w:val="left"/>
      <w:pPr>
        <w:ind w:left="4320" w:hanging="360"/>
      </w:pPr>
      <w:rPr>
        <w:rFonts w:ascii="Wingdings" w:hAnsi="Wingdings" w:hint="default"/>
      </w:rPr>
    </w:lvl>
    <w:lvl w:ilvl="6" w:tplc="A2983FC8" w:tentative="1">
      <w:start w:val="1"/>
      <w:numFmt w:val="bullet"/>
      <w:lvlText w:val=""/>
      <w:lvlJc w:val="left"/>
      <w:pPr>
        <w:ind w:left="5040" w:hanging="360"/>
      </w:pPr>
      <w:rPr>
        <w:rFonts w:ascii="Symbol" w:hAnsi="Symbol" w:hint="default"/>
      </w:rPr>
    </w:lvl>
    <w:lvl w:ilvl="7" w:tplc="30D24EC6" w:tentative="1">
      <w:start w:val="1"/>
      <w:numFmt w:val="bullet"/>
      <w:lvlText w:val="o"/>
      <w:lvlJc w:val="left"/>
      <w:pPr>
        <w:ind w:left="5760" w:hanging="360"/>
      </w:pPr>
      <w:rPr>
        <w:rFonts w:ascii="Courier New" w:hAnsi="Courier New" w:cs="Courier New" w:hint="default"/>
      </w:rPr>
    </w:lvl>
    <w:lvl w:ilvl="8" w:tplc="65725C94" w:tentative="1">
      <w:start w:val="1"/>
      <w:numFmt w:val="bullet"/>
      <w:lvlText w:val=""/>
      <w:lvlJc w:val="left"/>
      <w:pPr>
        <w:ind w:left="6480" w:hanging="360"/>
      </w:pPr>
      <w:rPr>
        <w:rFonts w:ascii="Wingdings" w:hAnsi="Wingdings" w:hint="default"/>
      </w:rPr>
    </w:lvl>
  </w:abstractNum>
  <w:abstractNum w:abstractNumId="11" w15:restartNumberingAfterBreak="0">
    <w:nsid w:val="14595A2F"/>
    <w:multiLevelType w:val="hybridMultilevel"/>
    <w:tmpl w:val="0150A820"/>
    <w:lvl w:ilvl="0" w:tplc="C7EE763C">
      <w:start w:val="1"/>
      <w:numFmt w:val="bullet"/>
      <w:lvlText w:val="●"/>
      <w:lvlJc w:val="left"/>
      <w:pPr>
        <w:ind w:left="720" w:hanging="360"/>
      </w:pPr>
      <w:rPr>
        <w:rFonts w:ascii="Segoe UI" w:hAnsi="Segoe UI" w:hint="default"/>
        <w:color w:val="808080"/>
        <w:position w:val="0"/>
        <w:sz w:val="20"/>
        <w:u w:color="000000"/>
      </w:rPr>
    </w:lvl>
    <w:lvl w:ilvl="1" w:tplc="69543E88">
      <w:start w:val="1"/>
      <w:numFmt w:val="bullet"/>
      <w:lvlText w:val="o"/>
      <w:lvlJc w:val="left"/>
      <w:pPr>
        <w:ind w:left="1440" w:hanging="360"/>
      </w:pPr>
      <w:rPr>
        <w:rFonts w:ascii="Courier New" w:hAnsi="Courier New" w:cs="Courier New" w:hint="default"/>
      </w:rPr>
    </w:lvl>
    <w:lvl w:ilvl="2" w:tplc="4EEAC968" w:tentative="1">
      <w:start w:val="1"/>
      <w:numFmt w:val="bullet"/>
      <w:lvlText w:val=""/>
      <w:lvlJc w:val="left"/>
      <w:pPr>
        <w:ind w:left="2160" w:hanging="360"/>
      </w:pPr>
      <w:rPr>
        <w:rFonts w:ascii="Wingdings" w:hAnsi="Wingdings" w:hint="default"/>
      </w:rPr>
    </w:lvl>
    <w:lvl w:ilvl="3" w:tplc="478E860A" w:tentative="1">
      <w:start w:val="1"/>
      <w:numFmt w:val="bullet"/>
      <w:lvlText w:val=""/>
      <w:lvlJc w:val="left"/>
      <w:pPr>
        <w:ind w:left="2880" w:hanging="360"/>
      </w:pPr>
      <w:rPr>
        <w:rFonts w:ascii="Symbol" w:hAnsi="Symbol" w:hint="default"/>
      </w:rPr>
    </w:lvl>
    <w:lvl w:ilvl="4" w:tplc="C2C46DF4" w:tentative="1">
      <w:start w:val="1"/>
      <w:numFmt w:val="bullet"/>
      <w:lvlText w:val="o"/>
      <w:lvlJc w:val="left"/>
      <w:pPr>
        <w:ind w:left="3600" w:hanging="360"/>
      </w:pPr>
      <w:rPr>
        <w:rFonts w:ascii="Courier New" w:hAnsi="Courier New" w:cs="Courier New" w:hint="default"/>
      </w:rPr>
    </w:lvl>
    <w:lvl w:ilvl="5" w:tplc="B4408040" w:tentative="1">
      <w:start w:val="1"/>
      <w:numFmt w:val="bullet"/>
      <w:lvlText w:val=""/>
      <w:lvlJc w:val="left"/>
      <w:pPr>
        <w:ind w:left="4320" w:hanging="360"/>
      </w:pPr>
      <w:rPr>
        <w:rFonts w:ascii="Wingdings" w:hAnsi="Wingdings" w:hint="default"/>
      </w:rPr>
    </w:lvl>
    <w:lvl w:ilvl="6" w:tplc="A364D10A" w:tentative="1">
      <w:start w:val="1"/>
      <w:numFmt w:val="bullet"/>
      <w:lvlText w:val=""/>
      <w:lvlJc w:val="left"/>
      <w:pPr>
        <w:ind w:left="5040" w:hanging="360"/>
      </w:pPr>
      <w:rPr>
        <w:rFonts w:ascii="Symbol" w:hAnsi="Symbol" w:hint="default"/>
      </w:rPr>
    </w:lvl>
    <w:lvl w:ilvl="7" w:tplc="F1083F02" w:tentative="1">
      <w:start w:val="1"/>
      <w:numFmt w:val="bullet"/>
      <w:lvlText w:val="o"/>
      <w:lvlJc w:val="left"/>
      <w:pPr>
        <w:ind w:left="5760" w:hanging="360"/>
      </w:pPr>
      <w:rPr>
        <w:rFonts w:ascii="Courier New" w:hAnsi="Courier New" w:cs="Courier New" w:hint="default"/>
      </w:rPr>
    </w:lvl>
    <w:lvl w:ilvl="8" w:tplc="AC722D1C" w:tentative="1">
      <w:start w:val="1"/>
      <w:numFmt w:val="bullet"/>
      <w:lvlText w:val=""/>
      <w:lvlJc w:val="left"/>
      <w:pPr>
        <w:ind w:left="6480" w:hanging="360"/>
      </w:pPr>
      <w:rPr>
        <w:rFonts w:ascii="Wingdings" w:hAnsi="Wingdings" w:hint="default"/>
      </w:rPr>
    </w:lvl>
  </w:abstractNum>
  <w:abstractNum w:abstractNumId="12" w15:restartNumberingAfterBreak="0">
    <w:nsid w:val="160A3B9F"/>
    <w:multiLevelType w:val="hybridMultilevel"/>
    <w:tmpl w:val="19E01174"/>
    <w:lvl w:ilvl="0" w:tplc="24145846">
      <w:start w:val="1"/>
      <w:numFmt w:val="bullet"/>
      <w:lvlText w:val="●"/>
      <w:lvlJc w:val="left"/>
      <w:pPr>
        <w:ind w:left="720" w:hanging="360"/>
      </w:pPr>
      <w:rPr>
        <w:rFonts w:ascii="Segoe UI" w:hAnsi="Segoe UI" w:hint="default"/>
        <w:color w:val="000000"/>
        <w:position w:val="2"/>
        <w:sz w:val="16"/>
        <w:u w:color="000000"/>
      </w:rPr>
    </w:lvl>
    <w:lvl w:ilvl="1" w:tplc="05726A76">
      <w:start w:val="1"/>
      <w:numFmt w:val="bullet"/>
      <w:lvlText w:val="o"/>
      <w:lvlJc w:val="left"/>
      <w:pPr>
        <w:ind w:left="1440" w:hanging="360"/>
      </w:pPr>
      <w:rPr>
        <w:rFonts w:ascii="Courier New" w:hAnsi="Courier New" w:cs="Courier New" w:hint="default"/>
      </w:rPr>
    </w:lvl>
    <w:lvl w:ilvl="2" w:tplc="BD9A2F2C" w:tentative="1">
      <w:start w:val="1"/>
      <w:numFmt w:val="bullet"/>
      <w:lvlText w:val=""/>
      <w:lvlJc w:val="left"/>
      <w:pPr>
        <w:ind w:left="2160" w:hanging="360"/>
      </w:pPr>
      <w:rPr>
        <w:rFonts w:ascii="Wingdings" w:hAnsi="Wingdings" w:hint="default"/>
      </w:rPr>
    </w:lvl>
    <w:lvl w:ilvl="3" w:tplc="F72E5100" w:tentative="1">
      <w:start w:val="1"/>
      <w:numFmt w:val="bullet"/>
      <w:lvlText w:val=""/>
      <w:lvlJc w:val="left"/>
      <w:pPr>
        <w:ind w:left="2880" w:hanging="360"/>
      </w:pPr>
      <w:rPr>
        <w:rFonts w:ascii="Symbol" w:hAnsi="Symbol" w:hint="default"/>
      </w:rPr>
    </w:lvl>
    <w:lvl w:ilvl="4" w:tplc="F7A06EFC" w:tentative="1">
      <w:start w:val="1"/>
      <w:numFmt w:val="bullet"/>
      <w:lvlText w:val="o"/>
      <w:lvlJc w:val="left"/>
      <w:pPr>
        <w:ind w:left="3600" w:hanging="360"/>
      </w:pPr>
      <w:rPr>
        <w:rFonts w:ascii="Courier New" w:hAnsi="Courier New" w:cs="Courier New" w:hint="default"/>
      </w:rPr>
    </w:lvl>
    <w:lvl w:ilvl="5" w:tplc="4476B926" w:tentative="1">
      <w:start w:val="1"/>
      <w:numFmt w:val="bullet"/>
      <w:lvlText w:val=""/>
      <w:lvlJc w:val="left"/>
      <w:pPr>
        <w:ind w:left="4320" w:hanging="360"/>
      </w:pPr>
      <w:rPr>
        <w:rFonts w:ascii="Wingdings" w:hAnsi="Wingdings" w:hint="default"/>
      </w:rPr>
    </w:lvl>
    <w:lvl w:ilvl="6" w:tplc="68609406" w:tentative="1">
      <w:start w:val="1"/>
      <w:numFmt w:val="bullet"/>
      <w:lvlText w:val=""/>
      <w:lvlJc w:val="left"/>
      <w:pPr>
        <w:ind w:left="5040" w:hanging="360"/>
      </w:pPr>
      <w:rPr>
        <w:rFonts w:ascii="Symbol" w:hAnsi="Symbol" w:hint="default"/>
      </w:rPr>
    </w:lvl>
    <w:lvl w:ilvl="7" w:tplc="0E4AA050" w:tentative="1">
      <w:start w:val="1"/>
      <w:numFmt w:val="bullet"/>
      <w:lvlText w:val="o"/>
      <w:lvlJc w:val="left"/>
      <w:pPr>
        <w:ind w:left="5760" w:hanging="360"/>
      </w:pPr>
      <w:rPr>
        <w:rFonts w:ascii="Courier New" w:hAnsi="Courier New" w:cs="Courier New" w:hint="default"/>
      </w:rPr>
    </w:lvl>
    <w:lvl w:ilvl="8" w:tplc="9420FC70" w:tentative="1">
      <w:start w:val="1"/>
      <w:numFmt w:val="bullet"/>
      <w:lvlText w:val=""/>
      <w:lvlJc w:val="left"/>
      <w:pPr>
        <w:ind w:left="6480" w:hanging="360"/>
      </w:pPr>
      <w:rPr>
        <w:rFonts w:ascii="Wingdings" w:hAnsi="Wingdings" w:hint="default"/>
      </w:rPr>
    </w:lvl>
  </w:abstractNum>
  <w:abstractNum w:abstractNumId="13" w15:restartNumberingAfterBreak="0">
    <w:nsid w:val="179E321A"/>
    <w:multiLevelType w:val="hybridMultilevel"/>
    <w:tmpl w:val="94F60E5A"/>
    <w:lvl w:ilvl="0" w:tplc="D1205A4C">
      <w:start w:val="1"/>
      <w:numFmt w:val="bullet"/>
      <w:lvlText w:val=""/>
      <w:lvlJc w:val="left"/>
      <w:pPr>
        <w:ind w:left="720" w:hanging="360"/>
      </w:pPr>
      <w:rPr>
        <w:rFonts w:ascii="Symbol" w:hAnsi="Symbol" w:hint="default"/>
        <w:color w:val="808080"/>
        <w:sz w:val="16"/>
        <w:u w:color="000000"/>
      </w:rPr>
    </w:lvl>
    <w:lvl w:ilvl="1" w:tplc="772C31CC">
      <w:start w:val="1"/>
      <w:numFmt w:val="bullet"/>
      <w:lvlText w:val="o"/>
      <w:lvlJc w:val="left"/>
      <w:pPr>
        <w:ind w:left="1440" w:hanging="360"/>
      </w:pPr>
      <w:rPr>
        <w:rFonts w:ascii="Courier New" w:hAnsi="Courier New" w:cs="Courier New" w:hint="default"/>
      </w:rPr>
    </w:lvl>
    <w:lvl w:ilvl="2" w:tplc="A73E723E" w:tentative="1">
      <w:start w:val="1"/>
      <w:numFmt w:val="bullet"/>
      <w:lvlText w:val=""/>
      <w:lvlJc w:val="left"/>
      <w:pPr>
        <w:ind w:left="2160" w:hanging="360"/>
      </w:pPr>
      <w:rPr>
        <w:rFonts w:ascii="Wingdings" w:hAnsi="Wingdings" w:hint="default"/>
      </w:rPr>
    </w:lvl>
    <w:lvl w:ilvl="3" w:tplc="581A3A2A" w:tentative="1">
      <w:start w:val="1"/>
      <w:numFmt w:val="bullet"/>
      <w:lvlText w:val=""/>
      <w:lvlJc w:val="left"/>
      <w:pPr>
        <w:ind w:left="2880" w:hanging="360"/>
      </w:pPr>
      <w:rPr>
        <w:rFonts w:ascii="Symbol" w:hAnsi="Symbol" w:hint="default"/>
      </w:rPr>
    </w:lvl>
    <w:lvl w:ilvl="4" w:tplc="E968E0AC" w:tentative="1">
      <w:start w:val="1"/>
      <w:numFmt w:val="bullet"/>
      <w:lvlText w:val="o"/>
      <w:lvlJc w:val="left"/>
      <w:pPr>
        <w:ind w:left="3600" w:hanging="360"/>
      </w:pPr>
      <w:rPr>
        <w:rFonts w:ascii="Courier New" w:hAnsi="Courier New" w:cs="Courier New" w:hint="default"/>
      </w:rPr>
    </w:lvl>
    <w:lvl w:ilvl="5" w:tplc="CE8E9950" w:tentative="1">
      <w:start w:val="1"/>
      <w:numFmt w:val="bullet"/>
      <w:lvlText w:val=""/>
      <w:lvlJc w:val="left"/>
      <w:pPr>
        <w:ind w:left="4320" w:hanging="360"/>
      </w:pPr>
      <w:rPr>
        <w:rFonts w:ascii="Wingdings" w:hAnsi="Wingdings" w:hint="default"/>
      </w:rPr>
    </w:lvl>
    <w:lvl w:ilvl="6" w:tplc="264EFB60" w:tentative="1">
      <w:start w:val="1"/>
      <w:numFmt w:val="bullet"/>
      <w:lvlText w:val=""/>
      <w:lvlJc w:val="left"/>
      <w:pPr>
        <w:ind w:left="5040" w:hanging="360"/>
      </w:pPr>
      <w:rPr>
        <w:rFonts w:ascii="Symbol" w:hAnsi="Symbol" w:hint="default"/>
      </w:rPr>
    </w:lvl>
    <w:lvl w:ilvl="7" w:tplc="599E62A0" w:tentative="1">
      <w:start w:val="1"/>
      <w:numFmt w:val="bullet"/>
      <w:lvlText w:val="o"/>
      <w:lvlJc w:val="left"/>
      <w:pPr>
        <w:ind w:left="5760" w:hanging="360"/>
      </w:pPr>
      <w:rPr>
        <w:rFonts w:ascii="Courier New" w:hAnsi="Courier New" w:cs="Courier New" w:hint="default"/>
      </w:rPr>
    </w:lvl>
    <w:lvl w:ilvl="8" w:tplc="F34E8382" w:tentative="1">
      <w:start w:val="1"/>
      <w:numFmt w:val="bullet"/>
      <w:lvlText w:val=""/>
      <w:lvlJc w:val="left"/>
      <w:pPr>
        <w:ind w:left="6480" w:hanging="360"/>
      </w:pPr>
      <w:rPr>
        <w:rFonts w:ascii="Wingdings" w:hAnsi="Wingdings" w:hint="default"/>
      </w:rPr>
    </w:lvl>
  </w:abstractNum>
  <w:abstractNum w:abstractNumId="14" w15:restartNumberingAfterBreak="0">
    <w:nsid w:val="17A122EA"/>
    <w:multiLevelType w:val="hybridMultilevel"/>
    <w:tmpl w:val="2EC22EF0"/>
    <w:lvl w:ilvl="0" w:tplc="8CF0651E">
      <w:numFmt w:val="bullet"/>
      <w:lvlText w:val="■"/>
      <w:lvlJc w:val="left"/>
      <w:pPr>
        <w:ind w:left="720" w:hanging="360"/>
      </w:pPr>
      <w:rPr>
        <w:rFonts w:ascii="Arial" w:hAnsi="Arial" w:hint="default"/>
        <w:color w:val="808080"/>
        <w:sz w:val="16"/>
        <w:u w:color="009A80"/>
      </w:rPr>
    </w:lvl>
    <w:lvl w:ilvl="1" w:tplc="A1F4B04E">
      <w:start w:val="1"/>
      <w:numFmt w:val="bullet"/>
      <w:lvlText w:val="o"/>
      <w:lvlJc w:val="left"/>
      <w:pPr>
        <w:ind w:left="1440" w:hanging="360"/>
      </w:pPr>
      <w:rPr>
        <w:rFonts w:ascii="Courier New" w:hAnsi="Courier New" w:cs="Courier New" w:hint="default"/>
      </w:rPr>
    </w:lvl>
    <w:lvl w:ilvl="2" w:tplc="23BC4E90" w:tentative="1">
      <w:start w:val="1"/>
      <w:numFmt w:val="bullet"/>
      <w:lvlText w:val=""/>
      <w:lvlJc w:val="left"/>
      <w:pPr>
        <w:ind w:left="2160" w:hanging="360"/>
      </w:pPr>
      <w:rPr>
        <w:rFonts w:ascii="Wingdings" w:hAnsi="Wingdings" w:hint="default"/>
      </w:rPr>
    </w:lvl>
    <w:lvl w:ilvl="3" w:tplc="83B2C50A" w:tentative="1">
      <w:start w:val="1"/>
      <w:numFmt w:val="bullet"/>
      <w:lvlText w:val=""/>
      <w:lvlJc w:val="left"/>
      <w:pPr>
        <w:ind w:left="2880" w:hanging="360"/>
      </w:pPr>
      <w:rPr>
        <w:rFonts w:ascii="Symbol" w:hAnsi="Symbol" w:hint="default"/>
      </w:rPr>
    </w:lvl>
    <w:lvl w:ilvl="4" w:tplc="C12A1C76" w:tentative="1">
      <w:start w:val="1"/>
      <w:numFmt w:val="bullet"/>
      <w:lvlText w:val="o"/>
      <w:lvlJc w:val="left"/>
      <w:pPr>
        <w:ind w:left="3600" w:hanging="360"/>
      </w:pPr>
      <w:rPr>
        <w:rFonts w:ascii="Courier New" w:hAnsi="Courier New" w:cs="Courier New" w:hint="default"/>
      </w:rPr>
    </w:lvl>
    <w:lvl w:ilvl="5" w:tplc="63B4703C" w:tentative="1">
      <w:start w:val="1"/>
      <w:numFmt w:val="bullet"/>
      <w:lvlText w:val=""/>
      <w:lvlJc w:val="left"/>
      <w:pPr>
        <w:ind w:left="4320" w:hanging="360"/>
      </w:pPr>
      <w:rPr>
        <w:rFonts w:ascii="Wingdings" w:hAnsi="Wingdings" w:hint="default"/>
      </w:rPr>
    </w:lvl>
    <w:lvl w:ilvl="6" w:tplc="20641246" w:tentative="1">
      <w:start w:val="1"/>
      <w:numFmt w:val="bullet"/>
      <w:lvlText w:val=""/>
      <w:lvlJc w:val="left"/>
      <w:pPr>
        <w:ind w:left="5040" w:hanging="360"/>
      </w:pPr>
      <w:rPr>
        <w:rFonts w:ascii="Symbol" w:hAnsi="Symbol" w:hint="default"/>
      </w:rPr>
    </w:lvl>
    <w:lvl w:ilvl="7" w:tplc="70EC73A2" w:tentative="1">
      <w:start w:val="1"/>
      <w:numFmt w:val="bullet"/>
      <w:lvlText w:val="o"/>
      <w:lvlJc w:val="left"/>
      <w:pPr>
        <w:ind w:left="5760" w:hanging="360"/>
      </w:pPr>
      <w:rPr>
        <w:rFonts w:ascii="Courier New" w:hAnsi="Courier New" w:cs="Courier New" w:hint="default"/>
      </w:rPr>
    </w:lvl>
    <w:lvl w:ilvl="8" w:tplc="6F5458FA" w:tentative="1">
      <w:start w:val="1"/>
      <w:numFmt w:val="bullet"/>
      <w:lvlText w:val=""/>
      <w:lvlJc w:val="left"/>
      <w:pPr>
        <w:ind w:left="6480" w:hanging="360"/>
      </w:pPr>
      <w:rPr>
        <w:rFonts w:ascii="Wingdings" w:hAnsi="Wingdings" w:hint="default"/>
      </w:rPr>
    </w:lvl>
  </w:abstractNum>
  <w:abstractNum w:abstractNumId="15" w15:restartNumberingAfterBreak="0">
    <w:nsid w:val="19754BE3"/>
    <w:multiLevelType w:val="hybridMultilevel"/>
    <w:tmpl w:val="F7D8DCA4"/>
    <w:lvl w:ilvl="0" w:tplc="33548AB0">
      <w:start w:val="1"/>
      <w:numFmt w:val="bullet"/>
      <w:lvlText w:val="●"/>
      <w:lvlJc w:val="left"/>
      <w:pPr>
        <w:ind w:left="720" w:hanging="360"/>
      </w:pPr>
      <w:rPr>
        <w:rFonts w:ascii="Segoe UI" w:hAnsi="Segoe UI" w:hint="default"/>
        <w:color w:val="808080"/>
        <w:position w:val="2"/>
        <w:sz w:val="16"/>
        <w:u w:color="000000"/>
      </w:rPr>
    </w:lvl>
    <w:lvl w:ilvl="1" w:tplc="299240A4">
      <w:start w:val="1"/>
      <w:numFmt w:val="bullet"/>
      <w:lvlText w:val="o"/>
      <w:lvlJc w:val="left"/>
      <w:pPr>
        <w:ind w:left="1440" w:hanging="360"/>
      </w:pPr>
      <w:rPr>
        <w:rFonts w:ascii="Courier New" w:hAnsi="Courier New" w:cs="Courier New" w:hint="default"/>
      </w:rPr>
    </w:lvl>
    <w:lvl w:ilvl="2" w:tplc="28FA5BCE" w:tentative="1">
      <w:start w:val="1"/>
      <w:numFmt w:val="bullet"/>
      <w:lvlText w:val=""/>
      <w:lvlJc w:val="left"/>
      <w:pPr>
        <w:ind w:left="2160" w:hanging="360"/>
      </w:pPr>
      <w:rPr>
        <w:rFonts w:ascii="Wingdings" w:hAnsi="Wingdings" w:hint="default"/>
      </w:rPr>
    </w:lvl>
    <w:lvl w:ilvl="3" w:tplc="55DEAF0E" w:tentative="1">
      <w:start w:val="1"/>
      <w:numFmt w:val="bullet"/>
      <w:lvlText w:val=""/>
      <w:lvlJc w:val="left"/>
      <w:pPr>
        <w:ind w:left="2880" w:hanging="360"/>
      </w:pPr>
      <w:rPr>
        <w:rFonts w:ascii="Symbol" w:hAnsi="Symbol" w:hint="default"/>
      </w:rPr>
    </w:lvl>
    <w:lvl w:ilvl="4" w:tplc="27729492" w:tentative="1">
      <w:start w:val="1"/>
      <w:numFmt w:val="bullet"/>
      <w:lvlText w:val="o"/>
      <w:lvlJc w:val="left"/>
      <w:pPr>
        <w:ind w:left="3600" w:hanging="360"/>
      </w:pPr>
      <w:rPr>
        <w:rFonts w:ascii="Courier New" w:hAnsi="Courier New" w:cs="Courier New" w:hint="default"/>
      </w:rPr>
    </w:lvl>
    <w:lvl w:ilvl="5" w:tplc="13C60728" w:tentative="1">
      <w:start w:val="1"/>
      <w:numFmt w:val="bullet"/>
      <w:lvlText w:val=""/>
      <w:lvlJc w:val="left"/>
      <w:pPr>
        <w:ind w:left="4320" w:hanging="360"/>
      </w:pPr>
      <w:rPr>
        <w:rFonts w:ascii="Wingdings" w:hAnsi="Wingdings" w:hint="default"/>
      </w:rPr>
    </w:lvl>
    <w:lvl w:ilvl="6" w:tplc="0A7235A2" w:tentative="1">
      <w:start w:val="1"/>
      <w:numFmt w:val="bullet"/>
      <w:lvlText w:val=""/>
      <w:lvlJc w:val="left"/>
      <w:pPr>
        <w:ind w:left="5040" w:hanging="360"/>
      </w:pPr>
      <w:rPr>
        <w:rFonts w:ascii="Symbol" w:hAnsi="Symbol" w:hint="default"/>
      </w:rPr>
    </w:lvl>
    <w:lvl w:ilvl="7" w:tplc="130E7C0C" w:tentative="1">
      <w:start w:val="1"/>
      <w:numFmt w:val="bullet"/>
      <w:lvlText w:val="o"/>
      <w:lvlJc w:val="left"/>
      <w:pPr>
        <w:ind w:left="5760" w:hanging="360"/>
      </w:pPr>
      <w:rPr>
        <w:rFonts w:ascii="Courier New" w:hAnsi="Courier New" w:cs="Courier New" w:hint="default"/>
      </w:rPr>
    </w:lvl>
    <w:lvl w:ilvl="8" w:tplc="49DC03B0" w:tentative="1">
      <w:start w:val="1"/>
      <w:numFmt w:val="bullet"/>
      <w:lvlText w:val=""/>
      <w:lvlJc w:val="left"/>
      <w:pPr>
        <w:ind w:left="6480" w:hanging="360"/>
      </w:pPr>
      <w:rPr>
        <w:rFonts w:ascii="Wingdings" w:hAnsi="Wingdings" w:hint="default"/>
      </w:rPr>
    </w:lvl>
  </w:abstractNum>
  <w:abstractNum w:abstractNumId="16" w15:restartNumberingAfterBreak="0">
    <w:nsid w:val="1A07232F"/>
    <w:multiLevelType w:val="hybridMultilevel"/>
    <w:tmpl w:val="F4A605A2"/>
    <w:lvl w:ilvl="0" w:tplc="9F423082">
      <w:start w:val="1"/>
      <w:numFmt w:val="bullet"/>
      <w:lvlText w:val=""/>
      <w:lvlJc w:val="left"/>
      <w:pPr>
        <w:tabs>
          <w:tab w:val="num" w:pos="360"/>
        </w:tabs>
        <w:ind w:left="360" w:hanging="360"/>
      </w:pPr>
      <w:rPr>
        <w:rFonts w:ascii="Wingdings" w:hAnsi="Wingdings" w:hint="default"/>
        <w:b/>
        <w:i w:val="0"/>
        <w:color w:val="auto"/>
        <w:sz w:val="18"/>
        <w:szCs w:val="18"/>
      </w:rPr>
    </w:lvl>
    <w:lvl w:ilvl="1" w:tplc="494EC64E">
      <w:start w:val="1"/>
      <w:numFmt w:val="bullet"/>
      <w:lvlText w:val=""/>
      <w:lvlJc w:val="left"/>
      <w:pPr>
        <w:tabs>
          <w:tab w:val="num" w:pos="1080"/>
        </w:tabs>
        <w:ind w:left="1080" w:hanging="360"/>
      </w:pPr>
      <w:rPr>
        <w:rFonts w:ascii="Wingdings" w:hAnsi="Wingdings" w:hint="default"/>
      </w:rPr>
    </w:lvl>
    <w:lvl w:ilvl="2" w:tplc="2CB6ADF4">
      <w:start w:val="1"/>
      <w:numFmt w:val="decimal"/>
      <w:lvlText w:val="%3."/>
      <w:lvlJc w:val="left"/>
      <w:pPr>
        <w:tabs>
          <w:tab w:val="num" w:pos="2160"/>
        </w:tabs>
        <w:ind w:left="2160" w:hanging="360"/>
      </w:pPr>
    </w:lvl>
    <w:lvl w:ilvl="3" w:tplc="1D046D92">
      <w:start w:val="1"/>
      <w:numFmt w:val="decimal"/>
      <w:lvlText w:val="%4."/>
      <w:lvlJc w:val="left"/>
      <w:pPr>
        <w:tabs>
          <w:tab w:val="num" w:pos="2880"/>
        </w:tabs>
        <w:ind w:left="2880" w:hanging="360"/>
      </w:pPr>
    </w:lvl>
    <w:lvl w:ilvl="4" w:tplc="EDE65A08">
      <w:start w:val="1"/>
      <w:numFmt w:val="decimal"/>
      <w:lvlText w:val="%5."/>
      <w:lvlJc w:val="left"/>
      <w:pPr>
        <w:tabs>
          <w:tab w:val="num" w:pos="3600"/>
        </w:tabs>
        <w:ind w:left="3600" w:hanging="360"/>
      </w:pPr>
    </w:lvl>
    <w:lvl w:ilvl="5" w:tplc="6BE82582">
      <w:start w:val="1"/>
      <w:numFmt w:val="decimal"/>
      <w:lvlText w:val="%6."/>
      <w:lvlJc w:val="left"/>
      <w:pPr>
        <w:tabs>
          <w:tab w:val="num" w:pos="4320"/>
        </w:tabs>
        <w:ind w:left="4320" w:hanging="360"/>
      </w:pPr>
    </w:lvl>
    <w:lvl w:ilvl="6" w:tplc="597AF204">
      <w:start w:val="1"/>
      <w:numFmt w:val="decimal"/>
      <w:lvlText w:val="%7."/>
      <w:lvlJc w:val="left"/>
      <w:pPr>
        <w:tabs>
          <w:tab w:val="num" w:pos="5040"/>
        </w:tabs>
        <w:ind w:left="5040" w:hanging="360"/>
      </w:pPr>
    </w:lvl>
    <w:lvl w:ilvl="7" w:tplc="22EE9074">
      <w:start w:val="1"/>
      <w:numFmt w:val="decimal"/>
      <w:lvlText w:val="%8."/>
      <w:lvlJc w:val="left"/>
      <w:pPr>
        <w:tabs>
          <w:tab w:val="num" w:pos="5760"/>
        </w:tabs>
        <w:ind w:left="5760" w:hanging="360"/>
      </w:pPr>
    </w:lvl>
    <w:lvl w:ilvl="8" w:tplc="57F2624E">
      <w:start w:val="1"/>
      <w:numFmt w:val="decimal"/>
      <w:lvlText w:val="%9."/>
      <w:lvlJc w:val="left"/>
      <w:pPr>
        <w:tabs>
          <w:tab w:val="num" w:pos="6480"/>
        </w:tabs>
        <w:ind w:left="6480" w:hanging="360"/>
      </w:pPr>
    </w:lvl>
  </w:abstractNum>
  <w:abstractNum w:abstractNumId="17" w15:restartNumberingAfterBreak="0">
    <w:nsid w:val="1ED04A27"/>
    <w:multiLevelType w:val="hybridMultilevel"/>
    <w:tmpl w:val="E0A25340"/>
    <w:lvl w:ilvl="0" w:tplc="CA00E65A">
      <w:start w:val="1"/>
      <w:numFmt w:val="bullet"/>
      <w:lvlText w:val=""/>
      <w:lvlJc w:val="left"/>
      <w:pPr>
        <w:ind w:left="720" w:hanging="360"/>
      </w:pPr>
      <w:rPr>
        <w:rFonts w:ascii="Symbol" w:hAnsi="Symbol" w:hint="default"/>
      </w:rPr>
    </w:lvl>
    <w:lvl w:ilvl="1" w:tplc="A648C226" w:tentative="1">
      <w:start w:val="1"/>
      <w:numFmt w:val="bullet"/>
      <w:lvlText w:val="o"/>
      <w:lvlJc w:val="left"/>
      <w:pPr>
        <w:ind w:left="1440" w:hanging="360"/>
      </w:pPr>
      <w:rPr>
        <w:rFonts w:ascii="Courier New" w:hAnsi="Courier New" w:cs="Courier New" w:hint="default"/>
      </w:rPr>
    </w:lvl>
    <w:lvl w:ilvl="2" w:tplc="E47059F4" w:tentative="1">
      <w:start w:val="1"/>
      <w:numFmt w:val="bullet"/>
      <w:lvlText w:val=""/>
      <w:lvlJc w:val="left"/>
      <w:pPr>
        <w:ind w:left="2160" w:hanging="360"/>
      </w:pPr>
      <w:rPr>
        <w:rFonts w:ascii="Wingdings" w:hAnsi="Wingdings" w:hint="default"/>
      </w:rPr>
    </w:lvl>
    <w:lvl w:ilvl="3" w:tplc="569E7566" w:tentative="1">
      <w:start w:val="1"/>
      <w:numFmt w:val="bullet"/>
      <w:lvlText w:val=""/>
      <w:lvlJc w:val="left"/>
      <w:pPr>
        <w:ind w:left="2880" w:hanging="360"/>
      </w:pPr>
      <w:rPr>
        <w:rFonts w:ascii="Symbol" w:hAnsi="Symbol" w:hint="default"/>
      </w:rPr>
    </w:lvl>
    <w:lvl w:ilvl="4" w:tplc="699E60DA" w:tentative="1">
      <w:start w:val="1"/>
      <w:numFmt w:val="bullet"/>
      <w:lvlText w:val="o"/>
      <w:lvlJc w:val="left"/>
      <w:pPr>
        <w:ind w:left="3600" w:hanging="360"/>
      </w:pPr>
      <w:rPr>
        <w:rFonts w:ascii="Courier New" w:hAnsi="Courier New" w:cs="Courier New" w:hint="default"/>
      </w:rPr>
    </w:lvl>
    <w:lvl w:ilvl="5" w:tplc="077466A4" w:tentative="1">
      <w:start w:val="1"/>
      <w:numFmt w:val="bullet"/>
      <w:lvlText w:val=""/>
      <w:lvlJc w:val="left"/>
      <w:pPr>
        <w:ind w:left="4320" w:hanging="360"/>
      </w:pPr>
      <w:rPr>
        <w:rFonts w:ascii="Wingdings" w:hAnsi="Wingdings" w:hint="default"/>
      </w:rPr>
    </w:lvl>
    <w:lvl w:ilvl="6" w:tplc="1D64F594" w:tentative="1">
      <w:start w:val="1"/>
      <w:numFmt w:val="bullet"/>
      <w:lvlText w:val=""/>
      <w:lvlJc w:val="left"/>
      <w:pPr>
        <w:ind w:left="5040" w:hanging="360"/>
      </w:pPr>
      <w:rPr>
        <w:rFonts w:ascii="Symbol" w:hAnsi="Symbol" w:hint="default"/>
      </w:rPr>
    </w:lvl>
    <w:lvl w:ilvl="7" w:tplc="C4A470C4" w:tentative="1">
      <w:start w:val="1"/>
      <w:numFmt w:val="bullet"/>
      <w:lvlText w:val="o"/>
      <w:lvlJc w:val="left"/>
      <w:pPr>
        <w:ind w:left="5760" w:hanging="360"/>
      </w:pPr>
      <w:rPr>
        <w:rFonts w:ascii="Courier New" w:hAnsi="Courier New" w:cs="Courier New" w:hint="default"/>
      </w:rPr>
    </w:lvl>
    <w:lvl w:ilvl="8" w:tplc="827E9308" w:tentative="1">
      <w:start w:val="1"/>
      <w:numFmt w:val="bullet"/>
      <w:lvlText w:val=""/>
      <w:lvlJc w:val="left"/>
      <w:pPr>
        <w:ind w:left="6480" w:hanging="360"/>
      </w:pPr>
      <w:rPr>
        <w:rFonts w:ascii="Wingdings" w:hAnsi="Wingdings" w:hint="default"/>
      </w:rPr>
    </w:lvl>
  </w:abstractNum>
  <w:abstractNum w:abstractNumId="18" w15:restartNumberingAfterBreak="0">
    <w:nsid w:val="36563E00"/>
    <w:multiLevelType w:val="hybridMultilevel"/>
    <w:tmpl w:val="8F60CFF0"/>
    <w:lvl w:ilvl="0" w:tplc="062E89A0">
      <w:start w:val="1"/>
      <w:numFmt w:val="bullet"/>
      <w:lvlText w:val=""/>
      <w:lvlJc w:val="left"/>
      <w:pPr>
        <w:ind w:left="720" w:hanging="360"/>
      </w:pPr>
      <w:rPr>
        <w:rFonts w:ascii="Wingdings" w:hAnsi="Wingdings" w:hint="default"/>
        <w:u w:color="009A80"/>
      </w:rPr>
    </w:lvl>
    <w:lvl w:ilvl="1" w:tplc="3B56BC64" w:tentative="1">
      <w:start w:val="1"/>
      <w:numFmt w:val="bullet"/>
      <w:lvlText w:val="o"/>
      <w:lvlJc w:val="left"/>
      <w:pPr>
        <w:ind w:left="1440" w:hanging="360"/>
      </w:pPr>
      <w:rPr>
        <w:rFonts w:ascii="Courier New" w:hAnsi="Courier New" w:cs="Courier New" w:hint="default"/>
      </w:rPr>
    </w:lvl>
    <w:lvl w:ilvl="2" w:tplc="F73E96DC" w:tentative="1">
      <w:start w:val="1"/>
      <w:numFmt w:val="bullet"/>
      <w:lvlText w:val=""/>
      <w:lvlJc w:val="left"/>
      <w:pPr>
        <w:ind w:left="2160" w:hanging="360"/>
      </w:pPr>
      <w:rPr>
        <w:rFonts w:ascii="Wingdings" w:hAnsi="Wingdings" w:hint="default"/>
      </w:rPr>
    </w:lvl>
    <w:lvl w:ilvl="3" w:tplc="E700A674" w:tentative="1">
      <w:start w:val="1"/>
      <w:numFmt w:val="bullet"/>
      <w:lvlText w:val=""/>
      <w:lvlJc w:val="left"/>
      <w:pPr>
        <w:ind w:left="2880" w:hanging="360"/>
      </w:pPr>
      <w:rPr>
        <w:rFonts w:ascii="Symbol" w:hAnsi="Symbol" w:hint="default"/>
      </w:rPr>
    </w:lvl>
    <w:lvl w:ilvl="4" w:tplc="5F049FD8" w:tentative="1">
      <w:start w:val="1"/>
      <w:numFmt w:val="bullet"/>
      <w:lvlText w:val="o"/>
      <w:lvlJc w:val="left"/>
      <w:pPr>
        <w:ind w:left="3600" w:hanging="360"/>
      </w:pPr>
      <w:rPr>
        <w:rFonts w:ascii="Courier New" w:hAnsi="Courier New" w:cs="Courier New" w:hint="default"/>
      </w:rPr>
    </w:lvl>
    <w:lvl w:ilvl="5" w:tplc="8E3C0266" w:tentative="1">
      <w:start w:val="1"/>
      <w:numFmt w:val="bullet"/>
      <w:lvlText w:val=""/>
      <w:lvlJc w:val="left"/>
      <w:pPr>
        <w:ind w:left="4320" w:hanging="360"/>
      </w:pPr>
      <w:rPr>
        <w:rFonts w:ascii="Wingdings" w:hAnsi="Wingdings" w:hint="default"/>
      </w:rPr>
    </w:lvl>
    <w:lvl w:ilvl="6" w:tplc="505EAE24" w:tentative="1">
      <w:start w:val="1"/>
      <w:numFmt w:val="bullet"/>
      <w:lvlText w:val=""/>
      <w:lvlJc w:val="left"/>
      <w:pPr>
        <w:ind w:left="5040" w:hanging="360"/>
      </w:pPr>
      <w:rPr>
        <w:rFonts w:ascii="Symbol" w:hAnsi="Symbol" w:hint="default"/>
      </w:rPr>
    </w:lvl>
    <w:lvl w:ilvl="7" w:tplc="37DEA300" w:tentative="1">
      <w:start w:val="1"/>
      <w:numFmt w:val="bullet"/>
      <w:lvlText w:val="o"/>
      <w:lvlJc w:val="left"/>
      <w:pPr>
        <w:ind w:left="5760" w:hanging="360"/>
      </w:pPr>
      <w:rPr>
        <w:rFonts w:ascii="Courier New" w:hAnsi="Courier New" w:cs="Courier New" w:hint="default"/>
      </w:rPr>
    </w:lvl>
    <w:lvl w:ilvl="8" w:tplc="A0E4C2BE" w:tentative="1">
      <w:start w:val="1"/>
      <w:numFmt w:val="bullet"/>
      <w:lvlText w:val=""/>
      <w:lvlJc w:val="left"/>
      <w:pPr>
        <w:ind w:left="6480" w:hanging="360"/>
      </w:pPr>
      <w:rPr>
        <w:rFonts w:ascii="Wingdings" w:hAnsi="Wingdings" w:hint="default"/>
      </w:rPr>
    </w:lvl>
  </w:abstractNum>
  <w:abstractNum w:abstractNumId="19" w15:restartNumberingAfterBreak="0">
    <w:nsid w:val="3E103783"/>
    <w:multiLevelType w:val="hybridMultilevel"/>
    <w:tmpl w:val="ACA0F41E"/>
    <w:lvl w:ilvl="0" w:tplc="296A14B2">
      <w:start w:val="1"/>
      <w:numFmt w:val="bullet"/>
      <w:lvlText w:val="●"/>
      <w:lvlJc w:val="left"/>
      <w:pPr>
        <w:ind w:left="720" w:hanging="360"/>
      </w:pPr>
      <w:rPr>
        <w:rFonts w:ascii="Segoe UI" w:hAnsi="Segoe UI" w:hint="default"/>
        <w:color w:val="808080"/>
        <w:sz w:val="16"/>
        <w:u w:color="000000"/>
      </w:rPr>
    </w:lvl>
    <w:lvl w:ilvl="1" w:tplc="787E02F8">
      <w:start w:val="1"/>
      <w:numFmt w:val="bullet"/>
      <w:lvlText w:val="o"/>
      <w:lvlJc w:val="left"/>
      <w:pPr>
        <w:ind w:left="1440" w:hanging="360"/>
      </w:pPr>
      <w:rPr>
        <w:rFonts w:ascii="Courier New" w:hAnsi="Courier New" w:cs="Courier New" w:hint="default"/>
      </w:rPr>
    </w:lvl>
    <w:lvl w:ilvl="2" w:tplc="5BE8488E" w:tentative="1">
      <w:start w:val="1"/>
      <w:numFmt w:val="bullet"/>
      <w:lvlText w:val=""/>
      <w:lvlJc w:val="left"/>
      <w:pPr>
        <w:ind w:left="2160" w:hanging="360"/>
      </w:pPr>
      <w:rPr>
        <w:rFonts w:ascii="Wingdings" w:hAnsi="Wingdings" w:hint="default"/>
      </w:rPr>
    </w:lvl>
    <w:lvl w:ilvl="3" w:tplc="C02A7DE2" w:tentative="1">
      <w:start w:val="1"/>
      <w:numFmt w:val="bullet"/>
      <w:lvlText w:val=""/>
      <w:lvlJc w:val="left"/>
      <w:pPr>
        <w:ind w:left="2880" w:hanging="360"/>
      </w:pPr>
      <w:rPr>
        <w:rFonts w:ascii="Symbol" w:hAnsi="Symbol" w:hint="default"/>
      </w:rPr>
    </w:lvl>
    <w:lvl w:ilvl="4" w:tplc="E9CCF8F2" w:tentative="1">
      <w:start w:val="1"/>
      <w:numFmt w:val="bullet"/>
      <w:lvlText w:val="o"/>
      <w:lvlJc w:val="left"/>
      <w:pPr>
        <w:ind w:left="3600" w:hanging="360"/>
      </w:pPr>
      <w:rPr>
        <w:rFonts w:ascii="Courier New" w:hAnsi="Courier New" w:cs="Courier New" w:hint="default"/>
      </w:rPr>
    </w:lvl>
    <w:lvl w:ilvl="5" w:tplc="05D29AAE" w:tentative="1">
      <w:start w:val="1"/>
      <w:numFmt w:val="bullet"/>
      <w:lvlText w:val=""/>
      <w:lvlJc w:val="left"/>
      <w:pPr>
        <w:ind w:left="4320" w:hanging="360"/>
      </w:pPr>
      <w:rPr>
        <w:rFonts w:ascii="Wingdings" w:hAnsi="Wingdings" w:hint="default"/>
      </w:rPr>
    </w:lvl>
    <w:lvl w:ilvl="6" w:tplc="B3CC4258" w:tentative="1">
      <w:start w:val="1"/>
      <w:numFmt w:val="bullet"/>
      <w:lvlText w:val=""/>
      <w:lvlJc w:val="left"/>
      <w:pPr>
        <w:ind w:left="5040" w:hanging="360"/>
      </w:pPr>
      <w:rPr>
        <w:rFonts w:ascii="Symbol" w:hAnsi="Symbol" w:hint="default"/>
      </w:rPr>
    </w:lvl>
    <w:lvl w:ilvl="7" w:tplc="A8066780" w:tentative="1">
      <w:start w:val="1"/>
      <w:numFmt w:val="bullet"/>
      <w:lvlText w:val="o"/>
      <w:lvlJc w:val="left"/>
      <w:pPr>
        <w:ind w:left="5760" w:hanging="360"/>
      </w:pPr>
      <w:rPr>
        <w:rFonts w:ascii="Courier New" w:hAnsi="Courier New" w:cs="Courier New" w:hint="default"/>
      </w:rPr>
    </w:lvl>
    <w:lvl w:ilvl="8" w:tplc="04103D7C" w:tentative="1">
      <w:start w:val="1"/>
      <w:numFmt w:val="bullet"/>
      <w:lvlText w:val=""/>
      <w:lvlJc w:val="left"/>
      <w:pPr>
        <w:ind w:left="6480" w:hanging="360"/>
      </w:pPr>
      <w:rPr>
        <w:rFonts w:ascii="Wingdings" w:hAnsi="Wingdings" w:hint="default"/>
      </w:rPr>
    </w:lvl>
  </w:abstractNum>
  <w:abstractNum w:abstractNumId="20"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F1156"/>
    <w:multiLevelType w:val="hybridMultilevel"/>
    <w:tmpl w:val="74D45814"/>
    <w:lvl w:ilvl="0" w:tplc="1376F258">
      <w:numFmt w:val="bullet"/>
      <w:lvlText w:val="■"/>
      <w:lvlJc w:val="left"/>
      <w:pPr>
        <w:ind w:left="720" w:hanging="360"/>
      </w:pPr>
      <w:rPr>
        <w:rFonts w:ascii="Arial" w:hAnsi="Arial" w:hint="default"/>
        <w:color w:val="808080"/>
        <w:sz w:val="16"/>
        <w:u w:color="009A80"/>
      </w:rPr>
    </w:lvl>
    <w:lvl w:ilvl="1" w:tplc="E3086D62">
      <w:numFmt w:val="bullet"/>
      <w:lvlText w:val="‒"/>
      <w:lvlJc w:val="left"/>
      <w:pPr>
        <w:ind w:left="1440" w:hanging="360"/>
      </w:pPr>
      <w:rPr>
        <w:rFonts w:ascii="Segoe UI" w:hAnsi="Segoe UI" w:hint="default"/>
        <w:b/>
        <w:i w:val="0"/>
        <w:color w:val="A6A6A6"/>
        <w:sz w:val="20"/>
      </w:rPr>
    </w:lvl>
    <w:lvl w:ilvl="2" w:tplc="A3E65138" w:tentative="1">
      <w:start w:val="1"/>
      <w:numFmt w:val="bullet"/>
      <w:lvlText w:val=""/>
      <w:lvlJc w:val="left"/>
      <w:pPr>
        <w:ind w:left="2160" w:hanging="360"/>
      </w:pPr>
      <w:rPr>
        <w:rFonts w:ascii="Wingdings" w:hAnsi="Wingdings" w:hint="default"/>
      </w:rPr>
    </w:lvl>
    <w:lvl w:ilvl="3" w:tplc="2A80E18A" w:tentative="1">
      <w:start w:val="1"/>
      <w:numFmt w:val="bullet"/>
      <w:lvlText w:val=""/>
      <w:lvlJc w:val="left"/>
      <w:pPr>
        <w:ind w:left="2880" w:hanging="360"/>
      </w:pPr>
      <w:rPr>
        <w:rFonts w:ascii="Symbol" w:hAnsi="Symbol" w:hint="default"/>
      </w:rPr>
    </w:lvl>
    <w:lvl w:ilvl="4" w:tplc="00D2E278" w:tentative="1">
      <w:start w:val="1"/>
      <w:numFmt w:val="bullet"/>
      <w:lvlText w:val="o"/>
      <w:lvlJc w:val="left"/>
      <w:pPr>
        <w:ind w:left="3600" w:hanging="360"/>
      </w:pPr>
      <w:rPr>
        <w:rFonts w:ascii="Courier New" w:hAnsi="Courier New" w:cs="Courier New" w:hint="default"/>
      </w:rPr>
    </w:lvl>
    <w:lvl w:ilvl="5" w:tplc="A31018EE" w:tentative="1">
      <w:start w:val="1"/>
      <w:numFmt w:val="bullet"/>
      <w:lvlText w:val=""/>
      <w:lvlJc w:val="left"/>
      <w:pPr>
        <w:ind w:left="4320" w:hanging="360"/>
      </w:pPr>
      <w:rPr>
        <w:rFonts w:ascii="Wingdings" w:hAnsi="Wingdings" w:hint="default"/>
      </w:rPr>
    </w:lvl>
    <w:lvl w:ilvl="6" w:tplc="CB72851E" w:tentative="1">
      <w:start w:val="1"/>
      <w:numFmt w:val="bullet"/>
      <w:lvlText w:val=""/>
      <w:lvlJc w:val="left"/>
      <w:pPr>
        <w:ind w:left="5040" w:hanging="360"/>
      </w:pPr>
      <w:rPr>
        <w:rFonts w:ascii="Symbol" w:hAnsi="Symbol" w:hint="default"/>
      </w:rPr>
    </w:lvl>
    <w:lvl w:ilvl="7" w:tplc="31E8071A" w:tentative="1">
      <w:start w:val="1"/>
      <w:numFmt w:val="bullet"/>
      <w:lvlText w:val="o"/>
      <w:lvlJc w:val="left"/>
      <w:pPr>
        <w:ind w:left="5760" w:hanging="360"/>
      </w:pPr>
      <w:rPr>
        <w:rFonts w:ascii="Courier New" w:hAnsi="Courier New" w:cs="Courier New" w:hint="default"/>
      </w:rPr>
    </w:lvl>
    <w:lvl w:ilvl="8" w:tplc="F03E35E4" w:tentative="1">
      <w:start w:val="1"/>
      <w:numFmt w:val="bullet"/>
      <w:lvlText w:val=""/>
      <w:lvlJc w:val="left"/>
      <w:pPr>
        <w:ind w:left="6480" w:hanging="360"/>
      </w:pPr>
      <w:rPr>
        <w:rFonts w:ascii="Wingdings" w:hAnsi="Wingdings" w:hint="default"/>
      </w:rPr>
    </w:lvl>
  </w:abstractNum>
  <w:abstractNum w:abstractNumId="22" w15:restartNumberingAfterBreak="0">
    <w:nsid w:val="4E5737B5"/>
    <w:multiLevelType w:val="hybridMultilevel"/>
    <w:tmpl w:val="C64C03C2"/>
    <w:lvl w:ilvl="0" w:tplc="C26C3E62">
      <w:start w:val="1"/>
      <w:numFmt w:val="bullet"/>
      <w:lvlText w:val=""/>
      <w:lvlJc w:val="left"/>
      <w:pPr>
        <w:ind w:left="720" w:hanging="360"/>
      </w:pPr>
      <w:rPr>
        <w:rFonts w:ascii="Symbol" w:hAnsi="Symbol" w:hint="default"/>
        <w:color w:val="808080"/>
        <w:sz w:val="16"/>
        <w:u w:color="000000"/>
      </w:rPr>
    </w:lvl>
    <w:lvl w:ilvl="1" w:tplc="87AC5FC6">
      <w:start w:val="1"/>
      <w:numFmt w:val="bullet"/>
      <w:lvlText w:val="o"/>
      <w:lvlJc w:val="left"/>
      <w:pPr>
        <w:ind w:left="1440" w:hanging="360"/>
      </w:pPr>
      <w:rPr>
        <w:rFonts w:ascii="Courier New" w:hAnsi="Courier New" w:cs="Courier New" w:hint="default"/>
      </w:rPr>
    </w:lvl>
    <w:lvl w:ilvl="2" w:tplc="C9F69984" w:tentative="1">
      <w:start w:val="1"/>
      <w:numFmt w:val="bullet"/>
      <w:lvlText w:val=""/>
      <w:lvlJc w:val="left"/>
      <w:pPr>
        <w:ind w:left="2160" w:hanging="360"/>
      </w:pPr>
      <w:rPr>
        <w:rFonts w:ascii="Wingdings" w:hAnsi="Wingdings" w:hint="default"/>
      </w:rPr>
    </w:lvl>
    <w:lvl w:ilvl="3" w:tplc="E59EA57A" w:tentative="1">
      <w:start w:val="1"/>
      <w:numFmt w:val="bullet"/>
      <w:lvlText w:val=""/>
      <w:lvlJc w:val="left"/>
      <w:pPr>
        <w:ind w:left="2880" w:hanging="360"/>
      </w:pPr>
      <w:rPr>
        <w:rFonts w:ascii="Symbol" w:hAnsi="Symbol" w:hint="default"/>
      </w:rPr>
    </w:lvl>
    <w:lvl w:ilvl="4" w:tplc="D1D8CCA6" w:tentative="1">
      <w:start w:val="1"/>
      <w:numFmt w:val="bullet"/>
      <w:lvlText w:val="o"/>
      <w:lvlJc w:val="left"/>
      <w:pPr>
        <w:ind w:left="3600" w:hanging="360"/>
      </w:pPr>
      <w:rPr>
        <w:rFonts w:ascii="Courier New" w:hAnsi="Courier New" w:cs="Courier New" w:hint="default"/>
      </w:rPr>
    </w:lvl>
    <w:lvl w:ilvl="5" w:tplc="72744D94" w:tentative="1">
      <w:start w:val="1"/>
      <w:numFmt w:val="bullet"/>
      <w:lvlText w:val=""/>
      <w:lvlJc w:val="left"/>
      <w:pPr>
        <w:ind w:left="4320" w:hanging="360"/>
      </w:pPr>
      <w:rPr>
        <w:rFonts w:ascii="Wingdings" w:hAnsi="Wingdings" w:hint="default"/>
      </w:rPr>
    </w:lvl>
    <w:lvl w:ilvl="6" w:tplc="A664F82E" w:tentative="1">
      <w:start w:val="1"/>
      <w:numFmt w:val="bullet"/>
      <w:lvlText w:val=""/>
      <w:lvlJc w:val="left"/>
      <w:pPr>
        <w:ind w:left="5040" w:hanging="360"/>
      </w:pPr>
      <w:rPr>
        <w:rFonts w:ascii="Symbol" w:hAnsi="Symbol" w:hint="default"/>
      </w:rPr>
    </w:lvl>
    <w:lvl w:ilvl="7" w:tplc="85708EEA" w:tentative="1">
      <w:start w:val="1"/>
      <w:numFmt w:val="bullet"/>
      <w:lvlText w:val="o"/>
      <w:lvlJc w:val="left"/>
      <w:pPr>
        <w:ind w:left="5760" w:hanging="360"/>
      </w:pPr>
      <w:rPr>
        <w:rFonts w:ascii="Courier New" w:hAnsi="Courier New" w:cs="Courier New" w:hint="default"/>
      </w:rPr>
    </w:lvl>
    <w:lvl w:ilvl="8" w:tplc="421CB2B6" w:tentative="1">
      <w:start w:val="1"/>
      <w:numFmt w:val="bullet"/>
      <w:lvlText w:val=""/>
      <w:lvlJc w:val="left"/>
      <w:pPr>
        <w:ind w:left="6480" w:hanging="360"/>
      </w:pPr>
      <w:rPr>
        <w:rFonts w:ascii="Wingdings" w:hAnsi="Wingdings" w:hint="default"/>
      </w:rPr>
    </w:lvl>
  </w:abstractNum>
  <w:abstractNum w:abstractNumId="23" w15:restartNumberingAfterBreak="0">
    <w:nsid w:val="504C3EFB"/>
    <w:multiLevelType w:val="hybridMultilevel"/>
    <w:tmpl w:val="92322242"/>
    <w:lvl w:ilvl="0" w:tplc="214CEC32">
      <w:start w:val="1"/>
      <w:numFmt w:val="decimal"/>
      <w:lvlText w:val="(%1)"/>
      <w:lvlJc w:val="left"/>
      <w:pPr>
        <w:ind w:left="720" w:hanging="360"/>
      </w:pPr>
      <w:rPr>
        <w:rFonts w:hint="default"/>
      </w:rPr>
    </w:lvl>
    <w:lvl w:ilvl="1" w:tplc="EC7005E0" w:tentative="1">
      <w:start w:val="1"/>
      <w:numFmt w:val="lowerLetter"/>
      <w:lvlText w:val="%2."/>
      <w:lvlJc w:val="left"/>
      <w:pPr>
        <w:ind w:left="1440" w:hanging="360"/>
      </w:pPr>
    </w:lvl>
    <w:lvl w:ilvl="2" w:tplc="C4F22698" w:tentative="1">
      <w:start w:val="1"/>
      <w:numFmt w:val="lowerRoman"/>
      <w:lvlText w:val="%3."/>
      <w:lvlJc w:val="right"/>
      <w:pPr>
        <w:ind w:left="2160" w:hanging="180"/>
      </w:pPr>
    </w:lvl>
    <w:lvl w:ilvl="3" w:tplc="F45C0E5E" w:tentative="1">
      <w:start w:val="1"/>
      <w:numFmt w:val="decimal"/>
      <w:lvlText w:val="%4."/>
      <w:lvlJc w:val="left"/>
      <w:pPr>
        <w:ind w:left="2880" w:hanging="360"/>
      </w:pPr>
    </w:lvl>
    <w:lvl w:ilvl="4" w:tplc="A9AA51D2" w:tentative="1">
      <w:start w:val="1"/>
      <w:numFmt w:val="lowerLetter"/>
      <w:lvlText w:val="%5."/>
      <w:lvlJc w:val="left"/>
      <w:pPr>
        <w:ind w:left="3600" w:hanging="360"/>
      </w:pPr>
    </w:lvl>
    <w:lvl w:ilvl="5" w:tplc="61D6BB70" w:tentative="1">
      <w:start w:val="1"/>
      <w:numFmt w:val="lowerRoman"/>
      <w:lvlText w:val="%6."/>
      <w:lvlJc w:val="right"/>
      <w:pPr>
        <w:ind w:left="4320" w:hanging="180"/>
      </w:pPr>
    </w:lvl>
    <w:lvl w:ilvl="6" w:tplc="2DD803F2" w:tentative="1">
      <w:start w:val="1"/>
      <w:numFmt w:val="decimal"/>
      <w:lvlText w:val="%7."/>
      <w:lvlJc w:val="left"/>
      <w:pPr>
        <w:ind w:left="5040" w:hanging="360"/>
      </w:pPr>
    </w:lvl>
    <w:lvl w:ilvl="7" w:tplc="9E5A73E0" w:tentative="1">
      <w:start w:val="1"/>
      <w:numFmt w:val="lowerLetter"/>
      <w:lvlText w:val="%8."/>
      <w:lvlJc w:val="left"/>
      <w:pPr>
        <w:ind w:left="5760" w:hanging="360"/>
      </w:pPr>
    </w:lvl>
    <w:lvl w:ilvl="8" w:tplc="B7E674CA" w:tentative="1">
      <w:start w:val="1"/>
      <w:numFmt w:val="lowerRoman"/>
      <w:lvlText w:val="%9."/>
      <w:lvlJc w:val="right"/>
      <w:pPr>
        <w:ind w:left="6480" w:hanging="180"/>
      </w:pPr>
    </w:lvl>
  </w:abstractNum>
  <w:abstractNum w:abstractNumId="24"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E1195F"/>
    <w:multiLevelType w:val="hybridMultilevel"/>
    <w:tmpl w:val="30A8F846"/>
    <w:lvl w:ilvl="0" w:tplc="AD52A05C">
      <w:numFmt w:val="bullet"/>
      <w:lvlText w:val="■"/>
      <w:lvlJc w:val="left"/>
      <w:pPr>
        <w:ind w:left="720" w:hanging="360"/>
      </w:pPr>
      <w:rPr>
        <w:rFonts w:ascii="Arial" w:hAnsi="Arial" w:hint="default"/>
        <w:color w:val="808080"/>
        <w:sz w:val="16"/>
        <w:u w:color="009A80"/>
      </w:rPr>
    </w:lvl>
    <w:lvl w:ilvl="1" w:tplc="7396D302">
      <w:numFmt w:val="bullet"/>
      <w:lvlText w:val="‒"/>
      <w:lvlJc w:val="left"/>
      <w:pPr>
        <w:ind w:left="1440" w:hanging="360"/>
      </w:pPr>
      <w:rPr>
        <w:rFonts w:ascii="Segoe UI" w:hAnsi="Segoe UI" w:hint="default"/>
        <w:b w:val="0"/>
        <w:i w:val="0"/>
        <w:color w:val="000000"/>
        <w:sz w:val="20"/>
      </w:rPr>
    </w:lvl>
    <w:lvl w:ilvl="2" w:tplc="6ACA42EE" w:tentative="1">
      <w:start w:val="1"/>
      <w:numFmt w:val="bullet"/>
      <w:lvlText w:val=""/>
      <w:lvlJc w:val="left"/>
      <w:pPr>
        <w:ind w:left="2160" w:hanging="360"/>
      </w:pPr>
      <w:rPr>
        <w:rFonts w:ascii="Wingdings" w:hAnsi="Wingdings" w:hint="default"/>
      </w:rPr>
    </w:lvl>
    <w:lvl w:ilvl="3" w:tplc="32C0564E" w:tentative="1">
      <w:start w:val="1"/>
      <w:numFmt w:val="bullet"/>
      <w:lvlText w:val=""/>
      <w:lvlJc w:val="left"/>
      <w:pPr>
        <w:ind w:left="2880" w:hanging="360"/>
      </w:pPr>
      <w:rPr>
        <w:rFonts w:ascii="Symbol" w:hAnsi="Symbol" w:hint="default"/>
      </w:rPr>
    </w:lvl>
    <w:lvl w:ilvl="4" w:tplc="70341D32" w:tentative="1">
      <w:start w:val="1"/>
      <w:numFmt w:val="bullet"/>
      <w:lvlText w:val="o"/>
      <w:lvlJc w:val="left"/>
      <w:pPr>
        <w:ind w:left="3600" w:hanging="360"/>
      </w:pPr>
      <w:rPr>
        <w:rFonts w:ascii="Courier New" w:hAnsi="Courier New" w:cs="Courier New" w:hint="default"/>
      </w:rPr>
    </w:lvl>
    <w:lvl w:ilvl="5" w:tplc="74F8E038" w:tentative="1">
      <w:start w:val="1"/>
      <w:numFmt w:val="bullet"/>
      <w:lvlText w:val=""/>
      <w:lvlJc w:val="left"/>
      <w:pPr>
        <w:ind w:left="4320" w:hanging="360"/>
      </w:pPr>
      <w:rPr>
        <w:rFonts w:ascii="Wingdings" w:hAnsi="Wingdings" w:hint="default"/>
      </w:rPr>
    </w:lvl>
    <w:lvl w:ilvl="6" w:tplc="563472C2" w:tentative="1">
      <w:start w:val="1"/>
      <w:numFmt w:val="bullet"/>
      <w:lvlText w:val=""/>
      <w:lvlJc w:val="left"/>
      <w:pPr>
        <w:ind w:left="5040" w:hanging="360"/>
      </w:pPr>
      <w:rPr>
        <w:rFonts w:ascii="Symbol" w:hAnsi="Symbol" w:hint="default"/>
      </w:rPr>
    </w:lvl>
    <w:lvl w:ilvl="7" w:tplc="1CB843FA" w:tentative="1">
      <w:start w:val="1"/>
      <w:numFmt w:val="bullet"/>
      <w:lvlText w:val="o"/>
      <w:lvlJc w:val="left"/>
      <w:pPr>
        <w:ind w:left="5760" w:hanging="360"/>
      </w:pPr>
      <w:rPr>
        <w:rFonts w:ascii="Courier New" w:hAnsi="Courier New" w:cs="Courier New" w:hint="default"/>
      </w:rPr>
    </w:lvl>
    <w:lvl w:ilvl="8" w:tplc="1DD2797C" w:tentative="1">
      <w:start w:val="1"/>
      <w:numFmt w:val="bullet"/>
      <w:lvlText w:val=""/>
      <w:lvlJc w:val="left"/>
      <w:pPr>
        <w:ind w:left="6480" w:hanging="360"/>
      </w:pPr>
      <w:rPr>
        <w:rFonts w:ascii="Wingdings" w:hAnsi="Wingdings" w:hint="default"/>
      </w:rPr>
    </w:lvl>
  </w:abstractNum>
  <w:abstractNum w:abstractNumId="26" w15:restartNumberingAfterBreak="0">
    <w:nsid w:val="6CEC7996"/>
    <w:multiLevelType w:val="hybridMultilevel"/>
    <w:tmpl w:val="504E2CDE"/>
    <w:lvl w:ilvl="0" w:tplc="075CA4B2">
      <w:numFmt w:val="bullet"/>
      <w:lvlText w:val="-"/>
      <w:lvlJc w:val="left"/>
      <w:pPr>
        <w:ind w:left="420" w:hanging="360"/>
      </w:pPr>
      <w:rPr>
        <w:rFonts w:ascii="Calibri" w:eastAsia="Calibri" w:hAnsi="Calibri" w:cs="Calibri" w:hint="default"/>
        <w:color w:val="1F497D"/>
      </w:rPr>
    </w:lvl>
    <w:lvl w:ilvl="1" w:tplc="CBDC2F54">
      <w:start w:val="1"/>
      <w:numFmt w:val="decimal"/>
      <w:lvlText w:val="%2."/>
      <w:lvlJc w:val="left"/>
      <w:pPr>
        <w:tabs>
          <w:tab w:val="num" w:pos="1440"/>
        </w:tabs>
        <w:ind w:left="1440" w:hanging="360"/>
      </w:pPr>
    </w:lvl>
    <w:lvl w:ilvl="2" w:tplc="028C0258">
      <w:start w:val="1"/>
      <w:numFmt w:val="decimal"/>
      <w:lvlText w:val="%3."/>
      <w:lvlJc w:val="left"/>
      <w:pPr>
        <w:tabs>
          <w:tab w:val="num" w:pos="2160"/>
        </w:tabs>
        <w:ind w:left="2160" w:hanging="360"/>
      </w:pPr>
    </w:lvl>
    <w:lvl w:ilvl="3" w:tplc="5C6C25D0">
      <w:start w:val="1"/>
      <w:numFmt w:val="decimal"/>
      <w:lvlText w:val="%4."/>
      <w:lvlJc w:val="left"/>
      <w:pPr>
        <w:tabs>
          <w:tab w:val="num" w:pos="2880"/>
        </w:tabs>
        <w:ind w:left="2880" w:hanging="360"/>
      </w:pPr>
    </w:lvl>
    <w:lvl w:ilvl="4" w:tplc="11764A64">
      <w:start w:val="1"/>
      <w:numFmt w:val="decimal"/>
      <w:lvlText w:val="%5."/>
      <w:lvlJc w:val="left"/>
      <w:pPr>
        <w:tabs>
          <w:tab w:val="num" w:pos="3600"/>
        </w:tabs>
        <w:ind w:left="3600" w:hanging="360"/>
      </w:pPr>
    </w:lvl>
    <w:lvl w:ilvl="5" w:tplc="2FB81930">
      <w:start w:val="1"/>
      <w:numFmt w:val="decimal"/>
      <w:lvlText w:val="%6."/>
      <w:lvlJc w:val="left"/>
      <w:pPr>
        <w:tabs>
          <w:tab w:val="num" w:pos="4320"/>
        </w:tabs>
        <w:ind w:left="4320" w:hanging="360"/>
      </w:pPr>
    </w:lvl>
    <w:lvl w:ilvl="6" w:tplc="87BCDE40">
      <w:start w:val="1"/>
      <w:numFmt w:val="decimal"/>
      <w:lvlText w:val="%7."/>
      <w:lvlJc w:val="left"/>
      <w:pPr>
        <w:tabs>
          <w:tab w:val="num" w:pos="5040"/>
        </w:tabs>
        <w:ind w:left="5040" w:hanging="360"/>
      </w:pPr>
    </w:lvl>
    <w:lvl w:ilvl="7" w:tplc="FC4E0956">
      <w:start w:val="1"/>
      <w:numFmt w:val="decimal"/>
      <w:lvlText w:val="%8."/>
      <w:lvlJc w:val="left"/>
      <w:pPr>
        <w:tabs>
          <w:tab w:val="num" w:pos="5760"/>
        </w:tabs>
        <w:ind w:left="5760" w:hanging="360"/>
      </w:pPr>
    </w:lvl>
    <w:lvl w:ilvl="8" w:tplc="7CAC6EB8">
      <w:start w:val="1"/>
      <w:numFmt w:val="decimal"/>
      <w:lvlText w:val="%9."/>
      <w:lvlJc w:val="left"/>
      <w:pPr>
        <w:tabs>
          <w:tab w:val="num" w:pos="6480"/>
        </w:tabs>
        <w:ind w:left="6480" w:hanging="360"/>
      </w:pPr>
    </w:lvl>
  </w:abstractNum>
  <w:abstractNum w:abstractNumId="27" w15:restartNumberingAfterBreak="0">
    <w:nsid w:val="73125D60"/>
    <w:multiLevelType w:val="hybridMultilevel"/>
    <w:tmpl w:val="FD08D988"/>
    <w:lvl w:ilvl="0" w:tplc="01BCD432">
      <w:numFmt w:val="bullet"/>
      <w:lvlText w:val="■"/>
      <w:lvlJc w:val="left"/>
      <w:pPr>
        <w:ind w:left="720" w:hanging="360"/>
      </w:pPr>
      <w:rPr>
        <w:rFonts w:ascii="Arial" w:hAnsi="Arial" w:hint="default"/>
        <w:color w:val="808080"/>
        <w:sz w:val="16"/>
        <w:u w:color="009A80"/>
      </w:rPr>
    </w:lvl>
    <w:lvl w:ilvl="1" w:tplc="1BF600D2">
      <w:numFmt w:val="bullet"/>
      <w:lvlText w:val="‒"/>
      <w:lvlJc w:val="left"/>
      <w:pPr>
        <w:ind w:left="1440" w:hanging="360"/>
      </w:pPr>
      <w:rPr>
        <w:rFonts w:ascii="Segoe UI" w:hAnsi="Segoe UI" w:hint="default"/>
        <w:color w:val="A6A6A6"/>
        <w:sz w:val="16"/>
      </w:rPr>
    </w:lvl>
    <w:lvl w:ilvl="2" w:tplc="C54C6C5A" w:tentative="1">
      <w:start w:val="1"/>
      <w:numFmt w:val="bullet"/>
      <w:lvlText w:val=""/>
      <w:lvlJc w:val="left"/>
      <w:pPr>
        <w:ind w:left="2160" w:hanging="360"/>
      </w:pPr>
      <w:rPr>
        <w:rFonts w:ascii="Wingdings" w:hAnsi="Wingdings" w:hint="default"/>
      </w:rPr>
    </w:lvl>
    <w:lvl w:ilvl="3" w:tplc="59A8DAD8" w:tentative="1">
      <w:start w:val="1"/>
      <w:numFmt w:val="bullet"/>
      <w:lvlText w:val=""/>
      <w:lvlJc w:val="left"/>
      <w:pPr>
        <w:ind w:left="2880" w:hanging="360"/>
      </w:pPr>
      <w:rPr>
        <w:rFonts w:ascii="Symbol" w:hAnsi="Symbol" w:hint="default"/>
      </w:rPr>
    </w:lvl>
    <w:lvl w:ilvl="4" w:tplc="29C4A348" w:tentative="1">
      <w:start w:val="1"/>
      <w:numFmt w:val="bullet"/>
      <w:lvlText w:val="o"/>
      <w:lvlJc w:val="left"/>
      <w:pPr>
        <w:ind w:left="3600" w:hanging="360"/>
      </w:pPr>
      <w:rPr>
        <w:rFonts w:ascii="Courier New" w:hAnsi="Courier New" w:cs="Courier New" w:hint="default"/>
      </w:rPr>
    </w:lvl>
    <w:lvl w:ilvl="5" w:tplc="8BE8E1F4" w:tentative="1">
      <w:start w:val="1"/>
      <w:numFmt w:val="bullet"/>
      <w:lvlText w:val=""/>
      <w:lvlJc w:val="left"/>
      <w:pPr>
        <w:ind w:left="4320" w:hanging="360"/>
      </w:pPr>
      <w:rPr>
        <w:rFonts w:ascii="Wingdings" w:hAnsi="Wingdings" w:hint="default"/>
      </w:rPr>
    </w:lvl>
    <w:lvl w:ilvl="6" w:tplc="E1CE35A2" w:tentative="1">
      <w:start w:val="1"/>
      <w:numFmt w:val="bullet"/>
      <w:lvlText w:val=""/>
      <w:lvlJc w:val="left"/>
      <w:pPr>
        <w:ind w:left="5040" w:hanging="360"/>
      </w:pPr>
      <w:rPr>
        <w:rFonts w:ascii="Symbol" w:hAnsi="Symbol" w:hint="default"/>
      </w:rPr>
    </w:lvl>
    <w:lvl w:ilvl="7" w:tplc="D20251FC" w:tentative="1">
      <w:start w:val="1"/>
      <w:numFmt w:val="bullet"/>
      <w:lvlText w:val="o"/>
      <w:lvlJc w:val="left"/>
      <w:pPr>
        <w:ind w:left="5760" w:hanging="360"/>
      </w:pPr>
      <w:rPr>
        <w:rFonts w:ascii="Courier New" w:hAnsi="Courier New" w:cs="Courier New" w:hint="default"/>
      </w:rPr>
    </w:lvl>
    <w:lvl w:ilvl="8" w:tplc="8C0AE0F0" w:tentative="1">
      <w:start w:val="1"/>
      <w:numFmt w:val="bullet"/>
      <w:lvlText w:val=""/>
      <w:lvlJc w:val="left"/>
      <w:pPr>
        <w:ind w:left="6480" w:hanging="360"/>
      </w:pPr>
      <w:rPr>
        <w:rFonts w:ascii="Wingdings" w:hAnsi="Wingdings" w:hint="default"/>
      </w:rPr>
    </w:lvl>
  </w:abstractNum>
  <w:num w:numId="1">
    <w:abstractNumId w:val="24"/>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14"/>
  </w:num>
  <w:num w:numId="20">
    <w:abstractNumId w:val="10"/>
  </w:num>
  <w:num w:numId="21">
    <w:abstractNumId w:val="22"/>
  </w:num>
  <w:num w:numId="22">
    <w:abstractNumId w:val="13"/>
  </w:num>
  <w:num w:numId="23">
    <w:abstractNumId w:val="19"/>
  </w:num>
  <w:num w:numId="24">
    <w:abstractNumId w:val="15"/>
  </w:num>
  <w:num w:numId="25">
    <w:abstractNumId w:val="27"/>
  </w:num>
  <w:num w:numId="26">
    <w:abstractNumId w:val="21"/>
  </w:num>
  <w:num w:numId="27">
    <w:abstractNumId w:val="11"/>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21FBF"/>
    <w:rsid w:val="00055E3F"/>
    <w:rsid w:val="000952C3"/>
    <w:rsid w:val="000D0E39"/>
    <w:rsid w:val="00133662"/>
    <w:rsid w:val="001A55E0"/>
    <w:rsid w:val="002026C5"/>
    <w:rsid w:val="00256422"/>
    <w:rsid w:val="002A0850"/>
    <w:rsid w:val="002A0FE2"/>
    <w:rsid w:val="002A64F5"/>
    <w:rsid w:val="0035277F"/>
    <w:rsid w:val="0036419B"/>
    <w:rsid w:val="00367290"/>
    <w:rsid w:val="00385140"/>
    <w:rsid w:val="004430C2"/>
    <w:rsid w:val="0046424D"/>
    <w:rsid w:val="004E1EC6"/>
    <w:rsid w:val="004F3427"/>
    <w:rsid w:val="006A71AE"/>
    <w:rsid w:val="00804DB1"/>
    <w:rsid w:val="00875622"/>
    <w:rsid w:val="008E4877"/>
    <w:rsid w:val="00951D5D"/>
    <w:rsid w:val="009524FF"/>
    <w:rsid w:val="0098514B"/>
    <w:rsid w:val="00990A89"/>
    <w:rsid w:val="009B3898"/>
    <w:rsid w:val="00A57D27"/>
    <w:rsid w:val="00A96820"/>
    <w:rsid w:val="00B05ACD"/>
    <w:rsid w:val="00B647BF"/>
    <w:rsid w:val="00B81DDD"/>
    <w:rsid w:val="00BD31CE"/>
    <w:rsid w:val="00C149E3"/>
    <w:rsid w:val="00D0475B"/>
    <w:rsid w:val="00D10D79"/>
    <w:rsid w:val="00E65576"/>
    <w:rsid w:val="00EF1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44ED1"/>
  <w15:docId w15:val="{8351F88A-E92A-4EB2-8E56-EAB64165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SimSun" w:hAnsi="Segoe UI" w:cs="Times New Roman"/>
        <w:lang w:val="pl-PL" w:eastAsia="pl-PL" w:bidi="ar-SA"/>
      </w:rPr>
    </w:rPrDefault>
    <w:pPrDefault/>
  </w:docDefaults>
  <w:latentStyles w:defLockedState="0" w:defUIPriority="99" w:defSemiHidden="0" w:defUnhideWhenUsed="0" w:defQFormat="0" w:count="374">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24449"/>
    <w:pPr>
      <w:spacing w:after="240" w:line="264" w:lineRule="auto"/>
    </w:pPr>
    <w:rPr>
      <w:color w:val="000000"/>
      <w:sz w:val="22"/>
      <w:szCs w:val="22"/>
    </w:rPr>
  </w:style>
  <w:style w:type="paragraph" w:styleId="Heading1">
    <w:name w:val="heading 1"/>
    <w:basedOn w:val="Normal"/>
    <w:next w:val="Normal"/>
    <w:link w:val="Heading1Char"/>
    <w:rsid w:val="005973A1"/>
    <w:pPr>
      <w:keepNext/>
      <w:spacing w:after="0" w:line="240" w:lineRule="auto"/>
      <w:jc w:val="right"/>
      <w:outlineLvl w:val="0"/>
    </w:pPr>
    <w:rPr>
      <w:rFonts w:ascii="Arial" w:hAnsi="Arial"/>
      <w:b/>
      <w:bCs/>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E39FF"/>
    <w:rPr>
      <w:sz w:val="16"/>
      <w:szCs w:val="16"/>
      <w:lang w:val="pl-PL" w:eastAsia="pl-PL"/>
    </w:rPr>
  </w:style>
  <w:style w:type="paragraph" w:styleId="CommentText">
    <w:name w:val="annotation text"/>
    <w:basedOn w:val="Normal"/>
    <w:link w:val="CommentTextChar"/>
    <w:uiPriority w:val="99"/>
    <w:semiHidden/>
    <w:unhideWhenUsed/>
    <w:rsid w:val="001E39FF"/>
    <w:pPr>
      <w:spacing w:line="240" w:lineRule="auto"/>
    </w:pPr>
    <w:rPr>
      <w:sz w:val="20"/>
      <w:szCs w:val="20"/>
    </w:rPr>
  </w:style>
  <w:style w:type="character" w:customStyle="1" w:styleId="CommentTextChar">
    <w:name w:val="Comment Text Char"/>
    <w:link w:val="CommentText"/>
    <w:uiPriority w:val="99"/>
    <w:semiHidden/>
    <w:rsid w:val="001E39FF"/>
    <w:rPr>
      <w:sz w:val="20"/>
      <w:szCs w:val="20"/>
      <w:lang w:val="pl-PL" w:eastAsia="pl-PL"/>
    </w:rPr>
  </w:style>
  <w:style w:type="paragraph" w:styleId="CommentSubject">
    <w:name w:val="annotation subject"/>
    <w:basedOn w:val="CommentText"/>
    <w:next w:val="CommentText"/>
    <w:link w:val="CommentSubjectChar"/>
    <w:uiPriority w:val="99"/>
    <w:semiHidden/>
    <w:unhideWhenUsed/>
    <w:rsid w:val="001E39FF"/>
    <w:rPr>
      <w:b/>
      <w:bCs/>
    </w:rPr>
  </w:style>
  <w:style w:type="character" w:customStyle="1" w:styleId="CommentSubjectChar">
    <w:name w:val="Comment Subject Char"/>
    <w:link w:val="CommentSubject"/>
    <w:uiPriority w:val="99"/>
    <w:semiHidden/>
    <w:rsid w:val="001E39FF"/>
    <w:rPr>
      <w:b/>
      <w:bCs/>
      <w:sz w:val="20"/>
      <w:szCs w:val="20"/>
      <w:lang w:val="pl-PL" w:eastAsia="pl-PL"/>
    </w:rPr>
  </w:style>
  <w:style w:type="paragraph" w:styleId="BalloonText">
    <w:name w:val="Balloon Text"/>
    <w:basedOn w:val="Normal"/>
    <w:link w:val="BalloonTextChar"/>
    <w:uiPriority w:val="99"/>
    <w:semiHidden/>
    <w:unhideWhenUsed/>
    <w:rsid w:val="001E39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39FF"/>
    <w:rPr>
      <w:rFonts w:ascii="Tahoma" w:hAnsi="Tahoma" w:cs="Tahoma"/>
      <w:sz w:val="16"/>
      <w:szCs w:val="16"/>
      <w:lang w:val="pl-PL" w:eastAsia="pl-PL"/>
    </w:rPr>
  </w:style>
  <w:style w:type="character" w:customStyle="1" w:styleId="Heading1Char">
    <w:name w:val="Heading 1 Char"/>
    <w:link w:val="Heading1"/>
    <w:rsid w:val="005973A1"/>
    <w:rPr>
      <w:rFonts w:ascii="Arial" w:hAnsi="Arial" w:cs="Times New Roman"/>
      <w:b/>
      <w:bCs/>
      <w:caps/>
      <w:color w:val="000000"/>
      <w:sz w:val="20"/>
      <w:szCs w:val="24"/>
      <w:lang w:val="pl-PL" w:eastAsia="pl-PL"/>
    </w:rPr>
  </w:style>
  <w:style w:type="paragraph" w:styleId="PlainText">
    <w:name w:val="Plain Text"/>
    <w:basedOn w:val="Normal"/>
    <w:link w:val="PlainTextChar"/>
    <w:uiPriority w:val="99"/>
    <w:semiHidden/>
    <w:unhideWhenUsed/>
    <w:rsid w:val="00750EC2"/>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750EC2"/>
    <w:rPr>
      <w:rFonts w:ascii="Consolas" w:eastAsia="Calibri" w:hAnsi="Consolas"/>
      <w:sz w:val="21"/>
      <w:szCs w:val="21"/>
      <w:lang w:val="pl-PL" w:eastAsia="pl-PL"/>
    </w:rPr>
  </w:style>
  <w:style w:type="paragraph" w:styleId="FootnoteText">
    <w:name w:val="footnote text"/>
    <w:basedOn w:val="Normal"/>
    <w:link w:val="FootnoteTextChar"/>
    <w:uiPriority w:val="99"/>
    <w:semiHidden/>
    <w:unhideWhenUsed/>
    <w:rsid w:val="00F37186"/>
    <w:pPr>
      <w:spacing w:after="0" w:line="240" w:lineRule="auto"/>
    </w:pPr>
    <w:rPr>
      <w:rFonts w:ascii="Cambria" w:eastAsia="Calibri" w:hAnsi="Cambria"/>
      <w:sz w:val="20"/>
      <w:szCs w:val="20"/>
    </w:rPr>
  </w:style>
  <w:style w:type="character" w:customStyle="1" w:styleId="FootnoteTextChar">
    <w:name w:val="Footnote Text Char"/>
    <w:link w:val="FootnoteText"/>
    <w:uiPriority w:val="99"/>
    <w:semiHidden/>
    <w:rsid w:val="00F37186"/>
    <w:rPr>
      <w:rFonts w:ascii="Cambria" w:eastAsia="Calibri" w:hAnsi="Cambria"/>
      <w:sz w:val="20"/>
      <w:szCs w:val="20"/>
      <w:lang w:val="pl-PL" w:eastAsia="pl-PL"/>
    </w:rPr>
  </w:style>
  <w:style w:type="character" w:styleId="FootnoteReference">
    <w:name w:val="footnote reference"/>
    <w:uiPriority w:val="99"/>
    <w:semiHidden/>
    <w:unhideWhenUsed/>
    <w:rsid w:val="00F37186"/>
    <w:rPr>
      <w:vertAlign w:val="superscript"/>
      <w:lang w:val="pl-PL" w:eastAsia="pl-PL"/>
    </w:rPr>
  </w:style>
  <w:style w:type="table" w:styleId="TableGrid">
    <w:name w:val="Table Grid"/>
    <w:basedOn w:val="TableNormal"/>
    <w:uiPriority w:val="59"/>
    <w:rsid w:val="00F1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E18"/>
  </w:style>
  <w:style w:type="paragraph" w:styleId="Footer">
    <w:name w:val="footer"/>
    <w:basedOn w:val="Normal"/>
    <w:link w:val="FooterChar"/>
    <w:uiPriority w:val="99"/>
    <w:unhideWhenUsed/>
    <w:rsid w:val="005D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18"/>
  </w:style>
  <w:style w:type="paragraph" w:styleId="NormalWeb">
    <w:name w:val="Normal (Web)"/>
    <w:basedOn w:val="Normal"/>
    <w:uiPriority w:val="99"/>
    <w:unhideWhenUsed/>
    <w:rsid w:val="00D24449"/>
    <w:pPr>
      <w:spacing w:before="100" w:beforeAutospacing="1" w:after="100" w:afterAutospacing="1" w:line="200" w:lineRule="atLeast"/>
    </w:pPr>
    <w:rPr>
      <w:rFonts w:ascii="Times New Roman" w:eastAsia="Times New Roman" w:hAnsi="Times New Roman"/>
      <w:sz w:val="14"/>
      <w:szCs w:val="14"/>
    </w:rPr>
  </w:style>
  <w:style w:type="character" w:styleId="Hyperlink">
    <w:name w:val="Hyperlink"/>
    <w:uiPriority w:val="99"/>
    <w:unhideWhenUsed/>
    <w:rsid w:val="006D6725"/>
    <w:rPr>
      <w:color w:val="0000FF"/>
      <w:u w:val="single"/>
      <w:lang w:val="pl-PL" w:eastAsia="pl-PL"/>
    </w:rPr>
  </w:style>
  <w:style w:type="paragraph" w:styleId="ListParagraph">
    <w:name w:val="List Paragraph"/>
    <w:basedOn w:val="Normal"/>
    <w:uiPriority w:val="34"/>
    <w:rsid w:val="00B14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23ED-24AF-4AD7-9F03-DBBB78EA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1109</Words>
  <Characters>6656</Characters>
  <Application>Microsoft Office Word</Application>
  <DocSecurity>0</DocSecurity>
  <Lines>55</Lines>
  <Paragraphs>15</Paragraphs>
  <ScaleCrop>false</ScaleCrop>
  <HeadingPairs>
    <vt:vector size="6" baseType="variant">
      <vt:variant>
        <vt:lpstr>Title</vt:lpstr>
      </vt:variant>
      <vt:variant>
        <vt:i4>1</vt:i4>
      </vt:variant>
      <vt:variant>
        <vt:lpstr>Tytuł</vt:lpstr>
      </vt:variant>
      <vt:variant>
        <vt:i4>1</vt:i4>
      </vt:variant>
      <vt:variant>
        <vt:lpstr>タイトル</vt:lpstr>
      </vt:variant>
      <vt:variant>
        <vt:i4>1</vt:i4>
      </vt:variant>
    </vt:vector>
  </HeadingPairs>
  <TitlesOfParts>
    <vt:vector size="3" baseType="lpstr">
      <vt:lpstr/>
      <vt:lpstr/>
      <vt:lpstr/>
    </vt:vector>
  </TitlesOfParts>
  <Company>Prologis</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nbeizai</dc:creator>
  <cp:keywords/>
  <cp:lastModifiedBy>Kocemba, Renata</cp:lastModifiedBy>
  <cp:revision>7</cp:revision>
  <cp:lastPrinted>2017-04-10T23:02:00Z</cp:lastPrinted>
  <dcterms:created xsi:type="dcterms:W3CDTF">2017-06-06T08:05:00Z</dcterms:created>
  <dcterms:modified xsi:type="dcterms:W3CDTF">2017-06-06T08:22:00Z</dcterms:modified>
</cp:coreProperties>
</file>