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B2" w:rsidRPr="00054835" w:rsidRDefault="009F6BB2" w:rsidP="00AB1F61">
      <w:pPr>
        <w:jc w:val="right"/>
        <w:rPr>
          <w:rFonts w:cs="Calibri"/>
        </w:rPr>
      </w:pPr>
      <w:r w:rsidRPr="00054835">
        <w:rPr>
          <w:rFonts w:cs="Calibri"/>
        </w:rPr>
        <w:t xml:space="preserve">Warszawa, </w:t>
      </w:r>
      <w:r w:rsidR="0018467A">
        <w:rPr>
          <w:rFonts w:cs="Calibri"/>
        </w:rPr>
        <w:t>2</w:t>
      </w:r>
      <w:r w:rsidR="00A2532F">
        <w:rPr>
          <w:rFonts w:cs="Calibri"/>
        </w:rPr>
        <w:t>7</w:t>
      </w:r>
      <w:r w:rsidR="00EB22C6">
        <w:rPr>
          <w:rFonts w:cs="Calibri"/>
        </w:rPr>
        <w:t xml:space="preserve"> marca</w:t>
      </w:r>
      <w:r w:rsidR="00E068BD">
        <w:rPr>
          <w:rFonts w:cs="Calibri"/>
        </w:rPr>
        <w:t xml:space="preserve"> 2018</w:t>
      </w:r>
      <w:r w:rsidR="0018467A">
        <w:rPr>
          <w:rFonts w:cs="Calibri"/>
        </w:rPr>
        <w:t xml:space="preserve"> </w:t>
      </w:r>
      <w:r w:rsidR="00E068BD">
        <w:rPr>
          <w:rFonts w:cs="Calibri"/>
        </w:rPr>
        <w:t>r.</w:t>
      </w:r>
    </w:p>
    <w:p w:rsidR="000C359A" w:rsidRDefault="00F22422" w:rsidP="003C7BEA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Faktura czarno na białym – przejrzyste rozliczenia </w:t>
      </w:r>
      <w:r w:rsidR="003F2323">
        <w:rPr>
          <w:rFonts w:cs="Calibri"/>
          <w:b/>
          <w:sz w:val="24"/>
        </w:rPr>
        <w:t>karty flotowej</w:t>
      </w:r>
    </w:p>
    <w:p w:rsidR="007F1B88" w:rsidRDefault="007F1B88" w:rsidP="00512CBA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Duża liczba faktur oraz paragonów, wystawianych w różnych krajach i w różnych językach, </w:t>
      </w:r>
      <w:r w:rsidR="003D4E76">
        <w:rPr>
          <w:rFonts w:cs="Calibri"/>
          <w:b/>
        </w:rPr>
        <w:br/>
      </w:r>
      <w:r>
        <w:rPr>
          <w:rFonts w:cs="Calibri"/>
          <w:b/>
        </w:rPr>
        <w:t xml:space="preserve">z różnymi stawkami VAT, to tylko niektóre wyzwania </w:t>
      </w:r>
      <w:r w:rsidR="003D4E76">
        <w:rPr>
          <w:rFonts w:cs="Calibri"/>
          <w:b/>
        </w:rPr>
        <w:t xml:space="preserve">fiskalne </w:t>
      </w:r>
      <w:r>
        <w:rPr>
          <w:rFonts w:cs="Calibri"/>
          <w:b/>
        </w:rPr>
        <w:t xml:space="preserve">jakie stoją przez zarządcami flot operujących w Europie. Aby ułatwić prowadzenie i kontrolę rozliczeń księgowych, międzynarodowe firmy transportowe coraz częściej sięgają po karty flotowe, które integrują wszystkie płatności </w:t>
      </w:r>
      <w:r w:rsidR="00351FFC">
        <w:rPr>
          <w:rFonts w:cs="Calibri"/>
          <w:b/>
        </w:rPr>
        <w:br/>
      </w:r>
      <w:r>
        <w:rPr>
          <w:rFonts w:cs="Calibri"/>
          <w:b/>
        </w:rPr>
        <w:t>na jednej fakturze. Dlatego tak istotne jest, by otrzymywana faktura była prz</w:t>
      </w:r>
      <w:r w:rsidR="003D4E76">
        <w:rPr>
          <w:rFonts w:cs="Calibri"/>
          <w:b/>
        </w:rPr>
        <w:t xml:space="preserve">ejrzysta i łatwa </w:t>
      </w:r>
      <w:r w:rsidR="00351FFC">
        <w:rPr>
          <w:rFonts w:cs="Calibri"/>
          <w:b/>
        </w:rPr>
        <w:br/>
      </w:r>
      <w:r w:rsidR="003D4E76">
        <w:rPr>
          <w:rFonts w:cs="Calibri"/>
          <w:b/>
        </w:rPr>
        <w:t xml:space="preserve">w interpretacji. </w:t>
      </w:r>
    </w:p>
    <w:p w:rsidR="007F1B88" w:rsidRPr="003D4E76" w:rsidRDefault="003D4E76" w:rsidP="00512CBA">
      <w:pPr>
        <w:jc w:val="both"/>
        <w:rPr>
          <w:rFonts w:cs="Calibri"/>
        </w:rPr>
      </w:pPr>
      <w:r>
        <w:rPr>
          <w:rFonts w:cs="Calibri"/>
        </w:rPr>
        <w:t xml:space="preserve">Kluczem do przejrzystego rozliczania faktur jest pełne zrozumienie prezentowanych na nich pozycji kosztowych i dokładność opisu czego konkretnie dany koszt dotyczy. Ważne, by faktury miały stałą ujednoliconą formę oraz zawierały komplet informacji, które umożliwią weryfikację danej operacji gospodarczej i jednoznaczne wskazanie rodzaju kosztu, co ma decydujące znaczenie przy dalszych rozliczeniach z fiskusem. </w:t>
      </w:r>
    </w:p>
    <w:p w:rsidR="00512CBA" w:rsidRDefault="00512CBA" w:rsidP="00512CBA">
      <w:pPr>
        <w:jc w:val="both"/>
        <w:rPr>
          <w:b/>
        </w:rPr>
      </w:pPr>
      <w:r>
        <w:rPr>
          <w:b/>
        </w:rPr>
        <w:t>Faktura bez gwiazdek</w:t>
      </w:r>
    </w:p>
    <w:p w:rsidR="00E87033" w:rsidRPr="00B63B5A" w:rsidRDefault="003D4E76" w:rsidP="00512CBA">
      <w:pPr>
        <w:jc w:val="both"/>
      </w:pPr>
      <w:r>
        <w:rPr>
          <w:rFonts w:cs="Calibri"/>
        </w:rPr>
        <w:t xml:space="preserve">W przypadku kart euroShell na fakturze może znaleźć się wiele pozycji – od </w:t>
      </w:r>
      <w:r>
        <w:t xml:space="preserve">tankowania, przez płatność za myjnie czy zakupy na stacjach, po opłaty za serwisy drogowe jak np. przejazdy autostradami lub przez tunele i mosty w całej Europie. </w:t>
      </w:r>
      <w:r w:rsidR="00AB1F61">
        <w:t>Po w</w:t>
      </w:r>
      <w:r w:rsidR="00EB22C6">
        <w:t>drożeni</w:t>
      </w:r>
      <w:r w:rsidR="00AB1F61">
        <w:t>u</w:t>
      </w:r>
      <w:r w:rsidR="00EB22C6">
        <w:t xml:space="preserve"> nowego systemu transakcyjn</w:t>
      </w:r>
      <w:r w:rsidR="00512CBA">
        <w:t xml:space="preserve">ego do obsługi kart euroShell </w:t>
      </w:r>
      <w:r w:rsidR="00AB1F61">
        <w:t>ulepszono układ faktur oraz ujednolicono</w:t>
      </w:r>
      <w:r w:rsidR="00351FFC">
        <w:t xml:space="preserve"> format</w:t>
      </w:r>
      <w:r w:rsidR="00B63B5A">
        <w:t xml:space="preserve"> </w:t>
      </w:r>
      <w:r w:rsidR="00B63B5A">
        <w:rPr>
          <w:rFonts w:cs="Calibri"/>
        </w:rPr>
        <w:t xml:space="preserve">faktur krajowych i międzynarodowych wystawianych w tym samym czasie i w jednej walucie. </w:t>
      </w:r>
      <w:r w:rsidR="00EB22C6">
        <w:t>Faktura eur</w:t>
      </w:r>
      <w:bookmarkStart w:id="0" w:name="_GoBack"/>
      <w:bookmarkEnd w:id="0"/>
      <w:r w:rsidR="00EB22C6">
        <w:t xml:space="preserve">oShell </w:t>
      </w:r>
      <w:r w:rsidR="00B63B5A">
        <w:t xml:space="preserve">w czytelny sposób </w:t>
      </w:r>
      <w:r w:rsidR="00EB22C6">
        <w:t xml:space="preserve">prezentuje podział </w:t>
      </w:r>
      <w:r w:rsidR="00811777">
        <w:rPr>
          <w:rFonts w:cs="Calibri"/>
        </w:rPr>
        <w:t xml:space="preserve">kosztów na wydatki paliwowe i </w:t>
      </w:r>
      <w:proofErr w:type="spellStart"/>
      <w:r w:rsidR="00811777">
        <w:rPr>
          <w:rFonts w:cs="Calibri"/>
        </w:rPr>
        <w:t>pozapaliwowe</w:t>
      </w:r>
      <w:proofErr w:type="spellEnd"/>
      <w:r w:rsidR="00811777">
        <w:rPr>
          <w:rFonts w:cs="Calibri"/>
        </w:rPr>
        <w:t xml:space="preserve"> w danym okresie rozliczeniowym, </w:t>
      </w:r>
      <w:r w:rsidR="00EB22C6">
        <w:rPr>
          <w:rFonts w:cs="Calibri"/>
        </w:rPr>
        <w:t xml:space="preserve">a także </w:t>
      </w:r>
      <w:r w:rsidR="00B63B5A">
        <w:rPr>
          <w:rFonts w:cs="Calibri"/>
        </w:rPr>
        <w:t xml:space="preserve">zawiera </w:t>
      </w:r>
      <w:r w:rsidR="00811777">
        <w:rPr>
          <w:rFonts w:cs="Calibri"/>
        </w:rPr>
        <w:t>informacje o metodzie pła</w:t>
      </w:r>
      <w:r w:rsidR="00EB22C6">
        <w:rPr>
          <w:rFonts w:cs="Calibri"/>
        </w:rPr>
        <w:t xml:space="preserve">tności i naliczonej stawce VAT oraz o miejscu, dacie i godzinie dokonania danej transakcji. </w:t>
      </w:r>
      <w:r w:rsidR="00AB1F61">
        <w:rPr>
          <w:rFonts w:cs="Calibri"/>
        </w:rPr>
        <w:t>Ponadto w</w:t>
      </w:r>
      <w:r w:rsidR="00AB1F61">
        <w:t xml:space="preserve">szystkie opłaty drogowe są rozliczane na jednej fakturze zbiorczej, a informacje w niej przedstawione są czytelne i łatwe w odczytaniu. </w:t>
      </w:r>
    </w:p>
    <w:p w:rsidR="00AB1F61" w:rsidRPr="00AB1F61" w:rsidRDefault="0018467A" w:rsidP="00512CBA">
      <w:pPr>
        <w:jc w:val="both"/>
        <w:rPr>
          <w:b/>
        </w:rPr>
      </w:pPr>
      <w:r w:rsidRPr="0018467A">
        <w:rPr>
          <w:b/>
        </w:rPr>
        <w:t>Fakturowanie elektroniczne</w:t>
      </w:r>
      <w:r>
        <w:rPr>
          <w:b/>
        </w:rPr>
        <w:t xml:space="preserve"> </w:t>
      </w:r>
      <w:r w:rsidR="00EF1346">
        <w:rPr>
          <w:b/>
        </w:rPr>
        <w:t>– pełna kontrola</w:t>
      </w:r>
      <w:r w:rsidR="00AB1F61" w:rsidRPr="00AB1F61">
        <w:rPr>
          <w:b/>
        </w:rPr>
        <w:t xml:space="preserve"> </w:t>
      </w:r>
      <w:r w:rsidR="00AB1F61">
        <w:rPr>
          <w:b/>
        </w:rPr>
        <w:t>bez opłat</w:t>
      </w:r>
    </w:p>
    <w:p w:rsidR="003C7BEA" w:rsidRDefault="00EB22C6" w:rsidP="00512CBA">
      <w:pPr>
        <w:jc w:val="both"/>
        <w:rPr>
          <w:rFonts w:cs="Calibri"/>
        </w:rPr>
      </w:pPr>
      <w:r>
        <w:rPr>
          <w:rFonts w:cs="Calibri"/>
        </w:rPr>
        <w:t>Dodatkowo k</w:t>
      </w:r>
      <w:r w:rsidR="00715CF4">
        <w:rPr>
          <w:rFonts w:cs="Calibri"/>
        </w:rPr>
        <w:t xml:space="preserve">lienci euroShell mogą </w:t>
      </w:r>
      <w:r w:rsidR="008F4248">
        <w:rPr>
          <w:rFonts w:cs="Calibri"/>
        </w:rPr>
        <w:t>korzystać z bezpłatnej usługi e-</w:t>
      </w:r>
      <w:r w:rsidR="0018467A">
        <w:rPr>
          <w:rFonts w:cs="Calibri"/>
        </w:rPr>
        <w:t>faktury</w:t>
      </w:r>
      <w:r w:rsidR="008F4248">
        <w:rPr>
          <w:rFonts w:cs="Calibri"/>
        </w:rPr>
        <w:t>, dzięki której mogą pobierać faktury w dogodnym dla siebie momencie, a także śledzić historię rozliczeń online.</w:t>
      </w:r>
      <w:r w:rsidR="00F25BE9">
        <w:rPr>
          <w:rFonts w:cs="Calibri"/>
        </w:rPr>
        <w:t xml:space="preserve"> </w:t>
      </w:r>
      <w:r w:rsidR="0018467A">
        <w:rPr>
          <w:rFonts w:cs="Calibri"/>
        </w:rPr>
        <w:t xml:space="preserve">Z sytemu można </w:t>
      </w:r>
      <w:r w:rsidR="00EF1346">
        <w:rPr>
          <w:rFonts w:cs="Calibri"/>
        </w:rPr>
        <w:t xml:space="preserve">pobrać </w:t>
      </w:r>
      <w:r w:rsidR="00F25BE9">
        <w:rPr>
          <w:rFonts w:cs="Calibri"/>
        </w:rPr>
        <w:t>podsumowanie dokumentów, w którym wyszczególnione są wszystkie faktury. Ob</w:t>
      </w:r>
      <w:r w:rsidR="00E87033">
        <w:rPr>
          <w:rFonts w:cs="Calibri"/>
        </w:rPr>
        <w:t>ok daty, numeru faktury oraz ter</w:t>
      </w:r>
      <w:r w:rsidR="00F25BE9">
        <w:rPr>
          <w:rFonts w:cs="Calibri"/>
        </w:rPr>
        <w:t xml:space="preserve">minu płatności znajdują się dane sprzedawcy, sposób wystawienia dokumentu oraz kwota do </w:t>
      </w:r>
      <w:r w:rsidR="00F25BE9" w:rsidRPr="00F25BE9">
        <w:rPr>
          <w:rFonts w:cs="Calibri"/>
        </w:rPr>
        <w:t>zapłaty.</w:t>
      </w:r>
      <w:r w:rsidR="00F25BE9">
        <w:rPr>
          <w:rFonts w:cs="Calibri"/>
        </w:rPr>
        <w:t xml:space="preserve"> </w:t>
      </w:r>
      <w:r w:rsidR="0018467A">
        <w:rPr>
          <w:rFonts w:cs="Calibri"/>
        </w:rPr>
        <w:t>W</w:t>
      </w:r>
      <w:r>
        <w:rPr>
          <w:rFonts w:cs="Calibri"/>
        </w:rPr>
        <w:t>idoczne</w:t>
      </w:r>
      <w:r w:rsidR="00E87033">
        <w:rPr>
          <w:rFonts w:cs="Calibri"/>
        </w:rPr>
        <w:t xml:space="preserve"> jest również saldo konta na dzień wystawieni</w:t>
      </w:r>
      <w:r w:rsidR="0018467A">
        <w:rPr>
          <w:rFonts w:cs="Calibri"/>
        </w:rPr>
        <w:t>a</w:t>
      </w:r>
      <w:r w:rsidR="00E87033">
        <w:rPr>
          <w:rFonts w:cs="Calibri"/>
        </w:rPr>
        <w:t xml:space="preserve"> dokumentu. </w:t>
      </w:r>
    </w:p>
    <w:p w:rsidR="00EF1346" w:rsidRPr="00AB1F61" w:rsidRDefault="00EF1346" w:rsidP="00EF1346">
      <w:pPr>
        <w:jc w:val="both"/>
        <w:rPr>
          <w:b/>
        </w:rPr>
      </w:pPr>
      <w:r>
        <w:rPr>
          <w:b/>
        </w:rPr>
        <w:t>Szybki z</w:t>
      </w:r>
      <w:r w:rsidRPr="00AB1F61">
        <w:rPr>
          <w:b/>
        </w:rPr>
        <w:t xml:space="preserve">wrot VAT </w:t>
      </w:r>
    </w:p>
    <w:p w:rsidR="00EF1346" w:rsidRDefault="0018467A" w:rsidP="0018467A">
      <w:pPr>
        <w:jc w:val="both"/>
      </w:pPr>
      <w:r w:rsidRPr="0018467A">
        <w:t xml:space="preserve">Podatki stanowią obecnie dużą część ceny paliwa. Shell umożliwia szybki i przejrzysty sposób odzyskania zwrotu podatku VAT oraz akcyzy od paliwa zakupionego przy użyciu kart paliwowych euroShell w 27 krajach Europy. </w:t>
      </w:r>
      <w:r w:rsidR="00EF1346" w:rsidRPr="0018467A">
        <w:t xml:space="preserve">Zwrot VAT odbywa się już w ciągu 14 dni od daty wystawienia faktury, </w:t>
      </w:r>
      <w:r w:rsidR="00EF1346" w:rsidRPr="0018467A">
        <w:br/>
        <w:t>co zapewnia szybszy przepływ środków i lepsze planowanie przepływu gotówki.</w:t>
      </w:r>
      <w:r w:rsidR="00EF1346">
        <w:t xml:space="preserve"> </w:t>
      </w:r>
    </w:p>
    <w:p w:rsidR="00AB1F61" w:rsidRDefault="00AB1F61" w:rsidP="00AB1F61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euroShell dostarcza </w:t>
      </w:r>
      <w:r w:rsidRPr="00AB1F61">
        <w:rPr>
          <w:rFonts w:cs="Calibri"/>
        </w:rPr>
        <w:t>przejrzyste rozliczenia karty flotowej</w:t>
      </w:r>
      <w:r>
        <w:rPr>
          <w:rFonts w:cs="Calibri"/>
        </w:rPr>
        <w:t xml:space="preserve">, które pozwalają </w:t>
      </w:r>
      <w:r w:rsidR="00EB22C6">
        <w:rPr>
          <w:rFonts w:cs="Calibri"/>
        </w:rPr>
        <w:t xml:space="preserve">nie tylko lepsze zarządzanie kartami, ale także </w:t>
      </w:r>
      <w:r w:rsidR="008F4248" w:rsidRPr="00715CF4">
        <w:rPr>
          <w:rFonts w:cs="Calibri"/>
        </w:rPr>
        <w:t>realnie usprawniają procesy związane z rozliczeniami</w:t>
      </w:r>
      <w:r>
        <w:rPr>
          <w:rFonts w:cs="Calibri"/>
        </w:rPr>
        <w:t xml:space="preserve"> wszystkich ponoszonych </w:t>
      </w:r>
      <w:r w:rsidR="00351FFC">
        <w:rPr>
          <w:rFonts w:cs="Calibri"/>
        </w:rPr>
        <w:br/>
      </w:r>
      <w:r>
        <w:rPr>
          <w:rFonts w:cs="Calibri"/>
        </w:rPr>
        <w:t>w trasie wydatków</w:t>
      </w:r>
      <w:r w:rsidR="008F4248" w:rsidRPr="00715CF4">
        <w:rPr>
          <w:rFonts w:cs="Calibri"/>
        </w:rPr>
        <w:t xml:space="preserve">. </w:t>
      </w:r>
    </w:p>
    <w:p w:rsidR="003D4E76" w:rsidRDefault="003D4E76" w:rsidP="003D4E76">
      <w:pPr>
        <w:jc w:val="both"/>
      </w:pPr>
      <w:r>
        <w:t xml:space="preserve">Za pośrednictwem karty flotowej euroShell kierowcy mogą bezpiecznie regulować kluczowe wydatki związane z transportem na ponad 900 strategicznie zlokalizowanych stacjach paliwowych w Polsce, </w:t>
      </w:r>
      <w:r w:rsidR="00AB1F61">
        <w:br/>
      </w:r>
      <w:r>
        <w:t xml:space="preserve">a w całej Europie karta euroShell gwarantuje bezgotówkowe transakcje w 22 000 punktach aż w 35 krajach. </w:t>
      </w:r>
    </w:p>
    <w:p w:rsidR="004439F4" w:rsidRPr="00B63B5A" w:rsidRDefault="004439F4" w:rsidP="00B63B5A">
      <w:pPr>
        <w:jc w:val="both"/>
        <w:rPr>
          <w:rFonts w:cs="Calibri"/>
        </w:rPr>
      </w:pPr>
    </w:p>
    <w:p w:rsidR="00525611" w:rsidRPr="00054835" w:rsidRDefault="00525611" w:rsidP="004169D7">
      <w:pPr>
        <w:jc w:val="center"/>
        <w:rPr>
          <w:rFonts w:cs="Calibri"/>
          <w:b/>
          <w:bCs/>
          <w:color w:val="595959"/>
        </w:rPr>
      </w:pPr>
      <w:r w:rsidRPr="00054835">
        <w:rPr>
          <w:rStyle w:val="Pogrubienie"/>
          <w:rFonts w:cs="Calibri"/>
          <w:color w:val="595959"/>
        </w:rPr>
        <w:t>***</w:t>
      </w:r>
    </w:p>
    <w:p w:rsidR="00384C78" w:rsidRPr="00D30563" w:rsidRDefault="00384C78" w:rsidP="002A01A5">
      <w:pPr>
        <w:pStyle w:val="NormalnyWeb"/>
        <w:spacing w:before="90" w:after="90" w:line="210" w:lineRule="atLeast"/>
        <w:jc w:val="both"/>
        <w:rPr>
          <w:rFonts w:ascii="Calibri" w:hAnsi="Calibri"/>
          <w:color w:val="595959"/>
          <w:sz w:val="20"/>
          <w:szCs w:val="22"/>
          <w:u w:val="single"/>
        </w:rPr>
      </w:pPr>
      <w:r w:rsidRPr="00D30563">
        <w:rPr>
          <w:rStyle w:val="Pogrubienie"/>
          <w:rFonts w:ascii="Calibri" w:eastAsia="Calibri" w:hAnsi="Calibri"/>
          <w:color w:val="595959"/>
          <w:sz w:val="20"/>
          <w:szCs w:val="22"/>
          <w:u w:val="single"/>
        </w:rPr>
        <w:t>O Shell</w:t>
      </w:r>
    </w:p>
    <w:p w:rsidR="00384C78" w:rsidRDefault="00384C78" w:rsidP="002A01A5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20"/>
          <w:lang w:eastAsia="pl-PL"/>
        </w:rPr>
      </w:pPr>
      <w:r w:rsidRPr="00312865">
        <w:rPr>
          <w:rFonts w:eastAsia="Times New Roman"/>
          <w:bCs/>
          <w:color w:val="595959"/>
          <w:sz w:val="20"/>
          <w:lang w:eastAsia="pl-PL"/>
        </w:rPr>
        <w:t xml:space="preserve">Grupa Shell to największy na świecie koncern energetyczny wytwarzający najwyższej jakości produkty oraz oferujący kompleksową gamę usług związanych z dostarczaniem paliw i energii, a także rozwiązań dla klientów biznesowych i indywidualnych. Obecny na polskim rynku od 1992 roku, aktualnie Shell Polska Sp. z o.o. to ponad 420 stacji oferujących kierowcom najwyższej jakości paliwa. Na stacjach paliwowych Shell klienci mogą korzystać z usług myjni samochodowych, z oferty punktów gastronomicznych oraz robić zakupy w sklepie z pełnym asortymentem produktów spożywczych i motoryzacyjnych. Wszyscy klienci tankujący paliwo Shell mogą uczestniczyć w programie lojalnościowym Shell </w:t>
      </w:r>
      <w:proofErr w:type="spellStart"/>
      <w:r w:rsidRPr="00312865">
        <w:rPr>
          <w:rFonts w:eastAsia="Times New Roman"/>
          <w:bCs/>
          <w:color w:val="595959"/>
          <w:sz w:val="20"/>
          <w:lang w:eastAsia="pl-PL"/>
        </w:rPr>
        <w:t>ClubSmart</w:t>
      </w:r>
      <w:proofErr w:type="spellEnd"/>
      <w:r w:rsidRPr="00312865">
        <w:rPr>
          <w:rFonts w:eastAsia="Times New Roman"/>
          <w:bCs/>
          <w:color w:val="595959"/>
          <w:sz w:val="20"/>
          <w:lang w:eastAsia="pl-PL"/>
        </w:rPr>
        <w:t xml:space="preserve">. Ponadto wśród produktów motoryzacyjnych Shell dysponuje szeroką gamą najwyższej jakości olejów i smarów, a do klientów biznesowych skierowana jest oferta kart paliwowych euroShell. W Krakowie działa Shell Business Operations, jedno z największych centrów usług dla biznesu w Polsce. </w:t>
      </w:r>
    </w:p>
    <w:p w:rsidR="00384C78" w:rsidRPr="00312865" w:rsidRDefault="00384C78" w:rsidP="002A01A5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20"/>
          <w:lang w:eastAsia="pl-PL"/>
        </w:rPr>
      </w:pPr>
    </w:p>
    <w:p w:rsidR="00384C78" w:rsidRPr="00F134AA" w:rsidRDefault="00384C78" w:rsidP="002A01A5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595959"/>
          <w:sz w:val="20"/>
          <w:lang w:eastAsia="pl-PL"/>
        </w:rPr>
      </w:pPr>
      <w:r w:rsidRPr="00F134AA">
        <w:rPr>
          <w:rFonts w:eastAsia="Times New Roman"/>
          <w:b/>
          <w:bCs/>
          <w:color w:val="595959"/>
          <w:sz w:val="20"/>
          <w:lang w:eastAsia="pl-PL"/>
        </w:rPr>
        <w:t>więcej na www.shell.pl</w:t>
      </w:r>
    </w:p>
    <w:p w:rsidR="001E3085" w:rsidRPr="00054835" w:rsidRDefault="001E3085" w:rsidP="002A01A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color w:val="595959"/>
          <w:lang w:eastAsia="pl-PL"/>
        </w:rPr>
      </w:pPr>
    </w:p>
    <w:p w:rsidR="00446B0A" w:rsidRPr="00054835" w:rsidRDefault="00446B0A" w:rsidP="002A01A5">
      <w:pPr>
        <w:spacing w:after="0"/>
        <w:jc w:val="both"/>
        <w:rPr>
          <w:rFonts w:cs="Calibri"/>
          <w:b/>
        </w:rPr>
      </w:pPr>
      <w:r w:rsidRPr="00054835">
        <w:rPr>
          <w:rFonts w:cs="Calibri"/>
          <w:b/>
        </w:rPr>
        <w:t>Dodatkowe informacje:</w:t>
      </w:r>
    </w:p>
    <w:p w:rsidR="009F6BB2" w:rsidRPr="00054835" w:rsidRDefault="009F6BB2" w:rsidP="002A01A5">
      <w:pPr>
        <w:spacing w:after="0"/>
        <w:jc w:val="both"/>
        <w:rPr>
          <w:rFonts w:cs="Calibri"/>
          <w:b/>
        </w:rPr>
      </w:pPr>
    </w:p>
    <w:p w:rsidR="00446B0A" w:rsidRDefault="00446B0A" w:rsidP="002A01A5">
      <w:pPr>
        <w:spacing w:after="0"/>
        <w:jc w:val="both"/>
        <w:rPr>
          <w:rFonts w:cs="Calibri"/>
        </w:rPr>
      </w:pPr>
      <w:r w:rsidRPr="00054835">
        <w:rPr>
          <w:rFonts w:cs="Calibri"/>
          <w:lang w:val="en-US"/>
        </w:rPr>
        <w:t xml:space="preserve">Robert Karolczak, </w:t>
      </w:r>
      <w:hyperlink r:id="rId8" w:history="1">
        <w:r w:rsidRPr="00054835">
          <w:rPr>
            <w:rStyle w:val="Hipercze"/>
            <w:rFonts w:cs="Calibri"/>
            <w:lang w:val="en-US"/>
          </w:rPr>
          <w:t>Robert.karolczak@shell.com</w:t>
        </w:r>
      </w:hyperlink>
    </w:p>
    <w:p w:rsidR="00AB1F61" w:rsidRPr="00054835" w:rsidRDefault="00AB1F61" w:rsidP="002A01A5">
      <w:pPr>
        <w:spacing w:after="0"/>
        <w:jc w:val="both"/>
        <w:rPr>
          <w:rFonts w:cs="Calibri"/>
          <w:lang w:val="en-US"/>
        </w:rPr>
      </w:pPr>
      <w:r>
        <w:rPr>
          <w:rFonts w:cs="Calibri"/>
        </w:rPr>
        <w:t xml:space="preserve">Marta Zagożdżon, </w:t>
      </w:r>
      <w:hyperlink r:id="rId9" w:history="1">
        <w:r w:rsidR="00EF1346" w:rsidRPr="00C06929">
          <w:rPr>
            <w:rStyle w:val="Hipercze"/>
            <w:rFonts w:cs="Calibri"/>
          </w:rPr>
          <w:t>m.zagozdzon@contrust.pl</w:t>
        </w:r>
      </w:hyperlink>
      <w:r w:rsidR="00EF1346">
        <w:rPr>
          <w:rFonts w:cs="Calibri"/>
        </w:rPr>
        <w:t>, tel. 605-073-929</w:t>
      </w:r>
    </w:p>
    <w:p w:rsidR="00F134AA" w:rsidRPr="00054835" w:rsidRDefault="00F134AA" w:rsidP="002A01A5">
      <w:pPr>
        <w:spacing w:after="0"/>
        <w:jc w:val="both"/>
        <w:rPr>
          <w:rFonts w:cs="Calibri"/>
        </w:rPr>
      </w:pPr>
    </w:p>
    <w:sectPr w:rsidR="00F134AA" w:rsidRPr="00054835" w:rsidSect="006C79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5D" w:rsidRDefault="00B2675D" w:rsidP="00E53863">
      <w:pPr>
        <w:spacing w:after="0" w:line="240" w:lineRule="auto"/>
      </w:pPr>
      <w:r>
        <w:separator/>
      </w:r>
    </w:p>
  </w:endnote>
  <w:endnote w:type="continuationSeparator" w:id="0">
    <w:p w:rsidR="00B2675D" w:rsidRDefault="00B2675D" w:rsidP="00E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5D" w:rsidRDefault="00B2675D" w:rsidP="00E53863">
      <w:pPr>
        <w:spacing w:after="0" w:line="240" w:lineRule="auto"/>
      </w:pPr>
      <w:r>
        <w:separator/>
      </w:r>
    </w:p>
  </w:footnote>
  <w:footnote w:type="continuationSeparator" w:id="0">
    <w:p w:rsidR="00B2675D" w:rsidRDefault="00B2675D" w:rsidP="00E5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C3" w:rsidRDefault="00EF1346" w:rsidP="00DF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-57785</wp:posOffset>
          </wp:positionV>
          <wp:extent cx="584835" cy="539750"/>
          <wp:effectExtent l="0" t="0" r="5715" b="0"/>
          <wp:wrapTight wrapText="bothSides">
            <wp:wrapPolygon edited="0">
              <wp:start x="0" y="0"/>
              <wp:lineTo x="0" y="20584"/>
              <wp:lineTo x="21107" y="20584"/>
              <wp:lineTo x="21107" y="0"/>
              <wp:lineTo x="0" y="0"/>
            </wp:wrapPolygon>
          </wp:wrapTight>
          <wp:docPr id="2" name="Obraz 2" descr="\\192.168.0.2\clients\Shell\euroShell\Materialy_od_Klienta\Muszelk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92.168.0.2\clients\Shell\euroShell\Materialy_od_Klienta\Muszelka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72B">
      <w:rPr>
        <w:noProof/>
        <w:lang w:eastAsia="pl-PL"/>
      </w:rPr>
      <w:drawing>
        <wp:inline distT="0" distB="0" distL="0" distR="0">
          <wp:extent cx="964565" cy="540385"/>
          <wp:effectExtent l="0" t="0" r="6985" b="0"/>
          <wp:docPr id="1" name="Obraz 1" descr="\\192.168.0.2\clients\Shell\euroShell\Materialy_od_Klienta\euroshel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clients\Shell\euroShell\Materialy_od_Klienta\euroshell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5C3" w:rsidRPr="00D67F7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B25C3" w:rsidRDefault="009B25C3" w:rsidP="00DF2D77">
    <w:pPr>
      <w:pStyle w:val="Nagwek"/>
    </w:pPr>
  </w:p>
  <w:p w:rsidR="009B25C3" w:rsidRDefault="009B25C3" w:rsidP="00DF2D77">
    <w:pPr>
      <w:pStyle w:val="Nagwek"/>
      <w:jc w:val="right"/>
      <w:rPr>
        <w:b/>
        <w:sz w:val="28"/>
        <w:szCs w:val="28"/>
      </w:rPr>
    </w:pPr>
    <w:r>
      <w:rPr>
        <w:b/>
        <w:sz w:val="28"/>
        <w:szCs w:val="28"/>
      </w:rPr>
      <w:t>Informacja prasowa</w:t>
    </w:r>
  </w:p>
  <w:p w:rsidR="009B25C3" w:rsidRDefault="009B2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67E"/>
    <w:multiLevelType w:val="hybridMultilevel"/>
    <w:tmpl w:val="C866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33F4"/>
    <w:multiLevelType w:val="hybridMultilevel"/>
    <w:tmpl w:val="C094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2F3B"/>
    <w:multiLevelType w:val="hybridMultilevel"/>
    <w:tmpl w:val="47B2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1CFC"/>
    <w:multiLevelType w:val="hybridMultilevel"/>
    <w:tmpl w:val="30A8E6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439"/>
    <w:multiLevelType w:val="hybridMultilevel"/>
    <w:tmpl w:val="0C72ABC6"/>
    <w:lvl w:ilvl="0" w:tplc="4126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DC2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E258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23C15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E258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88F0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20E1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F245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E900F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D2434BF"/>
    <w:multiLevelType w:val="hybridMultilevel"/>
    <w:tmpl w:val="83F8495E"/>
    <w:lvl w:ilvl="0" w:tplc="2DD6F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E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8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0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8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8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C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69438B"/>
    <w:multiLevelType w:val="hybridMultilevel"/>
    <w:tmpl w:val="ED9C1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E"/>
    <w:rsid w:val="0000227B"/>
    <w:rsid w:val="000056F8"/>
    <w:rsid w:val="00006784"/>
    <w:rsid w:val="0001199E"/>
    <w:rsid w:val="00012295"/>
    <w:rsid w:val="00013373"/>
    <w:rsid w:val="00013D54"/>
    <w:rsid w:val="000149D2"/>
    <w:rsid w:val="00015354"/>
    <w:rsid w:val="00017397"/>
    <w:rsid w:val="00021DBF"/>
    <w:rsid w:val="00025CE8"/>
    <w:rsid w:val="00026321"/>
    <w:rsid w:val="00026DE7"/>
    <w:rsid w:val="000304E5"/>
    <w:rsid w:val="00032005"/>
    <w:rsid w:val="000336B7"/>
    <w:rsid w:val="00033AEE"/>
    <w:rsid w:val="00033AF7"/>
    <w:rsid w:val="0003692D"/>
    <w:rsid w:val="00041AD5"/>
    <w:rsid w:val="00043BE7"/>
    <w:rsid w:val="0004765C"/>
    <w:rsid w:val="000512F8"/>
    <w:rsid w:val="00051D19"/>
    <w:rsid w:val="000530EB"/>
    <w:rsid w:val="00053929"/>
    <w:rsid w:val="0005423A"/>
    <w:rsid w:val="00054835"/>
    <w:rsid w:val="0006114A"/>
    <w:rsid w:val="0007401D"/>
    <w:rsid w:val="00080C50"/>
    <w:rsid w:val="00082752"/>
    <w:rsid w:val="000829C2"/>
    <w:rsid w:val="00083B0D"/>
    <w:rsid w:val="00084331"/>
    <w:rsid w:val="0009115B"/>
    <w:rsid w:val="000947E7"/>
    <w:rsid w:val="00094BE2"/>
    <w:rsid w:val="0009525B"/>
    <w:rsid w:val="00095F43"/>
    <w:rsid w:val="000A095C"/>
    <w:rsid w:val="000A0A6C"/>
    <w:rsid w:val="000A214E"/>
    <w:rsid w:val="000A4A79"/>
    <w:rsid w:val="000B41D8"/>
    <w:rsid w:val="000B6D20"/>
    <w:rsid w:val="000C1655"/>
    <w:rsid w:val="000C1D5A"/>
    <w:rsid w:val="000C2AD6"/>
    <w:rsid w:val="000C359A"/>
    <w:rsid w:val="000C4697"/>
    <w:rsid w:val="000C4E7A"/>
    <w:rsid w:val="000C5C23"/>
    <w:rsid w:val="000C6C5A"/>
    <w:rsid w:val="000D1AD8"/>
    <w:rsid w:val="000D202B"/>
    <w:rsid w:val="000D2614"/>
    <w:rsid w:val="000D3245"/>
    <w:rsid w:val="000D55E8"/>
    <w:rsid w:val="000D6154"/>
    <w:rsid w:val="000D75D1"/>
    <w:rsid w:val="000E36A0"/>
    <w:rsid w:val="000F42F6"/>
    <w:rsid w:val="000F619F"/>
    <w:rsid w:val="000F74C1"/>
    <w:rsid w:val="00100051"/>
    <w:rsid w:val="00101260"/>
    <w:rsid w:val="001012B8"/>
    <w:rsid w:val="00104884"/>
    <w:rsid w:val="00104DF1"/>
    <w:rsid w:val="00107C23"/>
    <w:rsid w:val="00110C80"/>
    <w:rsid w:val="0011123A"/>
    <w:rsid w:val="0011331F"/>
    <w:rsid w:val="00114FDE"/>
    <w:rsid w:val="001159CA"/>
    <w:rsid w:val="00120F15"/>
    <w:rsid w:val="00122030"/>
    <w:rsid w:val="00123DAB"/>
    <w:rsid w:val="001245EC"/>
    <w:rsid w:val="00124FA1"/>
    <w:rsid w:val="001320EF"/>
    <w:rsid w:val="0013615B"/>
    <w:rsid w:val="00140842"/>
    <w:rsid w:val="00142127"/>
    <w:rsid w:val="001423C3"/>
    <w:rsid w:val="00143365"/>
    <w:rsid w:val="00143719"/>
    <w:rsid w:val="00144D35"/>
    <w:rsid w:val="00145FA3"/>
    <w:rsid w:val="001467C9"/>
    <w:rsid w:val="00152A16"/>
    <w:rsid w:val="00152C68"/>
    <w:rsid w:val="00152F2D"/>
    <w:rsid w:val="00155E58"/>
    <w:rsid w:val="001577A4"/>
    <w:rsid w:val="001601CB"/>
    <w:rsid w:val="00161049"/>
    <w:rsid w:val="001633D3"/>
    <w:rsid w:val="001637E7"/>
    <w:rsid w:val="00163D5C"/>
    <w:rsid w:val="001640A3"/>
    <w:rsid w:val="0016629D"/>
    <w:rsid w:val="001708E4"/>
    <w:rsid w:val="00170937"/>
    <w:rsid w:val="00170B09"/>
    <w:rsid w:val="0017623F"/>
    <w:rsid w:val="00182A85"/>
    <w:rsid w:val="00183C72"/>
    <w:rsid w:val="0018467A"/>
    <w:rsid w:val="00184F42"/>
    <w:rsid w:val="00187061"/>
    <w:rsid w:val="0019141C"/>
    <w:rsid w:val="0019282E"/>
    <w:rsid w:val="0019672B"/>
    <w:rsid w:val="001A11D2"/>
    <w:rsid w:val="001A761F"/>
    <w:rsid w:val="001B4F9E"/>
    <w:rsid w:val="001C2F5A"/>
    <w:rsid w:val="001C4E03"/>
    <w:rsid w:val="001D0D40"/>
    <w:rsid w:val="001D1CA7"/>
    <w:rsid w:val="001D3EA8"/>
    <w:rsid w:val="001D7861"/>
    <w:rsid w:val="001D7A61"/>
    <w:rsid w:val="001E3085"/>
    <w:rsid w:val="001E475A"/>
    <w:rsid w:val="001F06B7"/>
    <w:rsid w:val="001F16D3"/>
    <w:rsid w:val="001F19F5"/>
    <w:rsid w:val="001F1F52"/>
    <w:rsid w:val="001F35E1"/>
    <w:rsid w:val="001F50F9"/>
    <w:rsid w:val="001F552E"/>
    <w:rsid w:val="00200EDC"/>
    <w:rsid w:val="00201DB7"/>
    <w:rsid w:val="00211EE8"/>
    <w:rsid w:val="00214CB9"/>
    <w:rsid w:val="00217831"/>
    <w:rsid w:val="00224243"/>
    <w:rsid w:val="0022496B"/>
    <w:rsid w:val="00227369"/>
    <w:rsid w:val="00227EB8"/>
    <w:rsid w:val="00234621"/>
    <w:rsid w:val="002370C8"/>
    <w:rsid w:val="0024230C"/>
    <w:rsid w:val="00243A1E"/>
    <w:rsid w:val="00244D06"/>
    <w:rsid w:val="00245DB3"/>
    <w:rsid w:val="00247651"/>
    <w:rsid w:val="00254FA4"/>
    <w:rsid w:val="00262DB7"/>
    <w:rsid w:val="0026725C"/>
    <w:rsid w:val="002676DD"/>
    <w:rsid w:val="00267B90"/>
    <w:rsid w:val="0028090C"/>
    <w:rsid w:val="002816D2"/>
    <w:rsid w:val="002830B1"/>
    <w:rsid w:val="002840B2"/>
    <w:rsid w:val="002871E7"/>
    <w:rsid w:val="00292A93"/>
    <w:rsid w:val="00295C25"/>
    <w:rsid w:val="00296044"/>
    <w:rsid w:val="00297141"/>
    <w:rsid w:val="00297410"/>
    <w:rsid w:val="00297774"/>
    <w:rsid w:val="002A01A5"/>
    <w:rsid w:val="002A07AA"/>
    <w:rsid w:val="002A50D8"/>
    <w:rsid w:val="002A7D7F"/>
    <w:rsid w:val="002B013F"/>
    <w:rsid w:val="002B0AFE"/>
    <w:rsid w:val="002B557A"/>
    <w:rsid w:val="002B55FF"/>
    <w:rsid w:val="002C119A"/>
    <w:rsid w:val="002C380E"/>
    <w:rsid w:val="002C7AE3"/>
    <w:rsid w:val="002D23CC"/>
    <w:rsid w:val="002D3663"/>
    <w:rsid w:val="002D3B21"/>
    <w:rsid w:val="002D4AA7"/>
    <w:rsid w:val="002D5A03"/>
    <w:rsid w:val="002D79D6"/>
    <w:rsid w:val="002E44C5"/>
    <w:rsid w:val="002E562B"/>
    <w:rsid w:val="002E75C5"/>
    <w:rsid w:val="002F0803"/>
    <w:rsid w:val="002F2EA0"/>
    <w:rsid w:val="002F3C88"/>
    <w:rsid w:val="002F4EDE"/>
    <w:rsid w:val="002F77E0"/>
    <w:rsid w:val="003053CC"/>
    <w:rsid w:val="00306249"/>
    <w:rsid w:val="00310613"/>
    <w:rsid w:val="0031169B"/>
    <w:rsid w:val="00313C4A"/>
    <w:rsid w:val="00320011"/>
    <w:rsid w:val="00324C1B"/>
    <w:rsid w:val="00326E39"/>
    <w:rsid w:val="003273CA"/>
    <w:rsid w:val="00330CAA"/>
    <w:rsid w:val="003311E1"/>
    <w:rsid w:val="0033391B"/>
    <w:rsid w:val="00342803"/>
    <w:rsid w:val="003473C9"/>
    <w:rsid w:val="00351FFC"/>
    <w:rsid w:val="003522AA"/>
    <w:rsid w:val="0036299F"/>
    <w:rsid w:val="00363A3C"/>
    <w:rsid w:val="0036421A"/>
    <w:rsid w:val="0038060E"/>
    <w:rsid w:val="00382EE9"/>
    <w:rsid w:val="003830E6"/>
    <w:rsid w:val="00383876"/>
    <w:rsid w:val="00384C78"/>
    <w:rsid w:val="00387F3A"/>
    <w:rsid w:val="00391725"/>
    <w:rsid w:val="00392EBB"/>
    <w:rsid w:val="003A24B3"/>
    <w:rsid w:val="003A2815"/>
    <w:rsid w:val="003A5D08"/>
    <w:rsid w:val="003A7F4D"/>
    <w:rsid w:val="003B08C9"/>
    <w:rsid w:val="003B0F9F"/>
    <w:rsid w:val="003B2E0B"/>
    <w:rsid w:val="003B57CC"/>
    <w:rsid w:val="003B656F"/>
    <w:rsid w:val="003B7A65"/>
    <w:rsid w:val="003C7BEA"/>
    <w:rsid w:val="003D0D8E"/>
    <w:rsid w:val="003D1882"/>
    <w:rsid w:val="003D29CA"/>
    <w:rsid w:val="003D4E76"/>
    <w:rsid w:val="003D52D1"/>
    <w:rsid w:val="003D7B81"/>
    <w:rsid w:val="003E02AA"/>
    <w:rsid w:val="003E3219"/>
    <w:rsid w:val="003E5E8A"/>
    <w:rsid w:val="003F2323"/>
    <w:rsid w:val="003F3696"/>
    <w:rsid w:val="003F3D71"/>
    <w:rsid w:val="003F4C74"/>
    <w:rsid w:val="00401F08"/>
    <w:rsid w:val="00402531"/>
    <w:rsid w:val="00406C3F"/>
    <w:rsid w:val="00416410"/>
    <w:rsid w:val="004169D7"/>
    <w:rsid w:val="00421A69"/>
    <w:rsid w:val="0042238F"/>
    <w:rsid w:val="00422FDB"/>
    <w:rsid w:val="0042469F"/>
    <w:rsid w:val="00425169"/>
    <w:rsid w:val="004311A9"/>
    <w:rsid w:val="0043366E"/>
    <w:rsid w:val="004368F9"/>
    <w:rsid w:val="004400C4"/>
    <w:rsid w:val="0044068B"/>
    <w:rsid w:val="004439F4"/>
    <w:rsid w:val="00446B0A"/>
    <w:rsid w:val="004502F3"/>
    <w:rsid w:val="0045563B"/>
    <w:rsid w:val="00462762"/>
    <w:rsid w:val="00464232"/>
    <w:rsid w:val="00464517"/>
    <w:rsid w:val="00464B3B"/>
    <w:rsid w:val="0046541C"/>
    <w:rsid w:val="00465CD5"/>
    <w:rsid w:val="00470616"/>
    <w:rsid w:val="00471AA0"/>
    <w:rsid w:val="00472DE2"/>
    <w:rsid w:val="004737FD"/>
    <w:rsid w:val="00484499"/>
    <w:rsid w:val="00486220"/>
    <w:rsid w:val="00487A7A"/>
    <w:rsid w:val="00487B3A"/>
    <w:rsid w:val="00487DE4"/>
    <w:rsid w:val="00490011"/>
    <w:rsid w:val="00492150"/>
    <w:rsid w:val="00495EB7"/>
    <w:rsid w:val="00497081"/>
    <w:rsid w:val="004A1A40"/>
    <w:rsid w:val="004A4B8F"/>
    <w:rsid w:val="004A4FFF"/>
    <w:rsid w:val="004B0022"/>
    <w:rsid w:val="004B15BF"/>
    <w:rsid w:val="004B1DDC"/>
    <w:rsid w:val="004B3082"/>
    <w:rsid w:val="004B47E2"/>
    <w:rsid w:val="004B52FF"/>
    <w:rsid w:val="004B77BB"/>
    <w:rsid w:val="004C09BB"/>
    <w:rsid w:val="004C283E"/>
    <w:rsid w:val="004C7CFE"/>
    <w:rsid w:val="004D039B"/>
    <w:rsid w:val="004D0BE4"/>
    <w:rsid w:val="004D58AF"/>
    <w:rsid w:val="004D622D"/>
    <w:rsid w:val="004D6BF0"/>
    <w:rsid w:val="004E0F75"/>
    <w:rsid w:val="004E7085"/>
    <w:rsid w:val="004F5DEE"/>
    <w:rsid w:val="004F71CC"/>
    <w:rsid w:val="004F7E7F"/>
    <w:rsid w:val="00501933"/>
    <w:rsid w:val="00504F15"/>
    <w:rsid w:val="005064F2"/>
    <w:rsid w:val="00512CBA"/>
    <w:rsid w:val="00513227"/>
    <w:rsid w:val="00515061"/>
    <w:rsid w:val="00515649"/>
    <w:rsid w:val="00524EFC"/>
    <w:rsid w:val="00525611"/>
    <w:rsid w:val="00540DD4"/>
    <w:rsid w:val="00541D93"/>
    <w:rsid w:val="005461B5"/>
    <w:rsid w:val="005477D3"/>
    <w:rsid w:val="00547946"/>
    <w:rsid w:val="0055153D"/>
    <w:rsid w:val="00552A67"/>
    <w:rsid w:val="00554415"/>
    <w:rsid w:val="005555AD"/>
    <w:rsid w:val="005567C3"/>
    <w:rsid w:val="00561EBE"/>
    <w:rsid w:val="00564113"/>
    <w:rsid w:val="00564D78"/>
    <w:rsid w:val="00566D67"/>
    <w:rsid w:val="00567B52"/>
    <w:rsid w:val="005714FD"/>
    <w:rsid w:val="005724AA"/>
    <w:rsid w:val="00572C59"/>
    <w:rsid w:val="00572FBB"/>
    <w:rsid w:val="00582506"/>
    <w:rsid w:val="00592803"/>
    <w:rsid w:val="005A09F8"/>
    <w:rsid w:val="005A114F"/>
    <w:rsid w:val="005A4DD2"/>
    <w:rsid w:val="005A62BC"/>
    <w:rsid w:val="005A6E1B"/>
    <w:rsid w:val="005B051C"/>
    <w:rsid w:val="005B1A77"/>
    <w:rsid w:val="005B7432"/>
    <w:rsid w:val="005C07B7"/>
    <w:rsid w:val="005C69F5"/>
    <w:rsid w:val="005D0E47"/>
    <w:rsid w:val="005D1092"/>
    <w:rsid w:val="005D17DC"/>
    <w:rsid w:val="005D32A1"/>
    <w:rsid w:val="005D36D0"/>
    <w:rsid w:val="005D52EB"/>
    <w:rsid w:val="005D6E71"/>
    <w:rsid w:val="005E0D51"/>
    <w:rsid w:val="005E2D55"/>
    <w:rsid w:val="005E316C"/>
    <w:rsid w:val="005E34F8"/>
    <w:rsid w:val="005E480E"/>
    <w:rsid w:val="005F0645"/>
    <w:rsid w:val="005F284A"/>
    <w:rsid w:val="005F310B"/>
    <w:rsid w:val="005F5136"/>
    <w:rsid w:val="00601EEC"/>
    <w:rsid w:val="00610626"/>
    <w:rsid w:val="00611534"/>
    <w:rsid w:val="00612116"/>
    <w:rsid w:val="00613E22"/>
    <w:rsid w:val="0061575E"/>
    <w:rsid w:val="00621215"/>
    <w:rsid w:val="00621313"/>
    <w:rsid w:val="0062232E"/>
    <w:rsid w:val="00625928"/>
    <w:rsid w:val="00630FFE"/>
    <w:rsid w:val="0063527A"/>
    <w:rsid w:val="0063714B"/>
    <w:rsid w:val="006415FA"/>
    <w:rsid w:val="00642CF6"/>
    <w:rsid w:val="006443FA"/>
    <w:rsid w:val="00646B14"/>
    <w:rsid w:val="006516B8"/>
    <w:rsid w:val="00656A39"/>
    <w:rsid w:val="0066081F"/>
    <w:rsid w:val="00661C27"/>
    <w:rsid w:val="00664B5E"/>
    <w:rsid w:val="00667415"/>
    <w:rsid w:val="00693688"/>
    <w:rsid w:val="00693B27"/>
    <w:rsid w:val="00693D75"/>
    <w:rsid w:val="00693F34"/>
    <w:rsid w:val="00693FF4"/>
    <w:rsid w:val="006959ED"/>
    <w:rsid w:val="0069612E"/>
    <w:rsid w:val="00696AA5"/>
    <w:rsid w:val="006A4984"/>
    <w:rsid w:val="006A7FB4"/>
    <w:rsid w:val="006B1689"/>
    <w:rsid w:val="006C3563"/>
    <w:rsid w:val="006C63D6"/>
    <w:rsid w:val="006C6F72"/>
    <w:rsid w:val="006C7944"/>
    <w:rsid w:val="006D04EB"/>
    <w:rsid w:val="006D298C"/>
    <w:rsid w:val="006D4E2E"/>
    <w:rsid w:val="006D5021"/>
    <w:rsid w:val="006E3838"/>
    <w:rsid w:val="006E3938"/>
    <w:rsid w:val="006E5626"/>
    <w:rsid w:val="006E65BD"/>
    <w:rsid w:val="006F0129"/>
    <w:rsid w:val="006F035D"/>
    <w:rsid w:val="006F0A46"/>
    <w:rsid w:val="006F180A"/>
    <w:rsid w:val="006F1B44"/>
    <w:rsid w:val="006F1D80"/>
    <w:rsid w:val="006F22D8"/>
    <w:rsid w:val="006F6617"/>
    <w:rsid w:val="006F6771"/>
    <w:rsid w:val="007008E6"/>
    <w:rsid w:val="00701D9D"/>
    <w:rsid w:val="007078C1"/>
    <w:rsid w:val="00707E3D"/>
    <w:rsid w:val="00712282"/>
    <w:rsid w:val="00713AB9"/>
    <w:rsid w:val="007159A2"/>
    <w:rsid w:val="00715B0D"/>
    <w:rsid w:val="00715CF4"/>
    <w:rsid w:val="007177A0"/>
    <w:rsid w:val="00720861"/>
    <w:rsid w:val="0072114D"/>
    <w:rsid w:val="00721C1D"/>
    <w:rsid w:val="00725782"/>
    <w:rsid w:val="00727581"/>
    <w:rsid w:val="00731FF7"/>
    <w:rsid w:val="00733026"/>
    <w:rsid w:val="00733C9C"/>
    <w:rsid w:val="007347F2"/>
    <w:rsid w:val="00745ACD"/>
    <w:rsid w:val="00746319"/>
    <w:rsid w:val="00746CAE"/>
    <w:rsid w:val="00747726"/>
    <w:rsid w:val="00751079"/>
    <w:rsid w:val="0075322D"/>
    <w:rsid w:val="007541FE"/>
    <w:rsid w:val="0075519C"/>
    <w:rsid w:val="00755B1B"/>
    <w:rsid w:val="0076202B"/>
    <w:rsid w:val="00763072"/>
    <w:rsid w:val="00766A9C"/>
    <w:rsid w:val="0076742D"/>
    <w:rsid w:val="007725D0"/>
    <w:rsid w:val="007761BC"/>
    <w:rsid w:val="00784309"/>
    <w:rsid w:val="00784AD3"/>
    <w:rsid w:val="007861F1"/>
    <w:rsid w:val="007933C7"/>
    <w:rsid w:val="0079443C"/>
    <w:rsid w:val="007952D5"/>
    <w:rsid w:val="007A1079"/>
    <w:rsid w:val="007A2D0D"/>
    <w:rsid w:val="007A40BB"/>
    <w:rsid w:val="007A53C9"/>
    <w:rsid w:val="007A55AF"/>
    <w:rsid w:val="007B024F"/>
    <w:rsid w:val="007B0480"/>
    <w:rsid w:val="007B0914"/>
    <w:rsid w:val="007B0C69"/>
    <w:rsid w:val="007B4E9B"/>
    <w:rsid w:val="007B6F91"/>
    <w:rsid w:val="007C1511"/>
    <w:rsid w:val="007C28F3"/>
    <w:rsid w:val="007C41C1"/>
    <w:rsid w:val="007C4B25"/>
    <w:rsid w:val="007C4BC8"/>
    <w:rsid w:val="007C5D26"/>
    <w:rsid w:val="007D59A6"/>
    <w:rsid w:val="007D7B7B"/>
    <w:rsid w:val="007E2AE8"/>
    <w:rsid w:val="007E5C79"/>
    <w:rsid w:val="007F1B88"/>
    <w:rsid w:val="007F47FE"/>
    <w:rsid w:val="008030B9"/>
    <w:rsid w:val="00805801"/>
    <w:rsid w:val="00811777"/>
    <w:rsid w:val="0081207D"/>
    <w:rsid w:val="00813FAE"/>
    <w:rsid w:val="008142F2"/>
    <w:rsid w:val="00820DC6"/>
    <w:rsid w:val="00825883"/>
    <w:rsid w:val="00826088"/>
    <w:rsid w:val="008263D5"/>
    <w:rsid w:val="00827B92"/>
    <w:rsid w:val="00830164"/>
    <w:rsid w:val="0083301E"/>
    <w:rsid w:val="00835810"/>
    <w:rsid w:val="0084256B"/>
    <w:rsid w:val="00846574"/>
    <w:rsid w:val="0084657D"/>
    <w:rsid w:val="008527AE"/>
    <w:rsid w:val="00855E87"/>
    <w:rsid w:val="00863732"/>
    <w:rsid w:val="0086646B"/>
    <w:rsid w:val="00870577"/>
    <w:rsid w:val="00870D94"/>
    <w:rsid w:val="0087285D"/>
    <w:rsid w:val="00874A16"/>
    <w:rsid w:val="008816BC"/>
    <w:rsid w:val="00886DF5"/>
    <w:rsid w:val="008870B9"/>
    <w:rsid w:val="008933C0"/>
    <w:rsid w:val="00893C2C"/>
    <w:rsid w:val="008A10B4"/>
    <w:rsid w:val="008A36FC"/>
    <w:rsid w:val="008A507A"/>
    <w:rsid w:val="008B1F45"/>
    <w:rsid w:val="008B321C"/>
    <w:rsid w:val="008B4F38"/>
    <w:rsid w:val="008B6C44"/>
    <w:rsid w:val="008B775A"/>
    <w:rsid w:val="008B7BFC"/>
    <w:rsid w:val="008B7DB3"/>
    <w:rsid w:val="008C2FB8"/>
    <w:rsid w:val="008D1A9B"/>
    <w:rsid w:val="008D72F9"/>
    <w:rsid w:val="008D769F"/>
    <w:rsid w:val="008E0EF6"/>
    <w:rsid w:val="008E2162"/>
    <w:rsid w:val="008E3872"/>
    <w:rsid w:val="008E4725"/>
    <w:rsid w:val="008E4EE8"/>
    <w:rsid w:val="008E7F9F"/>
    <w:rsid w:val="008F24A2"/>
    <w:rsid w:val="008F4248"/>
    <w:rsid w:val="008F5C15"/>
    <w:rsid w:val="009019DB"/>
    <w:rsid w:val="00906707"/>
    <w:rsid w:val="00913B6D"/>
    <w:rsid w:val="00917845"/>
    <w:rsid w:val="00924C1E"/>
    <w:rsid w:val="00926BC9"/>
    <w:rsid w:val="0093292B"/>
    <w:rsid w:val="00942B55"/>
    <w:rsid w:val="0094389F"/>
    <w:rsid w:val="00945A97"/>
    <w:rsid w:val="009535DC"/>
    <w:rsid w:val="00953BE4"/>
    <w:rsid w:val="009551A0"/>
    <w:rsid w:val="009556D4"/>
    <w:rsid w:val="00957878"/>
    <w:rsid w:val="009637FC"/>
    <w:rsid w:val="0096573F"/>
    <w:rsid w:val="009668DB"/>
    <w:rsid w:val="009717F5"/>
    <w:rsid w:val="00973AAE"/>
    <w:rsid w:val="009850AB"/>
    <w:rsid w:val="00986043"/>
    <w:rsid w:val="00986B12"/>
    <w:rsid w:val="00986FDA"/>
    <w:rsid w:val="00987523"/>
    <w:rsid w:val="00987C34"/>
    <w:rsid w:val="00991546"/>
    <w:rsid w:val="009957EE"/>
    <w:rsid w:val="00995B8B"/>
    <w:rsid w:val="009A77A3"/>
    <w:rsid w:val="009B055B"/>
    <w:rsid w:val="009B07CB"/>
    <w:rsid w:val="009B25C3"/>
    <w:rsid w:val="009B520A"/>
    <w:rsid w:val="009B74AC"/>
    <w:rsid w:val="009C6322"/>
    <w:rsid w:val="009D3A42"/>
    <w:rsid w:val="009D53B1"/>
    <w:rsid w:val="009D5EE9"/>
    <w:rsid w:val="009F325E"/>
    <w:rsid w:val="009F38E6"/>
    <w:rsid w:val="009F5020"/>
    <w:rsid w:val="009F6BB2"/>
    <w:rsid w:val="009F7BFD"/>
    <w:rsid w:val="00A02C56"/>
    <w:rsid w:val="00A0322F"/>
    <w:rsid w:val="00A11AF9"/>
    <w:rsid w:val="00A158F4"/>
    <w:rsid w:val="00A2532F"/>
    <w:rsid w:val="00A2570D"/>
    <w:rsid w:val="00A34E62"/>
    <w:rsid w:val="00A36D49"/>
    <w:rsid w:val="00A37E1E"/>
    <w:rsid w:val="00A40380"/>
    <w:rsid w:val="00A42E8B"/>
    <w:rsid w:val="00A43A5A"/>
    <w:rsid w:val="00A442F2"/>
    <w:rsid w:val="00A449A8"/>
    <w:rsid w:val="00A512C3"/>
    <w:rsid w:val="00A526C3"/>
    <w:rsid w:val="00A52F99"/>
    <w:rsid w:val="00A53C0A"/>
    <w:rsid w:val="00A563B6"/>
    <w:rsid w:val="00A6096E"/>
    <w:rsid w:val="00A65970"/>
    <w:rsid w:val="00A6761F"/>
    <w:rsid w:val="00A714E2"/>
    <w:rsid w:val="00A72409"/>
    <w:rsid w:val="00A749FF"/>
    <w:rsid w:val="00A756FC"/>
    <w:rsid w:val="00A80062"/>
    <w:rsid w:val="00A807BB"/>
    <w:rsid w:val="00A8736D"/>
    <w:rsid w:val="00A87EB7"/>
    <w:rsid w:val="00A901EB"/>
    <w:rsid w:val="00A9774E"/>
    <w:rsid w:val="00A97B30"/>
    <w:rsid w:val="00AA3320"/>
    <w:rsid w:val="00AA3A00"/>
    <w:rsid w:val="00AA408A"/>
    <w:rsid w:val="00AA423A"/>
    <w:rsid w:val="00AB128C"/>
    <w:rsid w:val="00AB1B6B"/>
    <w:rsid w:val="00AB1F61"/>
    <w:rsid w:val="00AB3909"/>
    <w:rsid w:val="00AB3B36"/>
    <w:rsid w:val="00AB58C1"/>
    <w:rsid w:val="00AC1C95"/>
    <w:rsid w:val="00AD10B6"/>
    <w:rsid w:val="00AD4423"/>
    <w:rsid w:val="00AD68B7"/>
    <w:rsid w:val="00AD7E9A"/>
    <w:rsid w:val="00AE0DF3"/>
    <w:rsid w:val="00AE49FE"/>
    <w:rsid w:val="00AE55D7"/>
    <w:rsid w:val="00AE66BB"/>
    <w:rsid w:val="00AF0A8C"/>
    <w:rsid w:val="00AF1411"/>
    <w:rsid w:val="00B005A5"/>
    <w:rsid w:val="00B0084D"/>
    <w:rsid w:val="00B04C61"/>
    <w:rsid w:val="00B05658"/>
    <w:rsid w:val="00B1140A"/>
    <w:rsid w:val="00B11A5B"/>
    <w:rsid w:val="00B1546B"/>
    <w:rsid w:val="00B200C0"/>
    <w:rsid w:val="00B200F6"/>
    <w:rsid w:val="00B230EE"/>
    <w:rsid w:val="00B24474"/>
    <w:rsid w:val="00B25AF3"/>
    <w:rsid w:val="00B2675D"/>
    <w:rsid w:val="00B275F1"/>
    <w:rsid w:val="00B27FAD"/>
    <w:rsid w:val="00B3075E"/>
    <w:rsid w:val="00B3244D"/>
    <w:rsid w:val="00B34CC9"/>
    <w:rsid w:val="00B3531E"/>
    <w:rsid w:val="00B3635E"/>
    <w:rsid w:val="00B36ACC"/>
    <w:rsid w:val="00B4567B"/>
    <w:rsid w:val="00B45E47"/>
    <w:rsid w:val="00B46C34"/>
    <w:rsid w:val="00B501BF"/>
    <w:rsid w:val="00B53821"/>
    <w:rsid w:val="00B54EC3"/>
    <w:rsid w:val="00B56CA8"/>
    <w:rsid w:val="00B56DE9"/>
    <w:rsid w:val="00B570BB"/>
    <w:rsid w:val="00B57B5B"/>
    <w:rsid w:val="00B61A51"/>
    <w:rsid w:val="00B63B5A"/>
    <w:rsid w:val="00B63DEB"/>
    <w:rsid w:val="00B67478"/>
    <w:rsid w:val="00B67F82"/>
    <w:rsid w:val="00B73376"/>
    <w:rsid w:val="00B73A34"/>
    <w:rsid w:val="00B73D5D"/>
    <w:rsid w:val="00B822B7"/>
    <w:rsid w:val="00B8389E"/>
    <w:rsid w:val="00B87ED4"/>
    <w:rsid w:val="00B90FF2"/>
    <w:rsid w:val="00B94344"/>
    <w:rsid w:val="00BA39E7"/>
    <w:rsid w:val="00BA3E9C"/>
    <w:rsid w:val="00BA41D8"/>
    <w:rsid w:val="00BB13CD"/>
    <w:rsid w:val="00BB2D4F"/>
    <w:rsid w:val="00BB6D26"/>
    <w:rsid w:val="00BB7C08"/>
    <w:rsid w:val="00BC2E6F"/>
    <w:rsid w:val="00BC4825"/>
    <w:rsid w:val="00BD2D85"/>
    <w:rsid w:val="00BD5AD7"/>
    <w:rsid w:val="00BD5CDE"/>
    <w:rsid w:val="00BD7E47"/>
    <w:rsid w:val="00BE2C29"/>
    <w:rsid w:val="00C01488"/>
    <w:rsid w:val="00C01638"/>
    <w:rsid w:val="00C05E3B"/>
    <w:rsid w:val="00C0641C"/>
    <w:rsid w:val="00C148A4"/>
    <w:rsid w:val="00C1758C"/>
    <w:rsid w:val="00C217B7"/>
    <w:rsid w:val="00C22979"/>
    <w:rsid w:val="00C22A3F"/>
    <w:rsid w:val="00C23A39"/>
    <w:rsid w:val="00C23D90"/>
    <w:rsid w:val="00C27A1D"/>
    <w:rsid w:val="00C27AAA"/>
    <w:rsid w:val="00C33A9C"/>
    <w:rsid w:val="00C40DE1"/>
    <w:rsid w:val="00C411F4"/>
    <w:rsid w:val="00C436C9"/>
    <w:rsid w:val="00C542D6"/>
    <w:rsid w:val="00C572AE"/>
    <w:rsid w:val="00C62EE6"/>
    <w:rsid w:val="00C675AD"/>
    <w:rsid w:val="00C737D9"/>
    <w:rsid w:val="00C76856"/>
    <w:rsid w:val="00C802AA"/>
    <w:rsid w:val="00C816AF"/>
    <w:rsid w:val="00C8266A"/>
    <w:rsid w:val="00C828BF"/>
    <w:rsid w:val="00C835D1"/>
    <w:rsid w:val="00C923DF"/>
    <w:rsid w:val="00C931A4"/>
    <w:rsid w:val="00C93702"/>
    <w:rsid w:val="00C9412C"/>
    <w:rsid w:val="00C95D41"/>
    <w:rsid w:val="00CA1B45"/>
    <w:rsid w:val="00CA3407"/>
    <w:rsid w:val="00CB324F"/>
    <w:rsid w:val="00CB339F"/>
    <w:rsid w:val="00CB4041"/>
    <w:rsid w:val="00CB4C99"/>
    <w:rsid w:val="00CB56D7"/>
    <w:rsid w:val="00CC140C"/>
    <w:rsid w:val="00CC6853"/>
    <w:rsid w:val="00CD691F"/>
    <w:rsid w:val="00CD7BED"/>
    <w:rsid w:val="00CE1CCC"/>
    <w:rsid w:val="00CE355C"/>
    <w:rsid w:val="00CE47E8"/>
    <w:rsid w:val="00CE76BE"/>
    <w:rsid w:val="00CF3F04"/>
    <w:rsid w:val="00CF4296"/>
    <w:rsid w:val="00CF4E8F"/>
    <w:rsid w:val="00D024C5"/>
    <w:rsid w:val="00D05DBB"/>
    <w:rsid w:val="00D0741B"/>
    <w:rsid w:val="00D07A62"/>
    <w:rsid w:val="00D123FF"/>
    <w:rsid w:val="00D12692"/>
    <w:rsid w:val="00D16F87"/>
    <w:rsid w:val="00D201CA"/>
    <w:rsid w:val="00D23925"/>
    <w:rsid w:val="00D301D6"/>
    <w:rsid w:val="00D30563"/>
    <w:rsid w:val="00D3176B"/>
    <w:rsid w:val="00D32479"/>
    <w:rsid w:val="00D33407"/>
    <w:rsid w:val="00D35021"/>
    <w:rsid w:val="00D415FD"/>
    <w:rsid w:val="00D43431"/>
    <w:rsid w:val="00D45FF6"/>
    <w:rsid w:val="00D50765"/>
    <w:rsid w:val="00D53388"/>
    <w:rsid w:val="00D63ADF"/>
    <w:rsid w:val="00D71556"/>
    <w:rsid w:val="00D71DB4"/>
    <w:rsid w:val="00D778C0"/>
    <w:rsid w:val="00D86874"/>
    <w:rsid w:val="00D87B84"/>
    <w:rsid w:val="00D87EA8"/>
    <w:rsid w:val="00D95C34"/>
    <w:rsid w:val="00D977EF"/>
    <w:rsid w:val="00DA1AFA"/>
    <w:rsid w:val="00DA1B6C"/>
    <w:rsid w:val="00DA339E"/>
    <w:rsid w:val="00DA375F"/>
    <w:rsid w:val="00DA4F99"/>
    <w:rsid w:val="00DA55C9"/>
    <w:rsid w:val="00DA7A4D"/>
    <w:rsid w:val="00DB033C"/>
    <w:rsid w:val="00DB06FC"/>
    <w:rsid w:val="00DB5FA1"/>
    <w:rsid w:val="00DC31A7"/>
    <w:rsid w:val="00DC43F6"/>
    <w:rsid w:val="00DD2CB9"/>
    <w:rsid w:val="00DD5AA8"/>
    <w:rsid w:val="00DE0960"/>
    <w:rsid w:val="00DE2C7F"/>
    <w:rsid w:val="00DE5368"/>
    <w:rsid w:val="00DF1E8E"/>
    <w:rsid w:val="00DF2D77"/>
    <w:rsid w:val="00DF6596"/>
    <w:rsid w:val="00DF7932"/>
    <w:rsid w:val="00E0080A"/>
    <w:rsid w:val="00E01292"/>
    <w:rsid w:val="00E01E03"/>
    <w:rsid w:val="00E068BD"/>
    <w:rsid w:val="00E148A8"/>
    <w:rsid w:val="00E16A68"/>
    <w:rsid w:val="00E238DA"/>
    <w:rsid w:val="00E31746"/>
    <w:rsid w:val="00E32474"/>
    <w:rsid w:val="00E37E1F"/>
    <w:rsid w:val="00E37E8F"/>
    <w:rsid w:val="00E4124B"/>
    <w:rsid w:val="00E41483"/>
    <w:rsid w:val="00E42BBC"/>
    <w:rsid w:val="00E42E9F"/>
    <w:rsid w:val="00E432BB"/>
    <w:rsid w:val="00E44792"/>
    <w:rsid w:val="00E450F1"/>
    <w:rsid w:val="00E45477"/>
    <w:rsid w:val="00E50DF7"/>
    <w:rsid w:val="00E53863"/>
    <w:rsid w:val="00E53913"/>
    <w:rsid w:val="00E54E00"/>
    <w:rsid w:val="00E551D3"/>
    <w:rsid w:val="00E61963"/>
    <w:rsid w:val="00E70DD2"/>
    <w:rsid w:val="00E71619"/>
    <w:rsid w:val="00E72FBC"/>
    <w:rsid w:val="00E7353B"/>
    <w:rsid w:val="00E73CAE"/>
    <w:rsid w:val="00E80A28"/>
    <w:rsid w:val="00E8279F"/>
    <w:rsid w:val="00E82E94"/>
    <w:rsid w:val="00E83D20"/>
    <w:rsid w:val="00E85561"/>
    <w:rsid w:val="00E85864"/>
    <w:rsid w:val="00E8678C"/>
    <w:rsid w:val="00E87033"/>
    <w:rsid w:val="00E87317"/>
    <w:rsid w:val="00E8786C"/>
    <w:rsid w:val="00E9254A"/>
    <w:rsid w:val="00EA35D0"/>
    <w:rsid w:val="00EA7F31"/>
    <w:rsid w:val="00EB22C6"/>
    <w:rsid w:val="00EB31CF"/>
    <w:rsid w:val="00EB327F"/>
    <w:rsid w:val="00EB4268"/>
    <w:rsid w:val="00EB48E5"/>
    <w:rsid w:val="00EB528F"/>
    <w:rsid w:val="00EB63A6"/>
    <w:rsid w:val="00EC08A9"/>
    <w:rsid w:val="00EC1091"/>
    <w:rsid w:val="00EC25AC"/>
    <w:rsid w:val="00EC3217"/>
    <w:rsid w:val="00EC64F3"/>
    <w:rsid w:val="00ED20E2"/>
    <w:rsid w:val="00ED4519"/>
    <w:rsid w:val="00ED4DB0"/>
    <w:rsid w:val="00ED78EE"/>
    <w:rsid w:val="00ED7EF8"/>
    <w:rsid w:val="00EE1065"/>
    <w:rsid w:val="00EE1886"/>
    <w:rsid w:val="00EE2CB7"/>
    <w:rsid w:val="00EE3D4B"/>
    <w:rsid w:val="00EE438E"/>
    <w:rsid w:val="00EF1346"/>
    <w:rsid w:val="00EF6679"/>
    <w:rsid w:val="00EF75F8"/>
    <w:rsid w:val="00F04294"/>
    <w:rsid w:val="00F128C9"/>
    <w:rsid w:val="00F12FE5"/>
    <w:rsid w:val="00F134AA"/>
    <w:rsid w:val="00F173C4"/>
    <w:rsid w:val="00F20DDD"/>
    <w:rsid w:val="00F22422"/>
    <w:rsid w:val="00F25BE9"/>
    <w:rsid w:val="00F267C1"/>
    <w:rsid w:val="00F31717"/>
    <w:rsid w:val="00F31D47"/>
    <w:rsid w:val="00F3295C"/>
    <w:rsid w:val="00F336A6"/>
    <w:rsid w:val="00F34EE7"/>
    <w:rsid w:val="00F418A4"/>
    <w:rsid w:val="00F425A2"/>
    <w:rsid w:val="00F427CD"/>
    <w:rsid w:val="00F457E7"/>
    <w:rsid w:val="00F47908"/>
    <w:rsid w:val="00F577A1"/>
    <w:rsid w:val="00F651F6"/>
    <w:rsid w:val="00F664DD"/>
    <w:rsid w:val="00F66A1F"/>
    <w:rsid w:val="00F71898"/>
    <w:rsid w:val="00F72522"/>
    <w:rsid w:val="00F75B84"/>
    <w:rsid w:val="00F75EF3"/>
    <w:rsid w:val="00F76C73"/>
    <w:rsid w:val="00F851A7"/>
    <w:rsid w:val="00F85DEC"/>
    <w:rsid w:val="00F97F94"/>
    <w:rsid w:val="00FA1E7B"/>
    <w:rsid w:val="00FA2F03"/>
    <w:rsid w:val="00FA5EB5"/>
    <w:rsid w:val="00FA70AF"/>
    <w:rsid w:val="00FA73C3"/>
    <w:rsid w:val="00FC18B7"/>
    <w:rsid w:val="00FC19CE"/>
    <w:rsid w:val="00FC3074"/>
    <w:rsid w:val="00FC4520"/>
    <w:rsid w:val="00FC7A16"/>
    <w:rsid w:val="00FD06DD"/>
    <w:rsid w:val="00FD388C"/>
    <w:rsid w:val="00FE0695"/>
    <w:rsid w:val="00FE09A3"/>
    <w:rsid w:val="00FE1B16"/>
    <w:rsid w:val="00FE3314"/>
    <w:rsid w:val="00FE7D30"/>
    <w:rsid w:val="00FF1124"/>
    <w:rsid w:val="00FF1525"/>
    <w:rsid w:val="00FF53F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FB9015-A21D-4E5C-AC77-9652A5E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9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6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86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38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2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2EE9"/>
    <w:rPr>
      <w:b/>
      <w:bCs/>
    </w:rPr>
  </w:style>
  <w:style w:type="character" w:styleId="Hipercze">
    <w:name w:val="Hyperlink"/>
    <w:uiPriority w:val="99"/>
    <w:unhideWhenUsed/>
    <w:rsid w:val="00F134A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34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134A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D77"/>
  </w:style>
  <w:style w:type="paragraph" w:styleId="Tekstdymka">
    <w:name w:val="Balloon Text"/>
    <w:basedOn w:val="Normalny"/>
    <w:link w:val="TekstdymkaZnak"/>
    <w:uiPriority w:val="99"/>
    <w:semiHidden/>
    <w:unhideWhenUsed/>
    <w:rsid w:val="00DF2D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2D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A3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5D0"/>
    <w:rPr>
      <w:b/>
      <w:bCs/>
      <w:sz w:val="20"/>
      <w:szCs w:val="20"/>
    </w:rPr>
  </w:style>
  <w:style w:type="paragraph" w:customStyle="1" w:styleId="Bezodstpw1">
    <w:name w:val="Bez odstępów1"/>
    <w:uiPriority w:val="1"/>
    <w:qFormat/>
    <w:rsid w:val="0019141C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461B5"/>
  </w:style>
  <w:style w:type="paragraph" w:customStyle="1" w:styleId="Kolorowecieniowanieakcent11">
    <w:name w:val="Kolorowe cieniowanie — akcent 11"/>
    <w:hidden/>
    <w:uiPriority w:val="99"/>
    <w:unhideWhenUsed/>
    <w:rsid w:val="00E50DF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109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C1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657D"/>
    <w:pPr>
      <w:spacing w:after="0" w:line="240" w:lineRule="auto"/>
      <w:ind w:left="720"/>
    </w:pPr>
    <w:rPr>
      <w:rFonts w:cs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544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7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0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7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arolczak@sh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5FD1-CC51-4E95-A188-CE9C5F76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Shell</Company>
  <LinksUpToDate>false</LinksUpToDate>
  <CharactersWithSpaces>4526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mailto:Robert.karolczak@shell.com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euroshell</dc:subject>
  <dc:creator>Marta Zagożdżon / Renata Syperek - Komar</dc:creator>
  <cp:keywords/>
  <cp:lastModifiedBy>Marta Zagożdżon</cp:lastModifiedBy>
  <cp:revision>2</cp:revision>
  <cp:lastPrinted>2017-08-31T13:22:00Z</cp:lastPrinted>
  <dcterms:created xsi:type="dcterms:W3CDTF">2018-03-27T12:34:00Z</dcterms:created>
  <dcterms:modified xsi:type="dcterms:W3CDTF">2018-03-27T12:34:00Z</dcterms:modified>
</cp:coreProperties>
</file>