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8.0" w:type="dxa"/>
        <w:jc w:val="left"/>
        <w:tblInd w:w="0.0" w:type="dxa"/>
        <w:tblLayout w:type="fixed"/>
        <w:tblLook w:val="0000"/>
      </w:tblPr>
      <w:tblGrid>
        <w:gridCol w:w="5014"/>
        <w:gridCol w:w="5014"/>
        <w:tblGridChange w:id="0">
          <w:tblGrid>
            <w:gridCol w:w="5014"/>
            <w:gridCol w:w="5014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 w14:paraId="00000001">
            <w:pPr>
              <w:spacing w:line="36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Kontakt dla prasy</w:t>
            </w:r>
          </w:p>
          <w:p w:rsidR="00000000" w:rsidDel="00000000" w:rsidP="00000000" w:rsidRDefault="00000000" w:rsidRPr="00000000" w14:paraId="00000002">
            <w:pPr>
              <w:spacing w:after="0" w:line="360" w:lineRule="auto"/>
              <w:ind w:right="1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Dominika Nawrocka</w:t>
            </w:r>
          </w:p>
          <w:p w:rsidR="00000000" w:rsidDel="00000000" w:rsidP="00000000" w:rsidRDefault="00000000" w:rsidRPr="00000000" w14:paraId="00000003">
            <w:pPr>
              <w:spacing w:after="0" w:line="360" w:lineRule="auto"/>
              <w:ind w:right="1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Tel.: 0048 888 774 126</w:t>
            </w:r>
          </w:p>
          <w:p w:rsidR="00000000" w:rsidDel="00000000" w:rsidP="00000000" w:rsidRDefault="00000000" w:rsidRPr="00000000" w14:paraId="00000004">
            <w:pPr>
              <w:spacing w:after="0" w:line="360" w:lineRule="auto"/>
              <w:ind w:right="14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dominika.nawrocka@capgemini.com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ind w:right="14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Arkadiusz Lorenc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14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Tel.: 0048 538 113 774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ind w:right="14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arkadiusz.lorenc@linkleaders.pl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Jak mądrze pomagać, czyli odpowiedzialna dobroczynność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Tam są namalowane nasze modele z modeliny! Widzisz? - wychowanek z Domu Dziecka w Bochni nie krył zdumienia, kiedy zobaczył obraz będący efektem zajęć plastycznych prowadzonych przez artystę Marcina Kowalika z krakowskiej ASP. To tylko jeden z przykładów dobroczynnych akcji, w jakie angażują się wolontariusze w Małopolsce. W działaniu wspierają ich duże firmy, które coraz częściej biorą odpowiedzialność za ludzi w miejscu, w którym działają. Ponadto Polacy coraz chętniej angażują się w wolontariat. 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Zaczęło się w domu dziecka w Bochni. Jego wychowankowie, pod okiem Marcina Kowalika, przygotowali figurki z modeliny - pozornie abstrakcyjne kształty, które w końcu jednak zaczęły się układać w formy przypominające futurystyczne budynki, mosty, czy place zabaw. I o to chodziło. Tematem warsztatów plastycznych było bowiem nowoczesne miasto. 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Modele wykonane przez dzieci zostały następnie przekazane wolontariuszom z Capgemini, którzy - również pod okiem Marcina Kowalika - namalowali na ich podstawie obraz</w:t>
      </w:r>
      <w:r w:rsidDel="00000000" w:rsidR="00000000" w:rsidRPr="00000000">
        <w:rPr>
          <w:sz w:val="20"/>
          <w:szCs w:val="20"/>
          <w:rtl w:val="0"/>
        </w:rPr>
        <w:t xml:space="preserve"> - mówi Rafał Gołąb z Capgemini, który koordynował projekt po stronie firmy.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cyklicznej inicjatywie bierze udział trzech partnerów. Instytucja opiekuńcza dla dzieci - której podopieczni przygotowują modele. ASP - której przedstawiciele koordynują proces twórczy. Partner komercyjny - przedsiębiorstwo, którego pracownicy angażują się we wszystkie etapy projektu, począwszy od jego początku, aż po wernisaż, na którym pokazane zostaje dzieło inspirowane pracami dzieci.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Zwykle w projekcie jako jedna ze stron występuje szpital dziecięcy. Tym razem </w:t>
      </w:r>
      <w:r w:rsidDel="00000000" w:rsidR="00000000" w:rsidRPr="00000000">
        <w:rPr>
          <w:i w:val="1"/>
          <w:sz w:val="20"/>
          <w:szCs w:val="20"/>
          <w:rtl w:val="0"/>
        </w:rPr>
        <w:t xml:space="preserve">zaproponowałem jednak, by w jedną z edycji zaangażować dom dziecka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- mówi Rafał Gołąb. </w:t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Artysta, dr Marcin Kowalik z ASP, pisze o projekcie na swojej stronie internetowej, że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Obraz w pigułce” </w:t>
      </w:r>
      <w:r w:rsidDel="00000000" w:rsidR="00000000" w:rsidRPr="00000000">
        <w:rPr>
          <w:sz w:val="20"/>
          <w:szCs w:val="20"/>
          <w:rtl w:val="0"/>
        </w:rPr>
        <w:t xml:space="preserve">to lek o wydłużonym działaniu.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“Wspólne tworzenie jest sensem i treścią projektu. Malując, zapominamy o wielu trudnych sprawach, ale także odkrywamy w sobie niczym nieskrępowaną radość tworzenia. Malujemy obrazy dla szpitali dziecięcych. Mają one bardzo bogatą historię, ponieważ oparte są na pracach stworzonych przez dzieci ze szpitala</w:t>
      </w:r>
      <w:r w:rsidDel="00000000" w:rsidR="00000000" w:rsidRPr="00000000">
        <w:rPr>
          <w:sz w:val="20"/>
          <w:szCs w:val="20"/>
          <w:rtl w:val="0"/>
        </w:rPr>
        <w:t xml:space="preserve">” - czytamy na jego stronie. </w:t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​Każdy z obrazów, powstały w ramach akcji, przekazywany jest placówce, biorącej udział w projekcie, sprawiając radość jej podopiecznym. Nie inaczej było w przypadku edycji, w którą zaangażowali się pracownicy Capgemini. Dzieło wisi od jakiegoś czasu w honorowym miejscu w Domu Dziecka w Bochni.</w:t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Firmy wspierają pracowników w dobroczynności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Akcja “Obraz w pigułce” to nie wyjątek. Polacy chętnie angażują się w działalność dobroczynną. Badania pokazują, że zaangażowanie w inicjatywy charytatywne utrzymuje się od kilku lat na podobnym poziomie. W działalność na rzecz organizacji lub grup społecznych angażuje się prawie jedna piąta Polaków, wynika z badań przeprowadzonych na zlecenie Stowarzyszenia Klon/Jawor. Aż 27 procent deklaruje natomiast, że udzielało się na rzecz swojego najbliższego otoczenia lub osób spoza kręgu rodziny i znajomych, choć nie nazywa swojej działalności wolontariatem. </w:t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Karolina Długosz, CSR Manager Capgemini przyznaje, że obserwuje duże zainteresowanie wolontariatem wśród pracowników firmy, która postanowiła ułatwić im realizację inicjatyw, w które się angażują. - </w:t>
      </w:r>
      <w:r w:rsidDel="00000000" w:rsidR="00000000" w:rsidRPr="00000000">
        <w:rPr>
          <w:i w:val="1"/>
          <w:sz w:val="20"/>
          <w:szCs w:val="20"/>
          <w:rtl w:val="0"/>
        </w:rPr>
        <w:t xml:space="preserve">Stworzyliśmy kilka lat temu program grantowy “Inwestujemy w dobre pomysły”. To odpowiedź na inicjatywy podejmowane przez naszych pracowników. Dostrzegają oni istotne problemy społeczne w swoim najbliższym otoczeniu i chcą działać. Mechanizm jest prosty - pracownicy, którzy w corocznym konkursie zgłoszą najciekawsze projekty na rzecz lokalnych społeczności, mogą otrzymać dofinansowanie na ich realizację. Capgemini oferuje również wsparcie merytoryczne i organizacyjne</w:t>
      </w:r>
      <w:r w:rsidDel="00000000" w:rsidR="00000000" w:rsidRPr="00000000">
        <w:rPr>
          <w:sz w:val="20"/>
          <w:szCs w:val="20"/>
          <w:rtl w:val="0"/>
        </w:rPr>
        <w:t xml:space="preserve"> - mówi Karolina Długosz.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W programie chodzi nie tylko o doraźną pomoc, lecz także o budowanie odpowiedzialnej postawy, zarówno osób bezpośrednio zaangażowanych w projekt, jak i dyrektorów, kierowników, rodziców, czy wolontariuszy z placówek beneficjentów. W 2017 roku Kapituła programu grantowego Capgemini, w której znaleźli się m.in. przedstawiciele Uniwersytetu Ekonomicznego w Krakowie i Urzędu Miasta Krakowa, wybrała 16 najlepszych pomysłów. W ich realizację zaangażowały się w sumie 133 osoby. W tym roku startuje kolejna edycja i zainteresowanie działaniami dobroczynnymi jest równie duże. -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D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o konkursu wpłynęły 34 autorskie pomysły, za którymi stało 232 pracowników-wolontariuszy oraz 234 osób spoza firmy gotowych pomagać innym. Wnioski pochodzą z Krakowa, Katowic i Wrocławia. Znamy już beneficjentów kolejnego programu, w Małopolsce będą to min.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akcje: Powitanie Wakacji na Bieżanowie, Mali strażacy uczą się pracy, Pracownia seniora, Farma na dachu, Międzynarodowy Dzień Migranta. Gratuluję wszystkim wnioskodawcom i życzę powodzenia w realizacji projektów” - </w:t>
      </w:r>
      <w:r w:rsidDel="00000000" w:rsidR="00000000" w:rsidRPr="00000000">
        <w:rPr>
          <w:sz w:val="20"/>
          <w:szCs w:val="20"/>
          <w:rtl w:val="0"/>
        </w:rPr>
        <w:t xml:space="preserve">komentuje Karolina Długosz.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jc w:val="both"/>
        <w:rPr>
          <w:rFonts w:ascii="Arial" w:cs="Arial" w:eastAsia="Arial" w:hAnsi="Arial"/>
          <w:i w:val="1"/>
          <w:color w:val="7f7f7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 grantowy jest jedną z odpowiedzi Capgemini na godny pochwały trend w biznesie, jakim jest dbanie o interesy społeczne. Firmy coraz częściej czują się w obowiązku wziąć odpowiedzialność, przynajmniej za interesy lokalnej społeczności, już na etapie budowania strategii biznesowej. - </w:t>
      </w:r>
      <w:r w:rsidDel="00000000" w:rsidR="00000000" w:rsidRPr="00000000">
        <w:rPr>
          <w:i w:val="1"/>
          <w:sz w:val="20"/>
          <w:szCs w:val="20"/>
          <w:rtl w:val="0"/>
        </w:rPr>
        <w:t xml:space="preserve">Koncepcja społecznej odpowiedzialności biznesu to więcej, niż tylko wolontariat. To podejście, które powinno być wpisane w DNA każdej większej firmy, a jego realizacja nie sprowadza się do jednego, czy dwóch projektów dobroczynnych, zrealizowanych przez dane przedsiębiorstwo, lecz do długofalowej strategii mającej na celu dbanie o ludzi czy środowisko </w:t>
      </w:r>
      <w:r w:rsidDel="00000000" w:rsidR="00000000" w:rsidRPr="00000000">
        <w:rPr>
          <w:sz w:val="20"/>
          <w:szCs w:val="20"/>
          <w:rtl w:val="0"/>
        </w:rPr>
        <w:t xml:space="preserve">- podkreśla Karolina Długosz.</w:t>
      </w:r>
    </w:p>
    <w:p w:rsidR="00000000" w:rsidDel="00000000" w:rsidP="00000000" w:rsidRDefault="00000000" w:rsidRPr="00000000" w14:paraId="0000001B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Pomaganie przez sztukę </w:t>
      </w:r>
    </w:p>
    <w:p w:rsidR="00000000" w:rsidDel="00000000" w:rsidP="00000000" w:rsidRDefault="00000000" w:rsidRPr="00000000" w14:paraId="0000001E">
      <w:pPr>
        <w:spacing w:after="0"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Sztuka i dobroczynność coraz częściej idą w parze. Z końcem ubiegłego roku na deskach Małopolskiego Ogrodu Sztuki miała miejsce premiera kolejnego spektaklu charytatywnego przygotowanego w całości przez pracowników Capgemini. Reżyserii podjął się Jerzy Jan Połoński.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Przygotowania do przedstawienia zaczęły się, jak co roku, już wczesną jesienią, bo praca nad spektaklem wymaga wiele czasu i dużego zaangażowania wszystkich aktorów.</w:t>
      </w:r>
    </w:p>
    <w:p w:rsidR="00000000" w:rsidDel="00000000" w:rsidP="00000000" w:rsidRDefault="00000000" w:rsidRPr="00000000" w14:paraId="0000001F">
      <w:pPr>
        <w:spacing w:after="0"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Nasze przedstawienia rozwijały się z roku na rok, pracowaliśmy z różnymi reżyserami, ale zawsze na uwadze mieliśmy cel, którym była pomoc. Choć dla mnie teatr Capgemini to o wiele więcej niż działalność charytatywna, bo wiele się nauczyłam o pracy w teatrze, zobaczyłam jak tworzy się przedstawienie od samego początku. Dowiedziałam się też trochę o sobie. Na przykład, że ja też potrafię zaśpiewać piosenkę!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- mówiła Alicja Jasińska, która w spektaklu brała udział już po raz siódmy. Zysk ze sprzedaży biletów został przeznaczony na wsparcie działań Chrześcijańskiego Stowarzyszenia Osób Niepełnosprawnych, ich Rodzin i Przyjaciół „Ognisko”. Na ten rok 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lanowana jest kolejna edycja spektaklu.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Lekcja pokory</w:t>
      </w:r>
    </w:p>
    <w:p w:rsidR="00000000" w:rsidDel="00000000" w:rsidP="00000000" w:rsidRDefault="00000000" w:rsidRPr="00000000" w14:paraId="00000022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Katarzyna Jankowska z Capgemini również postanowiła skorzystać z programu grantowego przygotowanego przez jej firmę. Zgłosiła projekt “Serca dla dzieci”, który skierowany był do dzieci przebywających na oddziale onkologii i hematologii Uniwersyteckiego Szpitala Dziecięcego w Krakowie-Prokocimiu i ich rodziców. </w:t>
      </w:r>
    </w:p>
    <w:p w:rsidR="00000000" w:rsidDel="00000000" w:rsidP="00000000" w:rsidRDefault="00000000" w:rsidRPr="00000000" w14:paraId="00000023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W ramach projektu, którym kierowałam, wolontariusze zorganizowali dla małych pacjentów cykl zajęć. Dzieci oglądały np. przedstawienie przygotowane specjalnie dla nich przez przedszkolaków, a w tym czasie ich rodzice odbywali kurs salsy. We wrześniu oddział odwiedziły uwielbiane przez najmłodszych Minionki. Jesienią mogły również wziąć udział w warsztatach plastycznych i samodzielnie wykonać z kasztanów czy gałązek figurki zwierząt i ludzi. Wszystko po to, by zapomnieć choć na chwilę o zmaganiu się z ciężką chorobą</w:t>
      </w:r>
      <w:r w:rsidDel="00000000" w:rsidR="00000000" w:rsidRPr="00000000">
        <w:rPr>
          <w:sz w:val="20"/>
          <w:szCs w:val="20"/>
          <w:rtl w:val="0"/>
        </w:rPr>
        <w:t xml:space="preserve"> - mówi Katarzyna Jankowska. </w:t>
      </w:r>
    </w:p>
    <w:p w:rsidR="00000000" w:rsidDel="00000000" w:rsidP="00000000" w:rsidRDefault="00000000" w:rsidRPr="00000000" w14:paraId="00000024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Wolontariusze są przekonani o tym, że warto brać udział w inicjatywach dobroczynnych. - </w:t>
      </w:r>
      <w:r w:rsidDel="00000000" w:rsidR="00000000" w:rsidRPr="00000000">
        <w:rPr>
          <w:i w:val="1"/>
          <w:sz w:val="20"/>
          <w:szCs w:val="20"/>
          <w:rtl w:val="0"/>
        </w:rPr>
        <w:t xml:space="preserve">Dla mnie ten projekt to była nie tylko fantastyczna podróż z ludźmi, z którymi współpracuję na co dzień, lecz także olbrzymia lekcja pokory, refleksji i poszukiwania wartości</w:t>
      </w:r>
      <w:r w:rsidDel="00000000" w:rsidR="00000000" w:rsidRPr="00000000">
        <w:rPr>
          <w:sz w:val="20"/>
          <w:szCs w:val="20"/>
          <w:rtl w:val="0"/>
        </w:rPr>
        <w:t xml:space="preserve"> - twierdzi Edyta Piotrowska, wolontariuszka zaangażowana w inicjatywę. </w:t>
      </w:r>
    </w:p>
    <w:p w:rsidR="00000000" w:rsidDel="00000000" w:rsidP="00000000" w:rsidRDefault="00000000" w:rsidRPr="00000000" w14:paraId="00000025">
      <w:pPr>
        <w:spacing w:after="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Capgemini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Capgemini to światowy lider w dziedzinie doradztwa, usług technologicznych i transformacji cyfrowej, którego celem jest wprowadzanie czołowych i innowacyjnych rozwiązań oraz udostępnienie całej gamy nowych możliwości klientom w rozwijającym się informatycznym świecie cyfryzacji, chmury i platform. Capgemini, opierając się na swojej 50-letniej tradycji i szerokiej wiedzy branżowej, umożliwia organizacjom realizację ich ambicji biznesowych, udostępniając szereg usług, od strategii po działalność operacyjną. Capgemini kieruje się przekonaniem, że wartość biznesowa technologii pochodzi od ludzi i ma im służyć. To wielokulturowa firma, licząca 200 000 pracowników zatrudnionych w ponad 40 krajach. Grupa odnotowała światowy przychód na poziomie 12,8 mld EUR.</w:t>
      </w:r>
    </w:p>
    <w:p w:rsidR="00000000" w:rsidDel="00000000" w:rsidP="00000000" w:rsidRDefault="00000000" w:rsidRPr="00000000" w14:paraId="00000028">
      <w:pPr>
        <w:spacing w:after="0"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Zapraszamy na stronę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www.capgemini.com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i w:val="1"/>
          <w:sz w:val="20"/>
          <w:szCs w:val="20"/>
          <w:rtl w:val="0"/>
        </w:rPr>
        <w:t xml:space="preserve">People matter, results count.</w:t>
      </w:r>
    </w:p>
    <w:p w:rsidR="00000000" w:rsidDel="00000000" w:rsidP="00000000" w:rsidRDefault="00000000" w:rsidRPr="00000000" w14:paraId="0000002A">
      <w:pPr>
        <w:spacing w:after="200" w:line="36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360" w:lineRule="auto"/>
        <w:ind w:right="11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11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4" w:w="11909"/>
      <w:pgMar w:bottom="864" w:top="864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621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2621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50" w:before="0" w:line="240" w:lineRule="auto"/>
      <w:ind w:left="0" w:right="2621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0</wp:posOffset>
              </wp:positionV>
              <wp:extent cx="1943100" cy="2286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4450" y="366570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Press Release or News Alert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0</wp:posOffset>
              </wp:positionV>
              <wp:extent cx="1943100" cy="2286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50" w:before="0" w:line="240" w:lineRule="auto"/>
      <w:ind w:left="0" w:right="36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00"/>
      </w:tabs>
      <w:spacing w:after="0" w:before="567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43992" cy="989550"/>
          <wp:effectExtent b="0" l="0" r="0" t="0"/>
          <wp:docPr descr="\\sf1coeur\external-comms\Influencer Relations\2017 Press Releases and Q&amp;A\10_17_New Brand Identity\Capgemini_Logo.jpg" id="1" name="image2.jpg"/>
          <a:graphic>
            <a:graphicData uri="http://schemas.openxmlformats.org/drawingml/2006/picture">
              <pic:pic>
                <pic:nvPicPr>
                  <pic:cNvPr descr="\\sf1coeur\external-comms\Influencer Relations\2017 Press Releases and Q&amp;A\10_17_New Brand Identity\Capgemini_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3992" cy="989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5054600</wp:posOffset>
              </wp:positionH>
              <wp:positionV relativeFrom="paragraph">
                <wp:posOffset>-863599</wp:posOffset>
              </wp:positionV>
              <wp:extent cx="1257300" cy="5715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494250"/>
                        <a:ext cx="1257300" cy="571500"/>
                      </a:xfrm>
                      <a:prstGeom prst="rect">
                        <a:avLst/>
                      </a:prstGeom>
                      <a:noFill/>
                      <a:ln cap="rnd" cmpd="sng" w="9525">
                        <a:solidFill>
                          <a:srgbClr val="000000"/>
                        </a:solidFill>
                        <a:prstDash val="dot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Insert Third Party logo here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5054600</wp:posOffset>
              </wp:positionH>
              <wp:positionV relativeFrom="paragraph">
                <wp:posOffset>-863599</wp:posOffset>
              </wp:positionV>
              <wp:extent cx="1257300" cy="5715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contextualSpacing w:val="0"/>
      <w:jc w:val="left"/>
    </w:pPr>
    <w:rPr>
      <w:rFonts w:ascii="Verdana" w:cs="Verdana" w:eastAsia="Verdana" w:hAnsi="Verdana"/>
      <w:b w:val="0"/>
      <w:i w:val="0"/>
      <w:smallCaps w:val="0"/>
      <w:strike w:val="0"/>
      <w:color w:val="005381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00375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dominika.nawrocka@capgemini.com" TargetMode="External"/><Relationship Id="rId7" Type="http://schemas.openxmlformats.org/officeDocument/2006/relationships/hyperlink" Target="mailto:arkadiusz.lorenc@linkleaders.pl" TargetMode="External"/><Relationship Id="rId8" Type="http://schemas.openxmlformats.org/officeDocument/2006/relationships/hyperlink" Target="http://www.capgemini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