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CF" w:rsidRDefault="00263B29">
      <w:r>
        <w:t>25 / 04 / 2018</w:t>
      </w:r>
    </w:p>
    <w:p w:rsidR="00A150CF" w:rsidRDefault="00A150CF"/>
    <w:p w:rsidR="00A150CF" w:rsidRDefault="00263B29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5734050" cy="19050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50CF" w:rsidRDefault="00A150CF">
      <w:pPr>
        <w:widowControl w:val="0"/>
        <w:spacing w:line="360" w:lineRule="auto"/>
        <w:rPr>
          <w:rFonts w:ascii="Calibri" w:eastAsia="Calibri" w:hAnsi="Calibri" w:cs="Calibri"/>
          <w:b/>
          <w:color w:val="999999"/>
          <w:sz w:val="16"/>
          <w:szCs w:val="16"/>
          <w:u w:val="single"/>
        </w:rPr>
      </w:pPr>
    </w:p>
    <w:p w:rsidR="00A150CF" w:rsidRDefault="00263B29">
      <w:pPr>
        <w:widowControl w:val="0"/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Torment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Tides</w:t>
      </w:r>
      <w:proofErr w:type="spellEnd"/>
      <w:r>
        <w:rPr>
          <w:b/>
          <w:sz w:val="24"/>
          <w:szCs w:val="24"/>
        </w:rPr>
        <w:t xml:space="preserve"> of </w:t>
      </w:r>
      <w:proofErr w:type="spellStart"/>
      <w:r>
        <w:rPr>
          <w:b/>
          <w:sz w:val="24"/>
          <w:szCs w:val="24"/>
        </w:rPr>
        <w:t>Numenera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Observer</w:t>
      </w:r>
      <w:proofErr w:type="spellEnd"/>
      <w:r>
        <w:rPr>
          <w:b/>
          <w:sz w:val="24"/>
          <w:szCs w:val="24"/>
        </w:rPr>
        <w:t xml:space="preserve"> oraz pięć innych gier trafi do Serii Day1</w:t>
      </w:r>
    </w:p>
    <w:p w:rsidR="00A150CF" w:rsidRDefault="00A150CF">
      <w:pPr>
        <w:widowControl w:val="0"/>
        <w:spacing w:line="360" w:lineRule="auto"/>
        <w:jc w:val="both"/>
        <w:rPr>
          <w:sz w:val="20"/>
          <w:szCs w:val="20"/>
        </w:rPr>
      </w:pPr>
    </w:p>
    <w:p w:rsidR="00A150CF" w:rsidRDefault="00263B29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b/>
          <w:i/>
          <w:sz w:val="20"/>
          <w:szCs w:val="20"/>
        </w:rPr>
        <w:t>Seria Day1</w:t>
      </w:r>
      <w:r>
        <w:rPr>
          <w:sz w:val="20"/>
          <w:szCs w:val="20"/>
        </w:rPr>
        <w:t xml:space="preserve"> - oferująca premierowa wydania gier w dobrych cenach - zmienia formułę i </w:t>
      </w:r>
      <w:r>
        <w:rPr>
          <w:b/>
          <w:sz w:val="20"/>
          <w:szCs w:val="20"/>
        </w:rPr>
        <w:t>wzbogaci się o siedem nowych pozycji</w:t>
      </w:r>
      <w:r>
        <w:rPr>
          <w:sz w:val="20"/>
          <w:szCs w:val="20"/>
        </w:rPr>
        <w:t>. Wszystkie dostępne będą na sklepowych półkach od 25 kwietnia.</w:t>
      </w:r>
    </w:p>
    <w:p w:rsidR="00A150CF" w:rsidRDefault="00A150CF">
      <w:pPr>
        <w:widowControl w:val="0"/>
        <w:spacing w:line="360" w:lineRule="auto"/>
        <w:jc w:val="both"/>
        <w:rPr>
          <w:sz w:val="20"/>
          <w:szCs w:val="20"/>
        </w:rPr>
      </w:pPr>
    </w:p>
    <w:p w:rsidR="00A150CF" w:rsidRDefault="00263B29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 tej pory gracze kupując gry z </w:t>
      </w:r>
      <w:r>
        <w:rPr>
          <w:i/>
          <w:sz w:val="20"/>
          <w:szCs w:val="20"/>
        </w:rPr>
        <w:t>Serii Day1</w:t>
      </w:r>
      <w:r>
        <w:rPr>
          <w:sz w:val="20"/>
          <w:szCs w:val="20"/>
        </w:rPr>
        <w:t xml:space="preserve"> otrzymywali oryginalne pudełko DVD z “seryjną” nasuwką, a każdy tytuł wzbogacały cyfrowe dodatki. Nowe pozycje dostępne będą w premierowych, papier</w:t>
      </w:r>
      <w:r>
        <w:rPr>
          <w:sz w:val="20"/>
          <w:szCs w:val="20"/>
        </w:rPr>
        <w:t xml:space="preserve">owych pudełkach wraz z całą oryginalną zawartością w postaci dodatków fizycznych. Zatem kupując np. </w:t>
      </w:r>
      <w:proofErr w:type="spellStart"/>
      <w:r>
        <w:rPr>
          <w:b/>
          <w:sz w:val="20"/>
          <w:szCs w:val="20"/>
        </w:rPr>
        <w:t>Torment</w:t>
      </w:r>
      <w:proofErr w:type="spellEnd"/>
      <w:r>
        <w:rPr>
          <w:b/>
          <w:sz w:val="20"/>
          <w:szCs w:val="20"/>
        </w:rPr>
        <w:t xml:space="preserve">: </w:t>
      </w:r>
      <w:proofErr w:type="spellStart"/>
      <w:r>
        <w:rPr>
          <w:b/>
          <w:sz w:val="20"/>
          <w:szCs w:val="20"/>
        </w:rPr>
        <w:t>Tides</w:t>
      </w:r>
      <w:proofErr w:type="spellEnd"/>
      <w:r>
        <w:rPr>
          <w:b/>
          <w:sz w:val="20"/>
          <w:szCs w:val="20"/>
        </w:rPr>
        <w:t xml:space="preserve"> of </w:t>
      </w:r>
      <w:proofErr w:type="spellStart"/>
      <w:r>
        <w:rPr>
          <w:b/>
          <w:sz w:val="20"/>
          <w:szCs w:val="20"/>
        </w:rPr>
        <w:t>Numenera</w:t>
      </w:r>
      <w:proofErr w:type="spellEnd"/>
      <w:r>
        <w:rPr>
          <w:sz w:val="20"/>
          <w:szCs w:val="20"/>
        </w:rPr>
        <w:t xml:space="preserve"> (49.90 PLN) w Serii Day1 gracze dostaną m.in. ścieżkę dźwiękową na płycie CD, a w pudełku z grą </w:t>
      </w:r>
      <w:proofErr w:type="spellStart"/>
      <w:r>
        <w:rPr>
          <w:b/>
          <w:sz w:val="20"/>
          <w:szCs w:val="20"/>
        </w:rPr>
        <w:t>Observer</w:t>
      </w:r>
      <w:proofErr w:type="spellEnd"/>
      <w:r>
        <w:rPr>
          <w:sz w:val="20"/>
          <w:szCs w:val="20"/>
        </w:rPr>
        <w:t xml:space="preserve"> (69.90 PLN) znajdą się p</w:t>
      </w:r>
      <w:r>
        <w:rPr>
          <w:sz w:val="20"/>
          <w:szCs w:val="20"/>
        </w:rPr>
        <w:t xml:space="preserve">lakat oraz </w:t>
      </w:r>
      <w:proofErr w:type="spellStart"/>
      <w:r>
        <w:rPr>
          <w:sz w:val="20"/>
          <w:szCs w:val="20"/>
        </w:rPr>
        <w:t>artbook</w:t>
      </w:r>
      <w:proofErr w:type="spellEnd"/>
      <w:r>
        <w:rPr>
          <w:sz w:val="20"/>
          <w:szCs w:val="20"/>
        </w:rPr>
        <w:t>.</w:t>
      </w:r>
    </w:p>
    <w:p w:rsidR="00A150CF" w:rsidRDefault="00A150CF">
      <w:pPr>
        <w:widowControl w:val="0"/>
        <w:spacing w:line="360" w:lineRule="auto"/>
        <w:jc w:val="both"/>
        <w:rPr>
          <w:sz w:val="20"/>
          <w:szCs w:val="20"/>
        </w:rPr>
      </w:pPr>
    </w:p>
    <w:p w:rsidR="00A150CF" w:rsidRDefault="00263B29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Oprócz tych pozycji nowymi tytułami w Serii Day1 będą: </w:t>
      </w:r>
      <w:r>
        <w:rPr>
          <w:b/>
          <w:sz w:val="20"/>
          <w:szCs w:val="20"/>
        </w:rPr>
        <w:t>Filary Ziemi</w:t>
      </w:r>
      <w:r>
        <w:rPr>
          <w:sz w:val="20"/>
          <w:szCs w:val="20"/>
        </w:rPr>
        <w:t xml:space="preserve"> (59,90 PLN), </w:t>
      </w:r>
      <w:proofErr w:type="spellStart"/>
      <w:r>
        <w:rPr>
          <w:b/>
          <w:sz w:val="20"/>
          <w:szCs w:val="20"/>
        </w:rPr>
        <w:t>Everspace</w:t>
      </w:r>
      <w:proofErr w:type="spellEnd"/>
      <w:r>
        <w:rPr>
          <w:sz w:val="20"/>
          <w:szCs w:val="20"/>
        </w:rPr>
        <w:t xml:space="preserve"> (69.90 PLN), </w:t>
      </w:r>
      <w:proofErr w:type="spellStart"/>
      <w:r>
        <w:rPr>
          <w:b/>
          <w:sz w:val="20"/>
          <w:szCs w:val="20"/>
        </w:rPr>
        <w:t>Oriental</w:t>
      </w:r>
      <w:proofErr w:type="spellEnd"/>
      <w:r>
        <w:rPr>
          <w:b/>
          <w:sz w:val="20"/>
          <w:szCs w:val="20"/>
        </w:rPr>
        <w:t xml:space="preserve"> Empires</w:t>
      </w:r>
      <w:r>
        <w:rPr>
          <w:sz w:val="20"/>
          <w:szCs w:val="20"/>
        </w:rPr>
        <w:t xml:space="preserve"> (69.90 PLN), </w:t>
      </w:r>
      <w:r>
        <w:rPr>
          <w:b/>
          <w:sz w:val="20"/>
          <w:szCs w:val="20"/>
        </w:rPr>
        <w:t xml:space="preserve">The </w:t>
      </w:r>
      <w:proofErr w:type="spellStart"/>
      <w:r>
        <w:rPr>
          <w:b/>
          <w:sz w:val="20"/>
          <w:szCs w:val="20"/>
        </w:rPr>
        <w:t>Long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Journey</w:t>
      </w:r>
      <w:proofErr w:type="spellEnd"/>
      <w:r>
        <w:rPr>
          <w:b/>
          <w:sz w:val="20"/>
          <w:szCs w:val="20"/>
        </w:rPr>
        <w:t xml:space="preserve"> Home</w:t>
      </w:r>
      <w:r>
        <w:rPr>
          <w:sz w:val="20"/>
          <w:szCs w:val="20"/>
        </w:rPr>
        <w:t xml:space="preserve"> (69.90 PLN) oraz </w:t>
      </w:r>
      <w:r>
        <w:rPr>
          <w:b/>
          <w:sz w:val="20"/>
          <w:szCs w:val="20"/>
        </w:rPr>
        <w:t xml:space="preserve">Grey Goo </w:t>
      </w:r>
      <w:proofErr w:type="spellStart"/>
      <w:r>
        <w:rPr>
          <w:b/>
          <w:sz w:val="20"/>
          <w:szCs w:val="20"/>
        </w:rPr>
        <w:t>Definitive</w:t>
      </w:r>
      <w:proofErr w:type="spellEnd"/>
      <w:r>
        <w:rPr>
          <w:b/>
          <w:sz w:val="20"/>
          <w:szCs w:val="20"/>
        </w:rPr>
        <w:t xml:space="preserve"> Edition</w:t>
      </w:r>
      <w:r>
        <w:rPr>
          <w:sz w:val="20"/>
          <w:szCs w:val="20"/>
        </w:rPr>
        <w:t xml:space="preserve"> (49.90 PLN).</w:t>
      </w:r>
    </w:p>
    <w:p w:rsidR="000601B7" w:rsidRDefault="000601B7">
      <w:pPr>
        <w:widowControl w:val="0"/>
        <w:spacing w:line="360" w:lineRule="auto"/>
        <w:jc w:val="both"/>
        <w:rPr>
          <w:rFonts w:ascii="Calibri" w:eastAsia="Calibri" w:hAnsi="Calibri" w:cs="Calibri"/>
          <w:b/>
          <w:color w:val="999999"/>
          <w:sz w:val="16"/>
          <w:szCs w:val="16"/>
          <w:u w:val="single"/>
        </w:rPr>
      </w:pPr>
      <w:bookmarkStart w:id="0" w:name="_GoBack"/>
      <w:bookmarkEnd w:id="0"/>
    </w:p>
    <w:p w:rsidR="00A150CF" w:rsidRDefault="000601B7" w:rsidP="000601B7">
      <w:pPr>
        <w:widowControl w:val="0"/>
        <w:spacing w:line="360" w:lineRule="auto"/>
        <w:jc w:val="center"/>
        <w:rPr>
          <w:rFonts w:ascii="Calibri" w:eastAsia="Calibri" w:hAnsi="Calibri" w:cs="Calibri"/>
          <w:b/>
          <w:color w:val="999999"/>
          <w:sz w:val="16"/>
          <w:szCs w:val="16"/>
          <w:u w:val="single"/>
        </w:rPr>
      </w:pPr>
      <w:r>
        <w:rPr>
          <w:rFonts w:ascii="Helvetica Neue" w:eastAsia="Helvetica Neue" w:hAnsi="Helvetica Neue" w:cs="Helvetica Neue"/>
          <w:color w:val="1D2129"/>
          <w:highlight w:val="white"/>
        </w:rPr>
        <w:t>___________________</w:t>
      </w:r>
    </w:p>
    <w:p w:rsidR="00A150CF" w:rsidRDefault="00263B29">
      <w:pPr>
        <w:widowControl w:val="0"/>
        <w:spacing w:line="360" w:lineRule="auto"/>
        <w:rPr>
          <w:rFonts w:ascii="Calibri" w:eastAsia="Calibri" w:hAnsi="Calibri" w:cs="Calibri"/>
          <w:b/>
          <w:color w:val="999999"/>
          <w:sz w:val="16"/>
          <w:szCs w:val="16"/>
          <w:u w:val="single"/>
        </w:rPr>
      </w:pPr>
      <w:r>
        <w:rPr>
          <w:rFonts w:ascii="Calibri" w:eastAsia="Calibri" w:hAnsi="Calibri" w:cs="Calibri"/>
          <w:b/>
          <w:color w:val="999999"/>
          <w:sz w:val="16"/>
          <w:szCs w:val="16"/>
          <w:u w:val="single"/>
        </w:rPr>
        <w:t xml:space="preserve">O firmie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  <w:u w:val="single"/>
        </w:rPr>
        <w:t>Techland</w:t>
      </w:r>
      <w:proofErr w:type="spellEnd"/>
    </w:p>
    <w:p w:rsidR="00A150CF" w:rsidRDefault="00263B29">
      <w:pPr>
        <w:widowControl w:val="0"/>
        <w:spacing w:line="240" w:lineRule="auto"/>
        <w:jc w:val="both"/>
        <w:rPr>
          <w:rFonts w:ascii="Calibri" w:eastAsia="Calibri" w:hAnsi="Calibri" w:cs="Calibri"/>
          <w:b/>
          <w:color w:val="999999"/>
          <w:sz w:val="16"/>
          <w:szCs w:val="16"/>
        </w:rPr>
      </w:pP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Te</w:t>
      </w:r>
      <w:r>
        <w:rPr>
          <w:rFonts w:ascii="Calibri" w:eastAsia="Calibri" w:hAnsi="Calibri" w:cs="Calibri"/>
          <w:b/>
          <w:color w:val="999999"/>
          <w:sz w:val="16"/>
          <w:szCs w:val="16"/>
        </w:rPr>
        <w:t>chland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, niezależny producent gier, dystrybutor i globalny wydawca, powstał w 1991 roku. Polska firma znana jest najbardziej z gier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Dead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Island, Call of Juarez oraz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Dying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Light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i dodatku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Dying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Light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: The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Following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. Łącznie marka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Dying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Light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przyciągnęła pon</w:t>
      </w:r>
      <w:r>
        <w:rPr>
          <w:rFonts w:ascii="Calibri" w:eastAsia="Calibri" w:hAnsi="Calibri" w:cs="Calibri"/>
          <w:b/>
          <w:color w:val="999999"/>
          <w:sz w:val="16"/>
          <w:szCs w:val="16"/>
        </w:rPr>
        <w:t>ad 10 milionów graczy. Aktualnie pracuje nad dwiema grami z segmentu AAA, które ujrzą światło dzienne w ciągu najbliższych trzech lat.</w:t>
      </w:r>
    </w:p>
    <w:p w:rsidR="00A150CF" w:rsidRDefault="00263B29">
      <w:pPr>
        <w:widowControl w:val="0"/>
        <w:spacing w:line="240" w:lineRule="auto"/>
        <w:jc w:val="both"/>
        <w:rPr>
          <w:rFonts w:ascii="Calibri" w:eastAsia="Calibri" w:hAnsi="Calibri" w:cs="Calibri"/>
          <w:b/>
          <w:color w:val="999999"/>
          <w:sz w:val="16"/>
          <w:szCs w:val="16"/>
        </w:rPr>
      </w:pPr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W 2016 roku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Techland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rozszerzył swoją działalność o wydawnictwo ogólnoświatowe pod marką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Techland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Publishing. Na początku 2017 roku firma wydała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Torment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: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Tides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of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Numenera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– ciepło przyjętego duchowego spadkobiercę legendarnego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Planescape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: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Torment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>. Obecnie</w:t>
      </w:r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firma przygotowuje się do wydania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Pure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Farming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2018 oraz kilku produkcji firm trzecich.</w:t>
      </w:r>
    </w:p>
    <w:p w:rsidR="00A150CF" w:rsidRDefault="00263B29">
      <w:pPr>
        <w:widowControl w:val="0"/>
        <w:spacing w:line="240" w:lineRule="auto"/>
        <w:jc w:val="both"/>
        <w:rPr>
          <w:rFonts w:ascii="Calibri" w:eastAsia="Calibri" w:hAnsi="Calibri" w:cs="Calibri"/>
          <w:b/>
          <w:color w:val="999999"/>
          <w:sz w:val="16"/>
          <w:szCs w:val="16"/>
        </w:rPr>
      </w:pP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Techland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tworzy i wydaje najwyższej jakości produkcje na wiodących platformach – PC, Sony PlayStation 4 oraz Microsoft Xbox One. W czterech biurach znajdujących się na</w:t>
      </w:r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terenie Polski oraz Kanady pracuje ponad 350 utalentowanych osób. Każdym swoim produktem firma stara się dostarczać niezapomnianych przeżyć, korzystając przy tym z najświeższych i innowacyjnych technologii.</w:t>
      </w:r>
    </w:p>
    <w:p w:rsidR="00A150CF" w:rsidRDefault="00A150CF">
      <w:pPr>
        <w:widowControl w:val="0"/>
        <w:spacing w:line="240" w:lineRule="auto"/>
        <w:jc w:val="both"/>
        <w:rPr>
          <w:rFonts w:ascii="Calibri" w:eastAsia="Calibri" w:hAnsi="Calibri" w:cs="Calibri"/>
          <w:b/>
          <w:color w:val="999999"/>
          <w:sz w:val="16"/>
          <w:szCs w:val="16"/>
        </w:rPr>
      </w:pPr>
    </w:p>
    <w:p w:rsidR="00A150CF" w:rsidRDefault="00263B29">
      <w:pPr>
        <w:widowControl w:val="0"/>
        <w:spacing w:line="240" w:lineRule="auto"/>
        <w:jc w:val="both"/>
        <w:rPr>
          <w:rFonts w:ascii="Calibri" w:eastAsia="Calibri" w:hAnsi="Calibri" w:cs="Calibri"/>
          <w:b/>
          <w:color w:val="999999"/>
          <w:sz w:val="16"/>
          <w:szCs w:val="16"/>
        </w:rPr>
      </w:pPr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Więcej informacji o firmie </w:t>
      </w:r>
      <w:proofErr w:type="spellStart"/>
      <w:r>
        <w:rPr>
          <w:rFonts w:ascii="Calibri" w:eastAsia="Calibri" w:hAnsi="Calibri" w:cs="Calibri"/>
          <w:b/>
          <w:color w:val="999999"/>
          <w:sz w:val="16"/>
          <w:szCs w:val="16"/>
        </w:rPr>
        <w:t>Techland</w:t>
      </w:r>
      <w:proofErr w:type="spellEnd"/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znajdziesz </w:t>
      </w:r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na oficjalnych stronach: http://techlandpublishing.com oraz </w:t>
      </w:r>
      <w:hyperlink r:id="rId8">
        <w:r>
          <w:rPr>
            <w:rFonts w:ascii="Calibri" w:eastAsia="Calibri" w:hAnsi="Calibri" w:cs="Calibri"/>
            <w:b/>
            <w:color w:val="1155CC"/>
            <w:sz w:val="16"/>
            <w:szCs w:val="16"/>
            <w:u w:val="single"/>
          </w:rPr>
          <w:t>http://techland.pl</w:t>
        </w:r>
      </w:hyperlink>
      <w:r>
        <w:rPr>
          <w:rFonts w:ascii="Calibri" w:eastAsia="Calibri" w:hAnsi="Calibri" w:cs="Calibri"/>
          <w:b/>
          <w:color w:val="999999"/>
          <w:sz w:val="16"/>
          <w:szCs w:val="16"/>
        </w:rPr>
        <w:t xml:space="preserve"> Wszystkie nazwy produktów, wydawców, znaki handlowe, materiały graficzne oraz powiązane grafiki i znaki handlowe, zarejestrowane znaki hand</w:t>
      </w:r>
      <w:r>
        <w:rPr>
          <w:rFonts w:ascii="Calibri" w:eastAsia="Calibri" w:hAnsi="Calibri" w:cs="Calibri"/>
          <w:b/>
          <w:color w:val="999999"/>
          <w:sz w:val="16"/>
          <w:szCs w:val="16"/>
        </w:rPr>
        <w:t>lowe i/lub materiały chronione prawami autorskimi są własnością odpowiednich właścicieli. Wszelkie prawa zastrzeżone.</w:t>
      </w:r>
    </w:p>
    <w:p w:rsidR="00A150CF" w:rsidRDefault="00263B29">
      <w:pPr>
        <w:widowControl w:val="0"/>
        <w:spacing w:line="240" w:lineRule="auto"/>
        <w:jc w:val="center"/>
        <w:rPr>
          <w:rFonts w:ascii="Calibri" w:eastAsia="Calibri" w:hAnsi="Calibri" w:cs="Calibri"/>
          <w:b/>
        </w:rPr>
      </w:pPr>
      <w:bookmarkStart w:id="1" w:name="_yq069kaxjwne" w:colFirst="0" w:colLast="0"/>
      <w:bookmarkEnd w:id="1"/>
      <w:r>
        <w:rPr>
          <w:rFonts w:ascii="Helvetica Neue" w:eastAsia="Helvetica Neue" w:hAnsi="Helvetica Neue" w:cs="Helvetica Neue"/>
          <w:color w:val="1D2129"/>
          <w:highlight w:val="white"/>
        </w:rPr>
        <w:t>___________________</w:t>
      </w:r>
    </w:p>
    <w:p w:rsidR="00A150CF" w:rsidRDefault="00263B29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</w:rPr>
        <w:t>Kontakt dla mediów:</w:t>
      </w:r>
    </w:p>
    <w:p w:rsidR="00A150CF" w:rsidRDefault="00263B29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>Konrad Adamczewski | Anna Łada-Grodzicka</w:t>
      </w:r>
    </w:p>
    <w:p w:rsidR="00A150CF" w:rsidRDefault="00263B29">
      <w:pPr>
        <w:widowControl w:val="0"/>
        <w:spacing w:line="240" w:lineRule="auto"/>
      </w:pPr>
      <w:hyperlink r:id="rId9">
        <w:r>
          <w:rPr>
            <w:rFonts w:ascii="Calibri" w:eastAsia="Calibri" w:hAnsi="Calibri" w:cs="Calibri"/>
            <w:color w:val="1155CC"/>
            <w:u w:val="single"/>
          </w:rPr>
          <w:t>konrad.adamczewski@techland.pl</w:t>
        </w:r>
      </w:hyperlink>
      <w:r>
        <w:rPr>
          <w:rFonts w:ascii="Calibri" w:eastAsia="Calibri" w:hAnsi="Calibri" w:cs="Calibri"/>
        </w:rPr>
        <w:t xml:space="preserve"> </w:t>
      </w:r>
      <w:r>
        <w:t xml:space="preserve">| </w:t>
      </w:r>
      <w:hyperlink r:id="rId10">
        <w:r>
          <w:rPr>
            <w:color w:val="1155CC"/>
            <w:sz w:val="20"/>
            <w:szCs w:val="20"/>
            <w:u w:val="single"/>
          </w:rPr>
          <w:t>anna.lada.grodzicka@techland.pl</w:t>
        </w:r>
      </w:hyperlink>
    </w:p>
    <w:p w:rsidR="00A150CF" w:rsidRDefault="00A150CF">
      <w:pPr>
        <w:widowControl w:val="0"/>
        <w:spacing w:line="240" w:lineRule="auto"/>
        <w:rPr>
          <w:sz w:val="24"/>
          <w:szCs w:val="24"/>
        </w:rPr>
      </w:pPr>
    </w:p>
    <w:sectPr w:rsidR="00A150CF">
      <w:headerReference w:type="default" r:id="rId11"/>
      <w:footerReference w:type="default" r:id="rId12"/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B29" w:rsidRDefault="00263B29">
      <w:pPr>
        <w:spacing w:line="240" w:lineRule="auto"/>
      </w:pPr>
      <w:r>
        <w:separator/>
      </w:r>
    </w:p>
  </w:endnote>
  <w:endnote w:type="continuationSeparator" w:id="0">
    <w:p w:rsidR="00263B29" w:rsidRDefault="00263B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0CF" w:rsidRDefault="00263B29">
    <w:r>
      <w:rPr>
        <w:noProof/>
        <w:lang w:val="pl-PL"/>
      </w:rPr>
      <w:drawing>
        <wp:inline distT="114300" distB="114300" distL="114300" distR="114300">
          <wp:extent cx="5734050" cy="355600"/>
          <wp:effectExtent l="0" t="0" r="0" b="0"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35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B29" w:rsidRDefault="00263B29">
      <w:pPr>
        <w:spacing w:line="240" w:lineRule="auto"/>
      </w:pPr>
      <w:r>
        <w:separator/>
      </w:r>
    </w:p>
  </w:footnote>
  <w:footnote w:type="continuationSeparator" w:id="0">
    <w:p w:rsidR="00263B29" w:rsidRDefault="00263B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0CF" w:rsidRDefault="00263B29">
    <w:r>
      <w:rPr>
        <w:noProof/>
        <w:lang w:val="pl-PL"/>
      </w:rPr>
      <w:drawing>
        <wp:inline distT="114300" distB="114300" distL="114300" distR="114300">
          <wp:extent cx="5734050" cy="901700"/>
          <wp:effectExtent l="0" t="0" r="0" b="0"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50CF"/>
    <w:rsid w:val="000601B7"/>
    <w:rsid w:val="00263B29"/>
    <w:rsid w:val="00A1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1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1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chland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nna.lada.grodzicka@techland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nrad.adamczewski@techland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2402</Characters>
  <Application>Microsoft Office Word</Application>
  <DocSecurity>0</DocSecurity>
  <Lines>20</Lines>
  <Paragraphs>5</Paragraphs>
  <ScaleCrop>false</ScaleCrop>
  <Company>Techland Warszawa Sp. z o.o.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Konrad Adamczewski</cp:lastModifiedBy>
  <cp:revision>2</cp:revision>
  <dcterms:created xsi:type="dcterms:W3CDTF">2018-04-25T09:22:00Z</dcterms:created>
  <dcterms:modified xsi:type="dcterms:W3CDTF">2018-04-25T09:22:00Z</dcterms:modified>
</cp:coreProperties>
</file>